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560" w:lineRule="exact"/>
        <w:jc w:val="both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附件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汉仪大宋简" w:eastAsia="汉仪大宋简" w:cs="汉仪大宋简" w:hint="eastAsia"/>
          <w:color w:val="auto"/>
          <w:sz w:val="44"/>
          <w:szCs w:val="44"/>
          <w:lang w:val="en-US" w:eastAsia="zh-CN"/>
        </w:rPr>
      </w:pPr>
      <w:r>
        <w:rPr>
          <w:rFonts w:ascii="汉仪大宋简" w:eastAsia="汉仪大宋简" w:cs="汉仪大宋简" w:hint="eastAsia"/>
          <w:color w:val="auto"/>
          <w:sz w:val="44"/>
          <w:szCs w:val="44"/>
          <w:lang w:val="en-US" w:eastAsia="zh-CN"/>
        </w:rPr>
        <w:t>朔州市平鲁区用水定额管理办法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楷体_GB2312" w:eastAsia="楷体_GB2312" w:cs="楷体_GB2312"/>
          <w:color w:val="auto"/>
          <w:sz w:val="32"/>
          <w:szCs w:val="32"/>
        </w:rPr>
      </w:pP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微软雅黑" w:eastAsia="微软雅黑" w:cs="微软雅黑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第一条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为加强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用水定额管理，实行计划用水，厉行节约用水，合理使用水资源，制定本办法。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微软雅黑" w:eastAsia="微软雅黑" w:cs="微软雅黑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第二条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用水定额是规定单位的用水量。本办法所称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用水定额，是指所有工业、建筑业、商业、服务业、机关、部队和所有用水单位各类用水定额和居民生活用水定额。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微软雅黑" w:eastAsia="微软雅黑" w:cs="微软雅黑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第三条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凡在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域范围内制定、修改和实施用水定额都必须遵守本办法。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第四条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制定用水定额，必须符合国家有关标准规范和技术通则，用水定额要具有先进性和合理性。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微软雅黑" w:eastAsia="微软雅黑" w:cs="微软雅黑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第五条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用水定额是下达用水计划和衡量用水单位、居民用水和节约用水水平的主要依据，各行业要逐步实现以定额为主要依据的计划用水管理，并以此实施节约奖励和浪费处罚。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微软雅黑" w:eastAsia="微软雅黑" w:cs="微软雅黑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第六条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遇有严重干旱年、季或非正常情况下供水不足时，经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人民政府批准，有权调整用水量。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rFonts w:ascii="微软雅黑" w:eastAsia="微软雅黑" w:cs="微软雅黑"/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第七条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  <w:highlight w:val="auto"/>
        </w:rPr>
        <w:t>区水利局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负责用水定额的日常管理，检查用水定额实施情况。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 w:firstLine="640"/>
        <w:jc w:val="both"/>
        <w:textAlignment w:val="auto"/>
        <w:rPr>
          <w:color w:val="auto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第八条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本办法由</w:t>
      </w:r>
      <w:r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  <w:t>朔州市平鲁区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水利局负责解释。</w:t>
      </w:r>
    </w:p>
    <w:p>
      <w:pPr>
        <w:pStyle w:val="9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jc w:val="both"/>
        <w:sectPr>
          <w:footerReference w:type="default" r:id="rId2"/>
          <w:pgSz w:w="11906" w:h="16838"/>
          <w:pgMar w:top="1440" w:right="1800" w:bottom="1440" w:left="1800" w:header="851" w:footer="992" w:gutter="0"/>
          <w:pgNumType/>
          <w:docGrid w:type="lines" w:linePitch="312" w:charSpace="0"/>
        </w:sectPr>
      </w:pPr>
      <w:r>
        <w:rPr>
          <w:rFonts w:ascii="楷体_GB2312" w:eastAsia="楷体_GB2312" w:cs="楷体_GB2312"/>
          <w:color w:val="auto"/>
          <w:sz w:val="32"/>
          <w:szCs w:val="32"/>
        </w:rPr>
        <w:t>第九条</w:t>
      </w:r>
      <w:r>
        <w:rPr>
          <w:rFonts w:ascii="微软雅黑" w:eastAsia="微软雅黑" w:cs="微软雅黑" w:hint="eastAsia"/>
          <w:color w:val="auto"/>
        </w:rPr>
        <w:t xml:space="preserve"> 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本办法从颁布之日起施行</w:t>
      </w:r>
      <w:r>
        <w:rPr>
          <w:rFonts w:ascii="仿宋_GB2312" w:eastAsia="仿宋_GB2312" w:cs="仿宋_GB2312"/>
          <w:color w:val="auto"/>
          <w:sz w:val="32"/>
          <w:szCs w:val="32"/>
        </w:rPr>
        <w:t>。</w:t>
      </w:r>
      <w:bookmarkStart w:id="0" w:name="_GoBack"/>
      <w:bookmarkEnd w:id="0"/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汉仪大宋简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微软雅黑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92">
    <w:name w:val="Normal (Web)"/>
    <w:next w:val="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rFonts w:ascii="Calibri" w:eastAsia="宋体" w:cs="Arial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403</Words>
  <Characters>403</Characters>
  <Lines>23</Lines>
  <Paragraphs>11</Paragraphs>
  <CharactersWithSpaces>411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2023-06-07T02:25:29Z</dcterms:created>
  <dcterms:modified xsi:type="dcterms:W3CDTF">2023-06-07T02:26:08Z</dcterms:modified>
</cp:coreProperties>
</file>