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jc w:val="both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附件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汉仪大宋简" w:eastAsia="汉仪大宋简" w:cs="汉仪大宋简" w:hint="eastAsia"/>
          <w:color w:val="auto"/>
          <w:sz w:val="44"/>
          <w:szCs w:val="44"/>
          <w:lang w:val="en-US" w:eastAsia="zh-CN"/>
        </w:rPr>
      </w:pPr>
      <w:r>
        <w:rPr>
          <w:rFonts w:ascii="汉仪大宋简" w:eastAsia="汉仪大宋简" w:cs="汉仪大宋简" w:hint="eastAsia"/>
          <w:color w:val="auto"/>
          <w:sz w:val="44"/>
          <w:szCs w:val="44"/>
          <w:lang w:val="en-US" w:eastAsia="zh-CN"/>
        </w:rPr>
        <w:t>朔州市平鲁区节约用水管理办法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2" w:after="150" w:line="450" w:lineRule="atLeast"/>
        <w:ind w:firstLine="641"/>
        <w:jc w:val="center"/>
        <w:textAlignment w:val="auto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color w:val="auto"/>
          <w:sz w:val="32"/>
          <w:szCs w:val="32"/>
        </w:rPr>
        <w:t>第一章  总   则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第一条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为加强全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节约用水管理，科学合理利用水资源，保障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域经济社会可持续发展，根据《中华人民共和国水法》、建设部《城市节约用水管理规定》、《山西省城市供水和节约用水管理条例》、《山西省节约用水条例》、《山西省实施〈城市节约用水管理规定〉办法》及相关规定，结合我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实际，制定本办法。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第二条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朔州市平鲁区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用水单位和个人（以下简称用水户）应遵守本办法。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第三条</w:t>
      </w:r>
      <w:r>
        <w:rPr>
          <w:rFonts w:ascii="微软雅黑" w:eastAsia="微软雅黑" w:cs="微软雅黑" w:hint="eastAsia"/>
          <w:color w:val="auto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水利局负责全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节约用水工作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节约用水工作职责：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（一）贯彻执行国家和省、市节约用水的法律、法规、规章、制度、方针、政策；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（二）负责下达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朔州市平鲁区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用水单位的用水指标；考核用水单位用水情况，对其用水实施定额管理；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（三）负责对新建、改建、扩建工程项目中用水工艺、用水量的审核；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（四）参加配套建设的节约用水设施的竣工验收；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（五）负责全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节约用水的稽查工作；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（六）组织交流节水先进经验，推广节水先进技术，开展节水技术咨询，深入节水宣传，推动节水工作进一步开展。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ind w:firstLineChars="20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第四条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任何单位和个人都有节约用水义务，并有权举报违法违规用水行为。发现违法违规用水，应及时调查核实并依规处理。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2" w:after="150" w:line="450" w:lineRule="atLeast"/>
        <w:ind w:firstLine="641"/>
        <w:jc w:val="center"/>
        <w:textAlignment w:val="auto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color w:val="auto"/>
          <w:sz w:val="32"/>
          <w:szCs w:val="32"/>
        </w:rPr>
        <w:t>第二章  计划用水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第五条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朔州市平鲁区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全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用水实行计划管理。根据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朔州市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年度用水计划和山西省用水定额制定并下达用水户用水计划指标。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第六条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新增或增加用水量实行核准制。新建、改建、扩建项目新增用水，或用水户单位产品用水量低于用水定额但确需增加用水的，依据相关规定申请核定用水计划指标。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第七条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居民生活用水实行一户一表，计量到户。非居民生活用水应当按不同用水性质分别装表计量，并实行总水表与分水表分别计量。工业企业除总水表外，用水车间和主要设备应当分别装表计量。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第八条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用水实行计量收费和超定额累进加价制度。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第九条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制定全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节水统计制度。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有下列情形之一，核减用水户用水计划指标：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（一）水资源不能满足社会总需水量；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（二）企业转产、减产、停产减少用水量的；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（三）拒不执行再生水配置方案的；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rFonts w:hint="eastAsia"/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（四）不按规定进行水平衡测试的。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2" w:after="150" w:line="450" w:lineRule="atLeast"/>
        <w:ind w:firstLine="641"/>
        <w:jc w:val="center"/>
        <w:textAlignment w:val="auto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color w:val="auto"/>
          <w:sz w:val="32"/>
          <w:szCs w:val="32"/>
        </w:rPr>
        <w:t>第三章  节水措施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第十一条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朔州市平鲁区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应限制高耗水工业发展，工业用水应当采用先进的</w:t>
      </w:r>
      <w:r>
        <w:rPr>
          <w:rFonts w:ascii="仿宋_GB2312" w:eastAsia="仿宋_GB2312" w:cs="仿宋_GB2312" w:hint="eastAsia"/>
          <w:color w:val="auto"/>
          <w:sz w:val="32"/>
          <w:szCs w:val="32"/>
          <w:highlight w:val="auto"/>
        </w:rPr>
        <w:t>节水工艺和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设备。使用国家明令淘汰的高耗水工艺和设备的，应限期更换或进行节水改造。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rFonts w:eastAsia="仿宋_GB2312"/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第十二条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为推动节水型社会建设，充分发挥水资源对经济社会可持续发展的支撑作用，鼓励用水规模较大的企业（单位）积极开展节水型企业（单位）创建工作，按照国家规定的方法和规程定期进行水平衡测试，并向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水利局报送测试资料。   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第十三条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工业用水应当采取措施提高重复利用率，间接冷却水应当循环利用或者回收利用，不得直接排放。单位产品取水量应低于国家、行业和山西省用水定额标准。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以水为主要原料的企业，生产后的尾水不得直接排放，应当回收利用。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第十四条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新建、改建、扩建工程项目，应当编制节约用水报告，制定节约用水措施，配套建设相应节约用水设施，并与主体工程同时设计、同时施工、同时使用。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第十五条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洗浴、滑雪场、制售饮用水的用水户应当安装节水设施、器具。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洗车行业应当安装循环用水洗车设备；再生水输配管网覆盖县域内的，应当使用再生水。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第十六条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再生水输配管网覆盖可到达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域内的工业企业，应当优先使用符合水质要求的再生水，弃用的应当进行技术论证。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新建宾馆、学校、公共建筑、居民小县，应结合海绵城市建设配套建设雨水集蓄和再生水使用设施；已建成的，应逐步配套雨水集蓄和再生水使用设施。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对再生水等非常规水源开发利用项目，实行财政补贴。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第十七条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政府各部门、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各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用水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单位应加强节约用水宣传工作。教育机构应对受教育对象进行节水教育。新闻媒体应定期刊登或播报节水公益广告。公共场所应设置节水宣传标语，提高公共节水意识。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第十八条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节约用水行政执法人员行使监督检查职责时，应当出示执法证件，并有权采取下列措施：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（一）进入用水现场开展检查，调查了解节约用水有关情况；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（二）要求被检查单位或个人提供节约用水有关文件、资料；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（三）责令被检查单位或个人停止违法行为，履行法定义务。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="0" w:line="560" w:lineRule="exact"/>
        <w:ind w:firstLineChars="200" w:firstLine="640"/>
        <w:jc w:val="both"/>
        <w:textAlignment w:val="auto"/>
        <w:rPr>
          <w:rFonts w:hint="eastAsia"/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接受监督检查的单位或者个人应当配合检查工作，不得拒绝或者阻碍监督检查人员依法执行公务。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2" w:after="150" w:line="450" w:lineRule="atLeast"/>
        <w:ind w:firstLine="641"/>
        <w:jc w:val="center"/>
        <w:textAlignment w:val="auto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color w:val="auto"/>
          <w:sz w:val="32"/>
          <w:szCs w:val="32"/>
        </w:rPr>
        <w:t>第四章  附  则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第十九条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 xml:space="preserve"> 违反本办法规定，按相关法律法规、规章制度处理。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第二十条</w:t>
      </w:r>
      <w:r>
        <w:rPr>
          <w:rFonts w:ascii="楷体_GB2312" w:eastAsia="楷体_GB2312" w:cs="楷体_GB2312"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本办法自颁布之日起施行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。</w:t>
      </w:r>
    </w:p>
    <w:p>
      <w:pPr>
        <w:rPr>
          <w:color w:val="auto"/>
        </w:rPr>
        <w:sectPr>
          <w:footerReference w:type="default" r:id="rId2"/>
          <w:pgSz w:w="11906" w:h="16838"/>
          <w:pgMar w:top="1440" w:right="1800" w:bottom="1440" w:left="1800" w:header="851" w:footer="992" w:gutter="0"/>
          <w:pgNumType w:start="2"/>
          <w:docGrid w:type="lines" w:linePitch="312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汉仪大宋简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微软雅黑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 3" o:spid="_x0000_s3" filled="f" stroked="f" strokeweight="0.5pt" style="position:absolute;margin-left:0.0pt;margin-top:0.0pt;width:5.7239957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92">
    <w:name w:val="Normal (Web)"/>
    <w:next w:val="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</w:pPr>
    <w:rPr>
      <w:rFonts w:ascii="Calibri" w:eastAsia="宋体" w:cs="Arial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24</Words>
  <Characters>24</Characters>
  <Lines>1</Lines>
  <Paragraphs>0</Paragraphs>
  <CharactersWithSpaces>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2023-06-07T02:24:26Z</dcterms:created>
  <dcterms:modified xsi:type="dcterms:W3CDTF">2023-06-07T02:24:45Z</dcterms:modified>
</cp:coreProperties>
</file>