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highlight w:val="none"/>
          <w:shd w:val="clear" w:color="auto" w:fill="auto"/>
        </w:rPr>
      </w:pPr>
      <w:r>
        <w:rPr>
          <w:sz w:val="30"/>
          <w:highlight w:val="none"/>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highlight w:val="none"/>
          <w:shd w:val="clear" w:color="auto" w:fill="auto"/>
        </w:rPr>
        <w:t>平审批字〔202</w:t>
      </w:r>
      <w:r>
        <w:rPr>
          <w:rFonts w:hint="eastAsia" w:ascii="仿宋" w:hAnsi="仿宋" w:eastAsia="仿宋"/>
          <w:kern w:val="0"/>
          <w:sz w:val="30"/>
          <w:szCs w:val="30"/>
          <w:highlight w:val="none"/>
          <w:shd w:val="clear" w:color="auto" w:fill="auto"/>
          <w:lang w:val="en-US" w:eastAsia="zh-CN"/>
        </w:rPr>
        <w:t>3</w:t>
      </w:r>
      <w:r>
        <w:rPr>
          <w:rFonts w:hint="eastAsia" w:ascii="仿宋" w:hAnsi="仿宋" w:eastAsia="仿宋"/>
          <w:kern w:val="0"/>
          <w:sz w:val="30"/>
          <w:szCs w:val="30"/>
          <w:highlight w:val="none"/>
          <w:shd w:val="clear" w:color="auto" w:fill="auto"/>
        </w:rPr>
        <w:t>〕</w:t>
      </w:r>
      <w:r>
        <w:rPr>
          <w:rFonts w:hint="eastAsia" w:ascii="仿宋" w:hAnsi="仿宋" w:eastAsia="仿宋"/>
          <w:kern w:val="0"/>
          <w:sz w:val="30"/>
          <w:szCs w:val="30"/>
          <w:highlight w:val="none"/>
          <w:shd w:val="clear" w:color="auto" w:fill="auto"/>
          <w:lang w:val="en-US" w:eastAsia="zh-CN"/>
        </w:rPr>
        <w:t>20</w:t>
      </w:r>
      <w:r>
        <w:rPr>
          <w:rFonts w:hint="eastAsia" w:ascii="仿宋" w:hAnsi="仿宋" w:eastAsia="仿宋"/>
          <w:kern w:val="0"/>
          <w:sz w:val="30"/>
          <w:szCs w:val="30"/>
          <w:highlight w:val="none"/>
          <w:shd w:val="clear" w:color="auto" w:fill="auto"/>
        </w:rPr>
        <w:t>号</w:t>
      </w:r>
    </w:p>
    <w:p>
      <w:pPr>
        <w:spacing w:line="460" w:lineRule="exact"/>
        <w:jc w:val="center"/>
        <w:rPr>
          <w:rFonts w:ascii="宋体" w:hAnsi="宋体"/>
          <w:b/>
          <w:sz w:val="36"/>
          <w:szCs w:val="36"/>
        </w:rPr>
      </w:pP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朔州市平鲁区行政审批</w:t>
      </w:r>
      <w:r>
        <w:rPr>
          <w:rFonts w:hint="eastAsia" w:ascii="宋体" w:hAnsi="宋体" w:eastAsia="宋体" w:cs="Times New Roman"/>
          <w:b/>
          <w:sz w:val="36"/>
          <w:szCs w:val="36"/>
          <w:lang w:val="en-US" w:eastAsia="zh-CN"/>
        </w:rPr>
        <w:t>服务管理局</w:t>
      </w:r>
      <w:r>
        <w:rPr>
          <w:rFonts w:hint="eastAsia" w:ascii="宋体" w:hAnsi="宋体" w:eastAsia="宋体" w:cs="Times New Roman"/>
          <w:b/>
          <w:sz w:val="36"/>
          <w:szCs w:val="36"/>
          <w:lang w:val="en-US" w:eastAsia="zh-CN"/>
        </w:rPr>
        <w:br w:type="textWrapping"/>
      </w:r>
      <w:r>
        <w:rPr>
          <w:rFonts w:hint="eastAsia" w:ascii="宋体" w:hAnsi="宋体" w:eastAsia="宋体" w:cs="Times New Roman"/>
          <w:b/>
          <w:sz w:val="36"/>
          <w:szCs w:val="36"/>
          <w:lang w:val="en-US" w:eastAsia="zh-CN"/>
        </w:rPr>
        <w:t>关于中煤平朔能源化工全厂水处理系统优化及浓盐水</w:t>
      </w:r>
      <w:r>
        <w:rPr>
          <w:rFonts w:hint="eastAsia" w:ascii="宋体" w:hAnsi="宋体" w:eastAsia="宋体" w:cs="Times New Roman"/>
          <w:b/>
          <w:sz w:val="36"/>
          <w:szCs w:val="36"/>
          <w:lang w:val="en-US" w:eastAsia="zh-CN"/>
        </w:rPr>
        <w:br w:type="textWrapping"/>
      </w:r>
      <w:r>
        <w:rPr>
          <w:rFonts w:hint="eastAsia" w:ascii="宋体" w:hAnsi="宋体" w:eastAsia="宋体" w:cs="Times New Roman"/>
          <w:b/>
          <w:sz w:val="36"/>
          <w:szCs w:val="36"/>
          <w:lang w:val="en-US" w:eastAsia="zh-CN"/>
        </w:rPr>
        <w:t>零排放项目环</w:t>
      </w:r>
      <w:r>
        <w:rPr>
          <w:rFonts w:hint="eastAsia" w:ascii="宋体" w:hAnsi="宋体"/>
          <w:b/>
          <w:sz w:val="36"/>
          <w:szCs w:val="36"/>
          <w:lang w:val="en-US" w:eastAsia="zh-CN"/>
        </w:rPr>
        <w:t>境影响报告表的批复</w:t>
      </w:r>
    </w:p>
    <w:p>
      <w:pPr>
        <w:rPr>
          <w:rFonts w:ascii="仿宋" w:hAnsi="仿宋" w:eastAsia="仿宋" w:cs="仿宋"/>
          <w:sz w:val="32"/>
          <w:szCs w:val="32"/>
        </w:rPr>
      </w:pPr>
      <w:r>
        <w:rPr>
          <w:rFonts w:hint="eastAsia" w:ascii="仿宋" w:hAnsi="仿宋" w:eastAsia="仿宋" w:cs="仿宋"/>
          <w:sz w:val="32"/>
          <w:szCs w:val="32"/>
          <w:lang w:val="en-US" w:eastAsia="zh-CN"/>
        </w:rPr>
        <w:t>中煤平朔能源化工有限公司：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公司报送的《中煤平朔能源化工全厂水处理系统优化及浓盐水零排放项目环境影响报告表</w:t>
      </w:r>
      <w:r>
        <w:rPr>
          <w:rFonts w:hint="eastAsia" w:ascii="仿宋" w:hAnsi="仿宋" w:eastAsia="仿宋" w:cs="仿宋"/>
          <w:sz w:val="32"/>
          <w:szCs w:val="32"/>
        </w:rPr>
        <w:t>》（以下简称“报告</w:t>
      </w:r>
      <w:r>
        <w:rPr>
          <w:rFonts w:hint="eastAsia" w:ascii="仿宋" w:hAnsi="仿宋" w:eastAsia="仿宋" w:cs="仿宋"/>
          <w:sz w:val="32"/>
          <w:szCs w:val="32"/>
          <w:lang w:val="en-US" w:eastAsia="zh-CN"/>
        </w:rPr>
        <w:t>表</w:t>
      </w:r>
      <w:r>
        <w:rPr>
          <w:rFonts w:hint="eastAsia" w:ascii="仿宋" w:hAnsi="仿宋" w:eastAsia="仿宋" w:cs="仿宋"/>
          <w:sz w:val="32"/>
          <w:szCs w:val="32"/>
        </w:rPr>
        <w:t>”）及报批申请已收悉。经研究，现批复如下：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中煤平朔能源化工全厂水处理系统优化及浓盐水零排放项目，项目主要建设内容包括500m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/h原水预处理系统改造；200m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/h污水处理系统改造；450m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/h回用水系统改造；600m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/h脱盐水系统改造；4273/5328m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/h（正常/最大）气化循环水系统改造；222980/25899m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/h净化循环水系统改造；9840.8/11806m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/h双硝循环水系统改造；新建废水深度处理站，包括200m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/h污水回用系统和160m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/h浓水减量系统；新建16m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/h零排放分盐结晶系统。项目总投资20039.62万元，环保投资165万元。该项目在严格落实报告表提出的各项环境保护对策措施以及本批复的前提下，同意实施建设。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落实大气污染防治措施。盐酸储罐设置酸雾吸收器，处理后经15m高排气筒排放；氯化钠、硫酸钠蒸发结晶包装工序采用布袋除尘后，分别经一根15m高排筒排放；污水站恶臭设置一套“碱洗喷淋+生物过滤”装置，处理后经20m排筒排放。</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落实水环境保护措施。膜清洗废水、树脂再生废水、石英砂过滤器反洗水、超滤反洗水、纳滤反洗水，经无缝钢管，重力流排至前端调节池，经本项目各系统处理；生产区地面冲洗水，经本项目新建污水回用系统处理后回用；职工办公生活产生的生活污水通过污水管网输送至污水处理站处理。所有生产生活污水均处理后回用，不外排。</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（三）落实噪声污染防治措施。选用低噪声设备，采取减震、隔声等措施，确保厂界噪声达标。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（四）落实固体废物污染防治措施。生活垃圾，经收集后由环卫部门统一处理；</w:t>
      </w:r>
      <w:r>
        <w:rPr>
          <w:rFonts w:hint="eastAsia" w:ascii="仿宋" w:hAnsi="仿宋" w:eastAsia="仿宋" w:cs="仿宋"/>
          <w:sz w:val="32"/>
          <w:szCs w:val="32"/>
          <w:lang w:val="en-US" w:eastAsia="zh-Hans"/>
        </w:rPr>
        <w:t>浓水减量污泥送厂区现有锅炉掺烧</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其他工段污泥处理至符合《生活垃圾填埋场污染控制标准》（GB168</w:t>
      </w:r>
      <w:r>
        <w:rPr>
          <w:rFonts w:hint="eastAsia" w:ascii="仿宋" w:hAnsi="仿宋" w:eastAsia="仿宋" w:cs="仿宋"/>
          <w:sz w:val="32"/>
          <w:szCs w:val="32"/>
          <w:lang w:val="en-US" w:eastAsia="zh-CN"/>
        </w:rPr>
        <w:t>89</w:t>
      </w:r>
      <w:r>
        <w:rPr>
          <w:rFonts w:hint="eastAsia" w:ascii="仿宋" w:hAnsi="仿宋" w:eastAsia="仿宋" w:cs="仿宋"/>
          <w:sz w:val="32"/>
          <w:szCs w:val="32"/>
          <w:lang w:val="en-US" w:eastAsia="zh-Hans"/>
        </w:rPr>
        <w:t>-2008）中表1相关限值且含水率60%以下后送生活垃圾填埋场处理</w:t>
      </w:r>
      <w:r>
        <w:rPr>
          <w:rFonts w:hint="eastAsia" w:ascii="仿宋" w:hAnsi="仿宋" w:eastAsia="仿宋" w:cs="仿宋"/>
          <w:sz w:val="32"/>
          <w:szCs w:val="32"/>
          <w:lang w:val="en-US" w:eastAsia="zh-CN"/>
        </w:rPr>
        <w:t>；危险废物和杂盐暂存于危废暂存间，并定期委托有资质的单位处理；布袋除尘器产生的粉尘灰，作为副产品外售；</w:t>
      </w:r>
      <w:r>
        <w:rPr>
          <w:rFonts w:hint="eastAsia" w:ascii="仿宋" w:hAnsi="仿宋" w:eastAsia="仿宋" w:cs="仿宋"/>
          <w:sz w:val="32"/>
          <w:szCs w:val="32"/>
          <w:lang w:val="en-US" w:eastAsia="zh-Hans"/>
        </w:rPr>
        <w:t>废膜元件</w:t>
      </w:r>
      <w:r>
        <w:rPr>
          <w:rFonts w:hint="eastAsia" w:ascii="仿宋" w:hAnsi="仿宋" w:eastAsia="仿宋" w:cs="仿宋"/>
          <w:sz w:val="32"/>
          <w:szCs w:val="32"/>
          <w:lang w:val="en-US" w:eastAsia="zh-CN"/>
        </w:rPr>
        <w:t>和</w:t>
      </w:r>
      <w:r>
        <w:rPr>
          <w:rFonts w:hint="eastAsia" w:ascii="仿宋" w:hAnsi="仿宋" w:eastAsia="仿宋" w:cs="仿宋"/>
          <w:sz w:val="32"/>
          <w:szCs w:val="32"/>
          <w:lang w:val="en-US" w:eastAsia="zh-Hans"/>
        </w:rPr>
        <w:t>废离子交换树脂</w:t>
      </w:r>
      <w:r>
        <w:rPr>
          <w:rFonts w:hint="eastAsia" w:ascii="仿宋" w:hAnsi="仿宋" w:eastAsia="仿宋" w:cs="仿宋"/>
          <w:sz w:val="32"/>
          <w:szCs w:val="32"/>
          <w:lang w:val="en-US" w:eastAsia="zh-CN"/>
        </w:rPr>
        <w:t>由厂家更</w:t>
      </w:r>
      <w:r>
        <w:rPr>
          <w:rFonts w:hint="eastAsia" w:ascii="仿宋" w:hAnsi="仿宋" w:eastAsia="仿宋" w:cs="仿宋"/>
          <w:sz w:val="32"/>
          <w:szCs w:val="32"/>
          <w:lang w:val="en-US" w:eastAsia="zh-Hans"/>
        </w:rPr>
        <w:t>换直接回收，不在厂内暂存</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（五）严格落实《报告表》提出的各项环保对策措施，编制突发环境事件应急预案，并定期组织演练。本项目经验收合格后，及时撤销入河排污口。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23</w:t>
      </w:r>
      <w:bookmarkStart w:id="0" w:name="_GoBack"/>
      <w:bookmarkEnd w:id="0"/>
      <w:r>
        <w:rPr>
          <w:rFonts w:hint="eastAsia" w:ascii="仿宋" w:hAnsi="仿宋" w:eastAsia="仿宋" w:cs="仿宋"/>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33B4DFD"/>
    <w:rsid w:val="049E06D6"/>
    <w:rsid w:val="05155BB9"/>
    <w:rsid w:val="058E664D"/>
    <w:rsid w:val="08310E7F"/>
    <w:rsid w:val="095F2110"/>
    <w:rsid w:val="0BC32897"/>
    <w:rsid w:val="0BFE1069"/>
    <w:rsid w:val="0C0E3BAF"/>
    <w:rsid w:val="0D7C495F"/>
    <w:rsid w:val="0E8A6FE3"/>
    <w:rsid w:val="0F0D1812"/>
    <w:rsid w:val="12E4544C"/>
    <w:rsid w:val="14D84B5C"/>
    <w:rsid w:val="14F85B51"/>
    <w:rsid w:val="163C4710"/>
    <w:rsid w:val="16CD208A"/>
    <w:rsid w:val="18804172"/>
    <w:rsid w:val="1B6D6095"/>
    <w:rsid w:val="1BBD1DA1"/>
    <w:rsid w:val="1D246AC7"/>
    <w:rsid w:val="1D39382B"/>
    <w:rsid w:val="22435CC2"/>
    <w:rsid w:val="229579CA"/>
    <w:rsid w:val="25A8619C"/>
    <w:rsid w:val="26E51687"/>
    <w:rsid w:val="279F5923"/>
    <w:rsid w:val="292B18BA"/>
    <w:rsid w:val="293B74CE"/>
    <w:rsid w:val="2B9F7450"/>
    <w:rsid w:val="2EEE624E"/>
    <w:rsid w:val="2F6132B0"/>
    <w:rsid w:val="2FA02C09"/>
    <w:rsid w:val="2FA36F49"/>
    <w:rsid w:val="2FB44585"/>
    <w:rsid w:val="30982FC9"/>
    <w:rsid w:val="31890C9F"/>
    <w:rsid w:val="321A6022"/>
    <w:rsid w:val="324B564A"/>
    <w:rsid w:val="334315EA"/>
    <w:rsid w:val="34B27AF1"/>
    <w:rsid w:val="3A7E4A94"/>
    <w:rsid w:val="3B0F484F"/>
    <w:rsid w:val="3B2E2F5C"/>
    <w:rsid w:val="3BEE424D"/>
    <w:rsid w:val="3C4A41C0"/>
    <w:rsid w:val="3DA91DD5"/>
    <w:rsid w:val="3DBB7760"/>
    <w:rsid w:val="3EEF7602"/>
    <w:rsid w:val="400E7C6F"/>
    <w:rsid w:val="412F0CF6"/>
    <w:rsid w:val="41367427"/>
    <w:rsid w:val="41DB2FFE"/>
    <w:rsid w:val="41E40907"/>
    <w:rsid w:val="41F13491"/>
    <w:rsid w:val="448E1D24"/>
    <w:rsid w:val="44AB7FE7"/>
    <w:rsid w:val="48CE7418"/>
    <w:rsid w:val="4A962438"/>
    <w:rsid w:val="4B1C4F97"/>
    <w:rsid w:val="4BC47735"/>
    <w:rsid w:val="4C9963C3"/>
    <w:rsid w:val="4EAC06BA"/>
    <w:rsid w:val="51DB29BC"/>
    <w:rsid w:val="53800400"/>
    <w:rsid w:val="53AA200E"/>
    <w:rsid w:val="541504C7"/>
    <w:rsid w:val="56582284"/>
    <w:rsid w:val="56A6480C"/>
    <w:rsid w:val="56A87354"/>
    <w:rsid w:val="57272D78"/>
    <w:rsid w:val="58D57B1E"/>
    <w:rsid w:val="59AD10CD"/>
    <w:rsid w:val="5D8D702F"/>
    <w:rsid w:val="5EBB3FF1"/>
    <w:rsid w:val="5F3A5922"/>
    <w:rsid w:val="60745460"/>
    <w:rsid w:val="60E66127"/>
    <w:rsid w:val="61A33DC6"/>
    <w:rsid w:val="63C90A96"/>
    <w:rsid w:val="647A56DF"/>
    <w:rsid w:val="66976EB8"/>
    <w:rsid w:val="66A65EC7"/>
    <w:rsid w:val="6B1D2D58"/>
    <w:rsid w:val="6F6E7B19"/>
    <w:rsid w:val="70AE250B"/>
    <w:rsid w:val="72037D42"/>
    <w:rsid w:val="72070F2A"/>
    <w:rsid w:val="73704EB6"/>
    <w:rsid w:val="738A7EEF"/>
    <w:rsid w:val="755C0BE2"/>
    <w:rsid w:val="76FC5A8F"/>
    <w:rsid w:val="78060DD1"/>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420" w:firstLineChars="200"/>
      <w:jc w:val="left"/>
    </w:pPr>
  </w:style>
  <w:style w:type="paragraph" w:styleId="3">
    <w:name w:val="Body Text Indent"/>
    <w:basedOn w:val="1"/>
    <w:next w:val="4"/>
    <w:qFormat/>
    <w:uiPriority w:val="0"/>
    <w:pPr>
      <w:spacing w:after="120"/>
      <w:ind w:left="420" w:leftChars="200"/>
    </w:pPr>
    <w:rPr>
      <w:rFonts w:asciiTheme="minorHAnsi" w:hAnsiTheme="minorHAnsi" w:eastAsiaTheme="minorEastAsia" w:cstheme="minorBidi"/>
      <w:sz w:val="24"/>
      <w:szCs w:val="22"/>
    </w:rPr>
  </w:style>
  <w:style w:type="paragraph" w:styleId="4">
    <w:name w:val="envelope return"/>
    <w:basedOn w:val="1"/>
    <w:qFormat/>
    <w:uiPriority w:val="0"/>
    <w:pPr>
      <w:snapToGrid w:val="0"/>
    </w:pPr>
    <w:rPr>
      <w:rFonts w:ascii="Arial" w:hAnsi="Arial"/>
    </w:rPr>
  </w:style>
  <w:style w:type="paragraph" w:styleId="5">
    <w:name w:val="Normal Indent"/>
    <w:basedOn w:val="1"/>
    <w:unhideWhenUsed/>
    <w:qFormat/>
    <w:uiPriority w:val="0"/>
    <w:pPr>
      <w:ind w:firstLine="420"/>
    </w:pPr>
  </w:style>
  <w:style w:type="paragraph" w:styleId="6">
    <w:name w:val="annotation text"/>
    <w:basedOn w:val="1"/>
    <w:next w:val="1"/>
    <w:qFormat/>
    <w:uiPriority w:val="0"/>
    <w:pPr>
      <w:jc w:val="left"/>
    </w:pPr>
    <w:rPr>
      <w:szCs w:val="20"/>
    </w:rPr>
  </w:style>
  <w:style w:type="paragraph" w:styleId="7">
    <w:name w:val="Body Text"/>
    <w:basedOn w:val="1"/>
    <w:next w:val="8"/>
    <w:qFormat/>
    <w:uiPriority w:val="0"/>
    <w:pPr>
      <w:spacing w:after="120"/>
    </w:pPr>
  </w:style>
  <w:style w:type="paragraph" w:customStyle="1" w:styleId="8">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jc w:val="left"/>
    </w:pPr>
    <w:rPr>
      <w:kern w:val="0"/>
      <w:sz w:val="24"/>
    </w:rPr>
  </w:style>
  <w:style w:type="paragraph" w:customStyle="1" w:styleId="14">
    <w:name w:val="表格文字"/>
    <w:basedOn w:val="7"/>
    <w:next w:val="1"/>
    <w:qFormat/>
    <w:uiPriority w:val="0"/>
    <w:pPr>
      <w:spacing w:line="240" w:lineRule="atLeast"/>
      <w:jc w:val="center"/>
    </w:pPr>
    <w:rPr>
      <w:b/>
      <w:color w:val="FF0000"/>
    </w:rPr>
  </w:style>
  <w:style w:type="paragraph" w:customStyle="1" w:styleId="15">
    <w:name w:val="Default"/>
    <w:next w:val="14"/>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6">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1152</Words>
  <Characters>1274</Characters>
  <Lines>11</Lines>
  <Paragraphs>3</Paragraphs>
  <TotalTime>10</TotalTime>
  <ScaleCrop>false</ScaleCrop>
  <LinksUpToDate>false</LinksUpToDate>
  <CharactersWithSpaces>1305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2023-03-27T01:07:56Z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487D5BFDE3064730B1BC295640163765</vt:lpwstr>
  </property>
</Properties>
</file>