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bookmarkStart w:id="0" w:name="_Hlk57883707"/>
      <w:bookmarkStart w:id="12" w:name="_GoBack"/>
      <w:bookmarkEnd w:id="12"/>
      <w:r>
        <w:rPr>
          <w:rFonts w:hint="eastAsia" w:ascii="仿宋_GB2312" w:hAnsi="仿宋_GB2312" w:eastAsia="仿宋_GB2312" w:cs="仿宋_GB2312"/>
          <w:color w:val="auto"/>
          <w:sz w:val="36"/>
          <w:szCs w:val="36"/>
          <w:lang w:eastAsia="zh-CN"/>
        </w:rPr>
        <w:drawing>
          <wp:anchor distT="0" distB="0" distL="114300" distR="114300" simplePos="0" relativeHeight="251668480" behindDoc="0" locked="0" layoutInCell="1" allowOverlap="1">
            <wp:simplePos x="0" y="0"/>
            <wp:positionH relativeFrom="column">
              <wp:posOffset>-953135</wp:posOffset>
            </wp:positionH>
            <wp:positionV relativeFrom="paragraph">
              <wp:posOffset>-1089660</wp:posOffset>
            </wp:positionV>
            <wp:extent cx="7536180" cy="10660380"/>
            <wp:effectExtent l="0" t="0" r="7620" b="7620"/>
            <wp:wrapTopAndBottom/>
            <wp:docPr id="2" name="图片 2" descr="平鲁区苏晋能源70MW光伏发电项目环评（全文本）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平鲁区苏晋能源70MW光伏发电项目环评（全文本）_00"/>
                    <pic:cNvPicPr>
                      <a:picLocks noChangeAspect="1"/>
                    </pic:cNvPicPr>
                  </pic:nvPicPr>
                  <pic:blipFill>
                    <a:blip r:embed="rId8"/>
                    <a:stretch>
                      <a:fillRect/>
                    </a:stretch>
                  </pic:blipFill>
                  <pic:spPr>
                    <a:xfrm>
                      <a:off x="0" y="0"/>
                      <a:ext cx="7536180" cy="10660380"/>
                    </a:xfrm>
                    <a:prstGeom prst="rect">
                      <a:avLst/>
                    </a:prstGeom>
                    <a:noFill/>
                    <a:ln>
                      <a:noFill/>
                    </a:ln>
                  </pic:spPr>
                </pic:pic>
              </a:graphicData>
            </a:graphic>
          </wp:anchor>
        </w:drawing>
      </w:r>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7"/>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03"/>
        <w:gridCol w:w="2025"/>
        <w:gridCol w:w="2198"/>
        <w:gridCol w:w="9"/>
        <w:gridCol w:w="2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建设项目名称</w:t>
            </w:r>
          </w:p>
        </w:tc>
        <w:tc>
          <w:tcPr>
            <w:tcW w:w="3770" w:type="pct"/>
            <w:gridSpan w:val="4"/>
            <w:noWrap w:val="0"/>
            <w:tcMar>
              <w:left w:w="57" w:type="dxa"/>
              <w:right w:w="57" w:type="dxa"/>
            </w:tcMar>
            <w:vAlign w:val="center"/>
          </w:tcPr>
          <w:p>
            <w:pPr>
              <w:keepNext w:val="0"/>
              <w:keepLines w:val="0"/>
              <w:widowControl/>
              <w:suppressLineNumbers w:val="0"/>
              <w:jc w:val="center"/>
              <w:rPr>
                <w:rFonts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平鲁区苏晋能源70MW光伏发电项目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项目代码</w:t>
            </w:r>
          </w:p>
        </w:tc>
        <w:tc>
          <w:tcPr>
            <w:tcW w:w="3770" w:type="pct"/>
            <w:gridSpan w:val="4"/>
            <w:noWrap w:val="0"/>
            <w:tcMar>
              <w:left w:w="57" w:type="dxa"/>
              <w:right w:w="57" w:type="dxa"/>
            </w:tcMar>
            <w:vAlign w:val="center"/>
          </w:tcPr>
          <w:p>
            <w:pPr>
              <w:adjustRightInd w:val="0"/>
              <w:snapToGrid w:val="0"/>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eastAsia="zh-CN"/>
              </w:rPr>
              <w:t>2112-140665-89-05-165877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建设单位联系人</w:t>
            </w:r>
          </w:p>
        </w:tc>
        <w:tc>
          <w:tcPr>
            <w:tcW w:w="1130" w:type="pct"/>
            <w:noWrap w:val="0"/>
            <w:tcMar>
              <w:left w:w="57" w:type="dxa"/>
              <w:right w:w="57" w:type="dxa"/>
            </w:tcMar>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刘立业</w:t>
            </w:r>
          </w:p>
        </w:tc>
        <w:tc>
          <w:tcPr>
            <w:tcW w:w="1232" w:type="pct"/>
            <w:gridSpan w:val="2"/>
            <w:noWrap w:val="0"/>
            <w:tcMar>
              <w:left w:w="57" w:type="dxa"/>
              <w:right w:w="57" w:type="dxa"/>
            </w:tcMar>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联系方式</w:t>
            </w:r>
          </w:p>
        </w:tc>
        <w:tc>
          <w:tcPr>
            <w:tcW w:w="1407" w:type="pct"/>
            <w:noWrap w:val="0"/>
            <w:tcMar>
              <w:left w:w="57" w:type="dxa"/>
              <w:right w:w="57" w:type="dxa"/>
            </w:tcMar>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15250796820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建设地点</w:t>
            </w:r>
          </w:p>
        </w:tc>
        <w:tc>
          <w:tcPr>
            <w:tcW w:w="3770" w:type="pct"/>
            <w:gridSpan w:val="4"/>
            <w:noWrap w:val="0"/>
            <w:tcMar>
              <w:left w:w="57" w:type="dxa"/>
              <w:right w:w="57" w:type="dxa"/>
            </w:tcMar>
            <w:vAlign w:val="center"/>
          </w:tcPr>
          <w:p>
            <w:pPr>
              <w:adjustRightInd w:val="0"/>
              <w:snapToGrid w:val="0"/>
              <w:jc w:val="center"/>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eastAsia="zh-CN"/>
              </w:rPr>
              <w:t>山西省</w:t>
            </w:r>
            <w:r>
              <w:rPr>
                <w:rFonts w:hint="eastAsia" w:ascii="Times New Roman" w:hAnsi="Times New Roman" w:eastAsia="宋体" w:cs="宋体"/>
                <w:color w:val="auto"/>
                <w:szCs w:val="21"/>
                <w:lang w:val="en-US" w:eastAsia="zh-CN"/>
              </w:rPr>
              <w:t>朔州市平鲁区高石庄乡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地理坐标</w:t>
            </w:r>
          </w:p>
        </w:tc>
        <w:tc>
          <w:tcPr>
            <w:tcW w:w="3770" w:type="pct"/>
            <w:gridSpan w:val="4"/>
            <w:noWrap w:val="0"/>
            <w:tcMar>
              <w:left w:w="57" w:type="dxa"/>
              <w:right w:w="57" w:type="dxa"/>
            </w:tcMar>
            <w:vAlign w:val="center"/>
          </w:tcPr>
          <w:p>
            <w:pPr>
              <w:adjustRightInd w:val="0"/>
              <w:snapToGrid w:val="0"/>
              <w:jc w:val="center"/>
              <w:rPr>
                <w:rFonts w:hint="default" w:ascii="Times New Roman" w:hAnsi="Times New Roman" w:eastAsia="宋体"/>
                <w:color w:val="auto"/>
                <w:kern w:val="2"/>
                <w:sz w:val="21"/>
                <w:szCs w:val="21"/>
                <w:lang w:val="en-US" w:eastAsia="zh-CN" w:bidi="ar-SA"/>
              </w:rPr>
            </w:pPr>
            <w:r>
              <w:rPr>
                <w:rFonts w:hint="default" w:ascii="Times New Roman" w:hAnsi="Times New Roman" w:eastAsia="宋体"/>
                <w:color w:val="auto"/>
                <w:sz w:val="21"/>
                <w:szCs w:val="21"/>
                <w:lang w:val="en-US" w:eastAsia="zh-CN"/>
              </w:rPr>
              <w:t>各片区中心坐标：1#</w:t>
            </w:r>
            <w:r>
              <w:rPr>
                <w:rFonts w:hint="eastAsia" w:ascii="Times New Roman" w:hAnsi="Times New Roman" w:eastAsia="宋体"/>
                <w:color w:val="auto"/>
                <w:sz w:val="21"/>
                <w:szCs w:val="21"/>
                <w:lang w:val="en-US" w:eastAsia="zh-CN"/>
              </w:rPr>
              <w:t>（</w:t>
            </w:r>
            <w:r>
              <w:rPr>
                <w:rFonts w:hint="default" w:ascii="Times New Roman" w:hAnsi="Times New Roman" w:eastAsia="宋体"/>
                <w:color w:val="auto"/>
                <w:sz w:val="21"/>
                <w:szCs w:val="21"/>
                <w:lang w:val="en-US" w:eastAsia="zh-CN"/>
              </w:rPr>
              <w:t>112度6分</w:t>
            </w:r>
            <w:r>
              <w:rPr>
                <w:rFonts w:hint="eastAsia" w:ascii="Times New Roman" w:hAnsi="Times New Roman" w:eastAsia="宋体"/>
                <w:color w:val="auto"/>
                <w:sz w:val="21"/>
                <w:szCs w:val="21"/>
                <w:lang w:val="en-US" w:eastAsia="zh-CN"/>
              </w:rPr>
              <w:t>39.310</w:t>
            </w:r>
            <w:r>
              <w:rPr>
                <w:rFonts w:hint="default" w:ascii="Times New Roman" w:hAnsi="Times New Roman" w:eastAsia="宋体"/>
                <w:color w:val="auto"/>
                <w:sz w:val="21"/>
                <w:szCs w:val="21"/>
                <w:lang w:val="en-US" w:eastAsia="zh-CN"/>
              </w:rPr>
              <w:t>秒，3</w:t>
            </w:r>
            <w:r>
              <w:rPr>
                <w:rFonts w:hint="eastAsia" w:ascii="Times New Roman" w:hAnsi="Times New Roman" w:eastAsia="宋体"/>
                <w:color w:val="auto"/>
                <w:sz w:val="21"/>
                <w:szCs w:val="21"/>
                <w:lang w:val="en-US" w:eastAsia="zh-CN"/>
              </w:rPr>
              <w:t>9</w:t>
            </w:r>
            <w:r>
              <w:rPr>
                <w:rFonts w:hint="default" w:ascii="Times New Roman" w:hAnsi="Times New Roman" w:eastAsia="宋体"/>
                <w:color w:val="auto"/>
                <w:sz w:val="21"/>
                <w:szCs w:val="21"/>
                <w:lang w:val="en-US" w:eastAsia="zh-CN"/>
              </w:rPr>
              <w:t>度</w:t>
            </w:r>
            <w:r>
              <w:rPr>
                <w:rFonts w:hint="eastAsia" w:ascii="Times New Roman" w:hAnsi="Times New Roman" w:eastAsia="宋体"/>
                <w:color w:val="auto"/>
                <w:sz w:val="21"/>
                <w:szCs w:val="21"/>
                <w:lang w:val="en-US" w:eastAsia="zh-CN"/>
              </w:rPr>
              <w:t>55</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8.912</w:t>
            </w:r>
            <w:r>
              <w:rPr>
                <w:rFonts w:hint="default" w:ascii="Times New Roman" w:hAnsi="Times New Roman" w:eastAsia="宋体"/>
                <w:color w:val="auto"/>
                <w:sz w:val="21"/>
                <w:szCs w:val="21"/>
                <w:lang w:val="en-US" w:eastAsia="zh-CN"/>
              </w:rPr>
              <w:t>秒）；2#（112度8分</w:t>
            </w:r>
            <w:r>
              <w:rPr>
                <w:rFonts w:hint="eastAsia" w:ascii="Times New Roman" w:hAnsi="Times New Roman" w:eastAsia="宋体"/>
                <w:color w:val="auto"/>
                <w:sz w:val="21"/>
                <w:szCs w:val="21"/>
                <w:lang w:val="en-US" w:eastAsia="zh-CN"/>
              </w:rPr>
              <w:t>3.705</w:t>
            </w:r>
            <w:r>
              <w:rPr>
                <w:rFonts w:hint="default" w:ascii="Times New Roman" w:hAnsi="Times New Roman" w:eastAsia="宋体"/>
                <w:color w:val="auto"/>
                <w:sz w:val="21"/>
                <w:szCs w:val="21"/>
                <w:lang w:val="en-US" w:eastAsia="zh-CN"/>
              </w:rPr>
              <w:t>秒，3</w:t>
            </w:r>
            <w:r>
              <w:rPr>
                <w:rFonts w:hint="eastAsia" w:ascii="Times New Roman" w:hAnsi="Times New Roman" w:eastAsia="宋体"/>
                <w:color w:val="auto"/>
                <w:sz w:val="21"/>
                <w:szCs w:val="21"/>
                <w:lang w:val="en-US" w:eastAsia="zh-CN"/>
              </w:rPr>
              <w:t>9</w:t>
            </w:r>
            <w:r>
              <w:rPr>
                <w:rFonts w:hint="default" w:ascii="Times New Roman" w:hAnsi="Times New Roman" w:eastAsia="宋体"/>
                <w:color w:val="auto"/>
                <w:sz w:val="21"/>
                <w:szCs w:val="21"/>
                <w:lang w:val="en-US" w:eastAsia="zh-CN"/>
              </w:rPr>
              <w:t>度</w:t>
            </w:r>
            <w:r>
              <w:rPr>
                <w:rFonts w:hint="eastAsia" w:ascii="Times New Roman" w:hAnsi="Times New Roman" w:eastAsia="宋体"/>
                <w:color w:val="auto"/>
                <w:sz w:val="21"/>
                <w:szCs w:val="21"/>
                <w:lang w:val="en-US" w:eastAsia="zh-CN"/>
              </w:rPr>
              <w:t>52</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33.895</w:t>
            </w:r>
            <w:r>
              <w:rPr>
                <w:rFonts w:hint="default" w:ascii="Times New Roman" w:hAnsi="Times New Roman" w:eastAsia="宋体"/>
                <w:color w:val="auto"/>
                <w:sz w:val="21"/>
                <w:szCs w:val="21"/>
                <w:lang w:val="en-US" w:eastAsia="zh-CN"/>
              </w:rPr>
              <w:t>秒）；3#（112度</w:t>
            </w:r>
            <w:r>
              <w:rPr>
                <w:rFonts w:hint="eastAsia" w:ascii="Times New Roman" w:hAnsi="Times New Roman" w:eastAsia="宋体"/>
                <w:color w:val="auto"/>
                <w:sz w:val="21"/>
                <w:szCs w:val="21"/>
                <w:lang w:val="en-US" w:eastAsia="zh-CN"/>
              </w:rPr>
              <w:t>9</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6.411</w:t>
            </w:r>
            <w:r>
              <w:rPr>
                <w:rFonts w:hint="default" w:ascii="Times New Roman" w:hAnsi="Times New Roman" w:eastAsia="宋体"/>
                <w:color w:val="auto"/>
                <w:sz w:val="21"/>
                <w:szCs w:val="21"/>
                <w:lang w:val="en-US" w:eastAsia="zh-CN"/>
              </w:rPr>
              <w:t>秒，3</w:t>
            </w:r>
            <w:r>
              <w:rPr>
                <w:rFonts w:hint="eastAsia" w:ascii="Times New Roman" w:hAnsi="Times New Roman" w:eastAsia="宋体"/>
                <w:color w:val="auto"/>
                <w:sz w:val="21"/>
                <w:szCs w:val="21"/>
                <w:lang w:val="en-US" w:eastAsia="zh-CN"/>
              </w:rPr>
              <w:t>9</w:t>
            </w:r>
            <w:r>
              <w:rPr>
                <w:rFonts w:hint="default" w:ascii="Times New Roman" w:hAnsi="Times New Roman" w:eastAsia="宋体"/>
                <w:color w:val="auto"/>
                <w:sz w:val="21"/>
                <w:szCs w:val="21"/>
                <w:lang w:val="en-US" w:eastAsia="zh-CN"/>
              </w:rPr>
              <w:t>度</w:t>
            </w:r>
            <w:r>
              <w:rPr>
                <w:rFonts w:hint="eastAsia" w:ascii="Times New Roman" w:hAnsi="Times New Roman" w:eastAsia="宋体"/>
                <w:color w:val="auto"/>
                <w:sz w:val="21"/>
                <w:szCs w:val="21"/>
                <w:lang w:val="en-US" w:eastAsia="zh-CN"/>
              </w:rPr>
              <w:t>51</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0.001</w:t>
            </w:r>
            <w:r>
              <w:rPr>
                <w:rFonts w:hint="default" w:ascii="Times New Roman" w:hAnsi="Times New Roman" w:eastAsia="宋体"/>
                <w:color w:val="auto"/>
                <w:sz w:val="21"/>
                <w:szCs w:val="21"/>
                <w:lang w:val="en-US" w:eastAsia="zh-CN"/>
              </w:rPr>
              <w:t>秒）；4#（112度</w:t>
            </w:r>
            <w:r>
              <w:rPr>
                <w:rFonts w:hint="eastAsia" w:ascii="Times New Roman" w:hAnsi="Times New Roman" w:eastAsia="宋体"/>
                <w:color w:val="auto"/>
                <w:sz w:val="21"/>
                <w:szCs w:val="21"/>
                <w:lang w:val="en-US" w:eastAsia="zh-CN"/>
              </w:rPr>
              <w:t>11</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8.404</w:t>
            </w:r>
            <w:r>
              <w:rPr>
                <w:rFonts w:hint="default" w:ascii="Times New Roman" w:hAnsi="Times New Roman" w:eastAsia="宋体"/>
                <w:color w:val="auto"/>
                <w:sz w:val="21"/>
                <w:szCs w:val="21"/>
                <w:lang w:val="en-US" w:eastAsia="zh-CN"/>
              </w:rPr>
              <w:t>秒，3</w:t>
            </w:r>
            <w:r>
              <w:rPr>
                <w:rFonts w:hint="eastAsia" w:ascii="Times New Roman" w:hAnsi="Times New Roman" w:eastAsia="宋体"/>
                <w:color w:val="auto"/>
                <w:sz w:val="21"/>
                <w:szCs w:val="21"/>
                <w:lang w:val="en-US" w:eastAsia="zh-CN"/>
              </w:rPr>
              <w:t>9</w:t>
            </w:r>
            <w:r>
              <w:rPr>
                <w:rFonts w:hint="default" w:ascii="Times New Roman" w:hAnsi="Times New Roman" w:eastAsia="宋体"/>
                <w:color w:val="auto"/>
                <w:sz w:val="21"/>
                <w:szCs w:val="21"/>
                <w:lang w:val="en-US" w:eastAsia="zh-CN"/>
              </w:rPr>
              <w:t>度</w:t>
            </w:r>
            <w:r>
              <w:rPr>
                <w:rFonts w:hint="eastAsia" w:ascii="Times New Roman" w:hAnsi="Times New Roman" w:eastAsia="宋体"/>
                <w:color w:val="auto"/>
                <w:sz w:val="21"/>
                <w:szCs w:val="21"/>
                <w:lang w:val="en-US" w:eastAsia="zh-CN"/>
              </w:rPr>
              <w:t>51</w:t>
            </w:r>
            <w:r>
              <w:rPr>
                <w:rFonts w:hint="default" w:ascii="Times New Roman" w:hAnsi="Times New Roman" w:eastAsia="宋体"/>
                <w:color w:val="auto"/>
                <w:sz w:val="21"/>
                <w:szCs w:val="21"/>
                <w:lang w:val="en-US" w:eastAsia="zh-CN"/>
              </w:rPr>
              <w:t>分</w:t>
            </w:r>
            <w:r>
              <w:rPr>
                <w:rFonts w:hint="eastAsia" w:ascii="Times New Roman" w:hAnsi="Times New Roman" w:eastAsia="宋体"/>
                <w:color w:val="auto"/>
                <w:sz w:val="21"/>
                <w:szCs w:val="21"/>
                <w:lang w:val="en-US" w:eastAsia="zh-CN"/>
              </w:rPr>
              <w:t>20.761</w:t>
            </w:r>
            <w:r>
              <w:rPr>
                <w:rFonts w:hint="default" w:ascii="Times New Roman" w:hAnsi="Times New Roman" w:eastAsia="宋体"/>
                <w:color w:val="auto"/>
                <w:sz w:val="21"/>
                <w:szCs w:val="21"/>
                <w:lang w:val="en-US" w:eastAsia="zh-CN"/>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1"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建设项目</w:t>
            </w:r>
          </w:p>
          <w:p>
            <w:pPr>
              <w:adjustRightInd w:val="0"/>
              <w:snapToGrid w:val="0"/>
              <w:jc w:val="center"/>
              <w:rPr>
                <w:rFonts w:ascii="宋体" w:hAnsi="宋体" w:cs="宋体"/>
                <w:color w:val="auto"/>
                <w:szCs w:val="21"/>
              </w:rPr>
            </w:pPr>
            <w:r>
              <w:rPr>
                <w:rFonts w:hint="eastAsia" w:ascii="宋体" w:hAnsi="宋体" w:cs="宋体"/>
                <w:color w:val="auto"/>
                <w:szCs w:val="21"/>
              </w:rPr>
              <w:t>行业类别</w:t>
            </w:r>
          </w:p>
        </w:tc>
        <w:tc>
          <w:tcPr>
            <w:tcW w:w="1130"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Times New Roman" w:hAnsi="Times New Roman" w:eastAsia="宋体" w:cs="Times New Roman"/>
                <w:color w:val="auto"/>
                <w:sz w:val="21"/>
                <w:szCs w:val="21"/>
                <w:lang w:val="en-US" w:eastAsia="zh-CN"/>
              </w:rPr>
              <w:t>90.太阳能发电4416（不含居民家用光伏发电）</w:t>
            </w:r>
          </w:p>
        </w:tc>
        <w:tc>
          <w:tcPr>
            <w:tcW w:w="1227"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Times New Roman" w:hAnsi="Times New Roman" w:eastAsia="宋体" w:cs="宋体"/>
                <w:color w:val="auto"/>
                <w:szCs w:val="21"/>
                <w:lang w:eastAsia="zh-CN"/>
              </w:rPr>
              <w:t>用地（用海）面积（m</w:t>
            </w:r>
            <w:r>
              <w:rPr>
                <w:rFonts w:hint="eastAsia" w:ascii="Times New Roman" w:hAnsi="Times New Roman" w:eastAsia="宋体" w:cs="宋体"/>
                <w:color w:val="auto"/>
                <w:szCs w:val="21"/>
                <w:vertAlign w:val="superscript"/>
                <w:lang w:eastAsia="zh-CN"/>
              </w:rPr>
              <w:t>2</w:t>
            </w:r>
            <w:r>
              <w:rPr>
                <w:rFonts w:hint="eastAsia" w:ascii="Times New Roman" w:hAnsi="Times New Roman" w:eastAsia="宋体" w:cs="宋体"/>
                <w:color w:val="auto"/>
                <w:szCs w:val="21"/>
                <w:lang w:eastAsia="zh-CN"/>
              </w:rPr>
              <w:t>）/长度（km）</w:t>
            </w:r>
          </w:p>
        </w:tc>
        <w:tc>
          <w:tcPr>
            <w:tcW w:w="1412" w:type="pct"/>
            <w:gridSpan w:val="2"/>
            <w:noWrap w:val="0"/>
            <w:tcMar>
              <w:left w:w="57" w:type="dxa"/>
              <w:right w:w="57" w:type="dxa"/>
            </w:tcMar>
            <w:vAlign w:val="center"/>
          </w:tcPr>
          <w:p>
            <w:pPr>
              <w:adjustRightInd w:val="0"/>
              <w:snapToGrid w:val="0"/>
              <w:jc w:val="center"/>
              <w:rPr>
                <w:rFonts w:ascii="宋体" w:hAnsi="宋体" w:cs="宋体"/>
                <w:color w:val="auto"/>
                <w:szCs w:val="21"/>
              </w:rPr>
            </w:pPr>
            <w:r>
              <w:rPr>
                <w:rFonts w:hint="default" w:ascii="Times New Roman" w:hAnsi="Times New Roman" w:eastAsia="宋体" w:cs="宋体"/>
                <w:color w:val="auto"/>
                <w:szCs w:val="21"/>
                <w:shd w:val="clear" w:color="auto" w:fill="auto"/>
                <w:lang w:val="en-US" w:eastAsia="zh-CN"/>
              </w:rPr>
              <w:t>工程总占地面积约</w:t>
            </w:r>
            <w:r>
              <w:rPr>
                <w:rFonts w:hint="eastAsia" w:ascii="Times New Roman" w:hAnsi="Times New Roman" w:eastAsia="宋体" w:cs="宋体"/>
                <w:color w:val="auto"/>
                <w:szCs w:val="21"/>
                <w:shd w:val="clear" w:color="auto" w:fill="auto"/>
                <w:lang w:val="en-US" w:eastAsia="zh-CN"/>
              </w:rPr>
              <w:t>175.6</w:t>
            </w:r>
            <w:r>
              <w:rPr>
                <w:rFonts w:hint="default" w:ascii="Times New Roman" w:hAnsi="Times New Roman" w:eastAsia="宋体" w:cs="宋体"/>
                <w:color w:val="auto"/>
                <w:szCs w:val="21"/>
                <w:shd w:val="clear" w:color="auto" w:fill="auto"/>
                <w:lang w:val="en-US" w:eastAsia="zh-CN"/>
              </w:rPr>
              <w:t>0hm</w:t>
            </w:r>
            <w:r>
              <w:rPr>
                <w:rFonts w:hint="default" w:ascii="Times New Roman" w:hAnsi="Times New Roman" w:eastAsia="宋体" w:cs="宋体"/>
                <w:color w:val="auto"/>
                <w:szCs w:val="21"/>
                <w:shd w:val="clear" w:color="auto" w:fill="auto"/>
                <w:vertAlign w:val="superscript"/>
                <w:lang w:val="en-US" w:eastAsia="zh-CN"/>
              </w:rPr>
              <w:t>2</w:t>
            </w:r>
            <w:r>
              <w:rPr>
                <w:rFonts w:hint="default" w:ascii="Times New Roman" w:hAnsi="Times New Roman" w:eastAsia="宋体" w:cs="宋体"/>
                <w:color w:val="auto"/>
                <w:szCs w:val="21"/>
                <w:shd w:val="clear" w:color="auto" w:fill="auto"/>
                <w:lang w:val="en-US" w:eastAsia="zh-CN"/>
              </w:rPr>
              <w:t>，</w:t>
            </w:r>
            <w:r>
              <w:rPr>
                <w:rFonts w:hint="default" w:ascii="Times New Roman" w:hAnsi="Times New Roman" w:eastAsia="宋体" w:cs="宋体"/>
                <w:color w:val="auto"/>
                <w:szCs w:val="21"/>
                <w:highlight w:val="none"/>
                <w:shd w:val="clear" w:color="auto" w:fill="auto"/>
                <w:lang w:val="en-US" w:eastAsia="zh-CN"/>
              </w:rPr>
              <w:t>其中永久性用地面积为</w:t>
            </w:r>
            <w:r>
              <w:rPr>
                <w:rFonts w:hint="eastAsia" w:ascii="Times New Roman" w:hAnsi="Times New Roman" w:eastAsia="宋体" w:cs="宋体"/>
                <w:color w:val="auto"/>
                <w:szCs w:val="21"/>
                <w:highlight w:val="none"/>
                <w:shd w:val="clear" w:color="auto" w:fill="auto"/>
                <w:lang w:val="en-US" w:eastAsia="zh-CN"/>
              </w:rPr>
              <w:t>4.15</w:t>
            </w:r>
            <w:r>
              <w:rPr>
                <w:rFonts w:hint="default" w:ascii="Times New Roman" w:hAnsi="Times New Roman" w:eastAsia="宋体" w:cs="宋体"/>
                <w:color w:val="auto"/>
                <w:szCs w:val="21"/>
                <w:highlight w:val="none"/>
                <w:shd w:val="clear" w:color="auto" w:fill="auto"/>
                <w:lang w:val="en-US" w:eastAsia="zh-CN"/>
              </w:rPr>
              <w:t>hm</w:t>
            </w:r>
            <w:r>
              <w:rPr>
                <w:rFonts w:hint="default" w:ascii="Times New Roman" w:hAnsi="Times New Roman" w:eastAsia="宋体" w:cs="宋体"/>
                <w:color w:val="auto"/>
                <w:szCs w:val="21"/>
                <w:highlight w:val="none"/>
                <w:shd w:val="clear" w:color="auto" w:fill="auto"/>
                <w:vertAlign w:val="superscript"/>
                <w:lang w:val="en-US" w:eastAsia="zh-CN"/>
              </w:rPr>
              <w:t>2</w:t>
            </w:r>
            <w:r>
              <w:rPr>
                <w:rFonts w:hint="default" w:ascii="Times New Roman" w:hAnsi="Times New Roman" w:eastAsia="宋体" w:cs="宋体"/>
                <w:color w:val="auto"/>
                <w:szCs w:val="21"/>
                <w:highlight w:val="none"/>
                <w:shd w:val="clear" w:color="auto" w:fill="auto"/>
                <w:lang w:val="en-US" w:eastAsia="zh-CN"/>
              </w:rPr>
              <w:t>，临时性用地面积</w:t>
            </w:r>
            <w:r>
              <w:rPr>
                <w:rFonts w:hint="eastAsia" w:ascii="Times New Roman" w:hAnsi="Times New Roman" w:eastAsia="宋体" w:cs="宋体"/>
                <w:color w:val="auto"/>
                <w:szCs w:val="21"/>
                <w:highlight w:val="none"/>
                <w:shd w:val="clear" w:color="auto" w:fill="auto"/>
                <w:lang w:val="en-US" w:eastAsia="zh-CN"/>
              </w:rPr>
              <w:t>171.45</w:t>
            </w:r>
            <w:r>
              <w:rPr>
                <w:rFonts w:hint="default" w:ascii="Times New Roman" w:hAnsi="Times New Roman" w:eastAsia="宋体" w:cs="宋体"/>
                <w:color w:val="auto"/>
                <w:szCs w:val="21"/>
                <w:highlight w:val="none"/>
                <w:shd w:val="clear" w:color="auto" w:fill="auto"/>
                <w:lang w:val="en-US" w:eastAsia="zh-CN"/>
              </w:rPr>
              <w:t>hm</w:t>
            </w:r>
            <w:r>
              <w:rPr>
                <w:rFonts w:hint="default" w:ascii="Times New Roman" w:hAnsi="Times New Roman" w:eastAsia="宋体" w:cs="宋体"/>
                <w:color w:val="auto"/>
                <w:szCs w:val="21"/>
                <w:highlight w:val="none"/>
                <w:shd w:val="clear" w:color="auto" w:fill="auto"/>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8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建设性质</w:t>
            </w:r>
          </w:p>
        </w:tc>
        <w:tc>
          <w:tcPr>
            <w:tcW w:w="1130" w:type="pct"/>
            <w:noWrap w:val="0"/>
            <w:tcMar>
              <w:left w:w="57" w:type="dxa"/>
              <w:right w:w="57" w:type="dxa"/>
            </w:tcMar>
            <w:vAlign w:val="center"/>
          </w:tcPr>
          <w:p>
            <w:pPr>
              <w:adjustRightInd w:val="0"/>
              <w:snapToGrid w:val="0"/>
              <w:jc w:val="left"/>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新建（迁建）</w:t>
            </w:r>
          </w:p>
          <w:p>
            <w:pPr>
              <w:adjustRightInd w:val="0"/>
              <w:snapToGrid w:val="0"/>
              <w:jc w:val="left"/>
              <w:rPr>
                <w:rFonts w:ascii="宋体" w:hAnsi="宋体" w:cs="宋体"/>
                <w:color w:val="auto"/>
                <w:szCs w:val="21"/>
              </w:rPr>
            </w:pPr>
            <w:r>
              <w:rPr>
                <w:rFonts w:hint="eastAsia" w:ascii="宋体" w:hAnsi="宋体" w:cs="宋体"/>
                <w:color w:val="auto"/>
                <w:szCs w:val="21"/>
              </w:rPr>
              <w:t>□改建</w:t>
            </w:r>
          </w:p>
          <w:p>
            <w:pPr>
              <w:adjustRightInd w:val="0"/>
              <w:snapToGrid w:val="0"/>
              <w:jc w:val="left"/>
              <w:rPr>
                <w:rFonts w:ascii="宋体" w:hAnsi="宋体" w:cs="宋体"/>
                <w:color w:val="auto"/>
                <w:szCs w:val="21"/>
              </w:rPr>
            </w:pPr>
            <w:r>
              <w:rPr>
                <w:rFonts w:hint="eastAsia" w:ascii="宋体" w:hAnsi="宋体" w:cs="宋体"/>
                <w:color w:val="auto"/>
                <w:szCs w:val="21"/>
              </w:rPr>
              <w:t>□扩建</w:t>
            </w:r>
          </w:p>
          <w:p>
            <w:pPr>
              <w:adjustRightInd w:val="0"/>
              <w:snapToGrid w:val="0"/>
              <w:jc w:val="left"/>
              <w:rPr>
                <w:rFonts w:ascii="宋体" w:hAnsi="宋体" w:cs="宋体"/>
                <w:color w:val="auto"/>
                <w:szCs w:val="21"/>
              </w:rPr>
            </w:pPr>
            <w:r>
              <w:rPr>
                <w:rFonts w:hint="eastAsia" w:ascii="宋体" w:hAnsi="宋体" w:cs="宋体"/>
                <w:color w:val="auto"/>
                <w:szCs w:val="21"/>
              </w:rPr>
              <w:t>□技术改造</w:t>
            </w:r>
          </w:p>
        </w:tc>
        <w:tc>
          <w:tcPr>
            <w:tcW w:w="1227"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建设项目</w:t>
            </w:r>
          </w:p>
          <w:p>
            <w:pPr>
              <w:adjustRightInd w:val="0"/>
              <w:snapToGrid w:val="0"/>
              <w:jc w:val="center"/>
              <w:rPr>
                <w:rFonts w:ascii="宋体" w:hAnsi="宋体" w:cs="宋体"/>
                <w:color w:val="auto"/>
                <w:szCs w:val="21"/>
              </w:rPr>
            </w:pPr>
            <w:r>
              <w:rPr>
                <w:rFonts w:hint="eastAsia" w:ascii="宋体" w:hAnsi="宋体" w:cs="宋体"/>
                <w:color w:val="auto"/>
                <w:szCs w:val="21"/>
              </w:rPr>
              <w:t>申报情形</w:t>
            </w:r>
          </w:p>
        </w:tc>
        <w:tc>
          <w:tcPr>
            <w:tcW w:w="1412" w:type="pct"/>
            <w:gridSpan w:val="2"/>
            <w:noWrap w:val="0"/>
            <w:tcMar>
              <w:left w:w="57" w:type="dxa"/>
              <w:right w:w="57" w:type="dxa"/>
            </w:tcMar>
            <w:vAlign w:val="center"/>
          </w:tcPr>
          <w:p>
            <w:pPr>
              <w:adjustRightInd w:val="0"/>
              <w:snapToGrid w:val="0"/>
              <w:jc w:val="left"/>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首次申报项目</w:t>
            </w:r>
          </w:p>
          <w:p>
            <w:pPr>
              <w:adjustRightInd w:val="0"/>
              <w:snapToGrid w:val="0"/>
              <w:jc w:val="left"/>
              <w:rPr>
                <w:rFonts w:ascii="宋体" w:hAnsi="宋体" w:cs="宋体"/>
                <w:color w:val="auto"/>
                <w:szCs w:val="21"/>
              </w:rPr>
            </w:pPr>
            <w:r>
              <w:rPr>
                <w:rFonts w:hint="eastAsia" w:ascii="宋体" w:hAnsi="宋体" w:cs="宋体"/>
                <w:color w:val="auto"/>
                <w:szCs w:val="21"/>
              </w:rPr>
              <w:t>□不予批准后再次申报项目</w:t>
            </w:r>
          </w:p>
          <w:p>
            <w:pPr>
              <w:adjustRightInd w:val="0"/>
              <w:snapToGrid w:val="0"/>
              <w:jc w:val="left"/>
              <w:rPr>
                <w:rFonts w:ascii="宋体" w:hAnsi="宋体" w:cs="宋体"/>
                <w:color w:val="auto"/>
                <w:szCs w:val="21"/>
              </w:rPr>
            </w:pPr>
            <w:r>
              <w:rPr>
                <w:rFonts w:hint="eastAsia" w:ascii="宋体" w:hAnsi="宋体" w:cs="宋体"/>
                <w:color w:val="auto"/>
                <w:szCs w:val="21"/>
              </w:rPr>
              <w:t>□超五年重新审核项目</w:t>
            </w:r>
          </w:p>
          <w:p>
            <w:pPr>
              <w:adjustRightInd w:val="0"/>
              <w:snapToGrid w:val="0"/>
              <w:rPr>
                <w:rFonts w:ascii="宋体" w:hAnsi="宋体" w:cs="宋体"/>
                <w:color w:val="auto"/>
                <w:szCs w:val="21"/>
              </w:rPr>
            </w:pPr>
            <w:r>
              <w:rPr>
                <w:rFonts w:hint="eastAsia" w:ascii="宋体" w:hAnsi="宋体" w:cs="宋体"/>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项目审批（核准</w:t>
            </w:r>
            <w:r>
              <w:rPr>
                <w:rFonts w:ascii="宋体" w:hAnsi="宋体" w:cs="宋体"/>
                <w:color w:val="auto"/>
                <w:szCs w:val="21"/>
              </w:rPr>
              <w:t>/</w:t>
            </w:r>
          </w:p>
          <w:p>
            <w:pPr>
              <w:adjustRightInd w:val="0"/>
              <w:snapToGrid w:val="0"/>
              <w:jc w:val="center"/>
              <w:rPr>
                <w:rFonts w:ascii="宋体" w:hAnsi="宋体" w:cs="宋体"/>
                <w:color w:val="auto"/>
                <w:szCs w:val="21"/>
              </w:rPr>
            </w:pPr>
            <w:r>
              <w:rPr>
                <w:rFonts w:hint="eastAsia" w:ascii="宋体" w:hAnsi="宋体" w:cs="宋体"/>
                <w:color w:val="auto"/>
                <w:szCs w:val="21"/>
              </w:rPr>
              <w:t>备案）部门（选填）</w:t>
            </w:r>
          </w:p>
        </w:tc>
        <w:tc>
          <w:tcPr>
            <w:tcW w:w="1130"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Times New Roman" w:hAnsi="Times New Roman" w:eastAsia="宋体" w:cs="宋体"/>
                <w:color w:val="auto"/>
                <w:szCs w:val="21"/>
                <w:lang w:eastAsia="zh-CN"/>
              </w:rPr>
              <w:t>平鲁经济技术开发区管理委员会</w:t>
            </w:r>
          </w:p>
        </w:tc>
        <w:tc>
          <w:tcPr>
            <w:tcW w:w="1227"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项目审批（核准</w:t>
            </w:r>
            <w:r>
              <w:rPr>
                <w:rFonts w:ascii="宋体" w:hAnsi="宋体" w:cs="宋体"/>
                <w:color w:val="auto"/>
                <w:szCs w:val="21"/>
              </w:rPr>
              <w:t>/</w:t>
            </w:r>
          </w:p>
          <w:p>
            <w:pPr>
              <w:adjustRightInd w:val="0"/>
              <w:snapToGrid w:val="0"/>
              <w:jc w:val="center"/>
              <w:rPr>
                <w:rFonts w:ascii="宋体" w:hAnsi="宋体" w:cs="宋体"/>
                <w:color w:val="auto"/>
                <w:szCs w:val="21"/>
              </w:rPr>
            </w:pPr>
            <w:r>
              <w:rPr>
                <w:rFonts w:hint="eastAsia" w:ascii="宋体" w:hAnsi="宋体" w:cs="宋体"/>
                <w:color w:val="auto"/>
                <w:szCs w:val="21"/>
              </w:rPr>
              <w:t>备案）文号（选填）</w:t>
            </w:r>
          </w:p>
        </w:tc>
        <w:tc>
          <w:tcPr>
            <w:tcW w:w="1412" w:type="pct"/>
            <w:gridSpan w:val="2"/>
            <w:noWrap w:val="0"/>
            <w:tcMar>
              <w:left w:w="57" w:type="dxa"/>
              <w:right w:w="57" w:type="dxa"/>
            </w:tcMar>
            <w:vAlign w:val="center"/>
          </w:tcPr>
          <w:p>
            <w:pPr>
              <w:adjustRightInd w:val="0"/>
              <w:snapToGrid w:val="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总投资（万元）</w:t>
            </w:r>
          </w:p>
        </w:tc>
        <w:tc>
          <w:tcPr>
            <w:tcW w:w="1130" w:type="pct"/>
            <w:noWrap w:val="0"/>
            <w:tcMar>
              <w:left w:w="57" w:type="dxa"/>
              <w:right w:w="57" w:type="dxa"/>
            </w:tcMar>
            <w:vAlign w:val="center"/>
          </w:tcPr>
          <w:p>
            <w:pPr>
              <w:adjustRightInd w:val="0"/>
              <w:snapToGrid w:val="0"/>
              <w:jc w:val="center"/>
              <w:rPr>
                <w:rFonts w:hint="default" w:ascii="宋体" w:hAnsi="宋体" w:cs="宋体"/>
                <w:color w:val="auto"/>
                <w:szCs w:val="21"/>
                <w:lang w:val="en-US"/>
              </w:rPr>
            </w:pPr>
            <w:r>
              <w:rPr>
                <w:rFonts w:hint="eastAsia" w:ascii="Times New Roman" w:hAnsi="Times New Roman" w:eastAsia="宋体" w:cs="Times New Roman"/>
                <w:color w:val="auto"/>
                <w:lang w:val="en-US" w:eastAsia="zh-CN"/>
              </w:rPr>
              <w:t>34830.2</w:t>
            </w:r>
          </w:p>
        </w:tc>
        <w:tc>
          <w:tcPr>
            <w:tcW w:w="1227"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环保投资（万元）</w:t>
            </w:r>
          </w:p>
        </w:tc>
        <w:tc>
          <w:tcPr>
            <w:tcW w:w="1412" w:type="pct"/>
            <w:gridSpan w:val="2"/>
            <w:noWrap w:val="0"/>
            <w:tcMar>
              <w:left w:w="57" w:type="dxa"/>
              <w:right w:w="57" w:type="dxa"/>
            </w:tcMar>
            <w:vAlign w:val="center"/>
          </w:tcPr>
          <w:p>
            <w:pPr>
              <w:adjustRightInd w:val="0"/>
              <w:snapToGrid w:val="0"/>
              <w:jc w:val="center"/>
              <w:rPr>
                <w:rFonts w:hint="default" w:ascii="宋体" w:hAnsi="宋体" w:eastAsia="宋体" w:cs="宋体"/>
                <w:color w:val="auto"/>
                <w:szCs w:val="21"/>
                <w:lang w:val="en-US" w:eastAsia="zh-CN"/>
              </w:rPr>
            </w:pPr>
            <w:r>
              <w:rPr>
                <w:rFonts w:hint="eastAsia" w:ascii="Times New Roman" w:hAnsi="Times New Roman" w:eastAsia="宋体" w:cs="Times New Roman"/>
                <w:color w:val="auto"/>
                <w:szCs w:val="21"/>
                <w:lang w:val="en-US" w:eastAsia="zh-CN"/>
              </w:rPr>
              <w:t>476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环保投资占比（</w:t>
            </w:r>
            <w:r>
              <w:rPr>
                <w:rFonts w:ascii="宋体" w:hAnsi="宋体" w:cs="宋体"/>
                <w:color w:val="auto"/>
                <w:szCs w:val="21"/>
              </w:rPr>
              <w:t>%</w:t>
            </w:r>
            <w:r>
              <w:rPr>
                <w:rFonts w:hint="eastAsia" w:ascii="宋体" w:hAnsi="宋体" w:cs="宋体"/>
                <w:color w:val="auto"/>
                <w:szCs w:val="21"/>
              </w:rPr>
              <w:t>）</w:t>
            </w:r>
          </w:p>
        </w:tc>
        <w:tc>
          <w:tcPr>
            <w:tcW w:w="1130" w:type="pct"/>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Times New Roman" w:hAnsi="Times New Roman" w:eastAsia="宋体" w:cs="Times New Roman"/>
                <w:color w:val="auto"/>
                <w:szCs w:val="21"/>
                <w:lang w:val="en-US" w:eastAsia="zh-CN"/>
              </w:rPr>
              <w:t>1.37</w:t>
            </w:r>
            <w:r>
              <w:rPr>
                <w:rFonts w:hint="default" w:ascii="Times New Roman" w:hAnsi="Times New Roman" w:eastAsia="宋体" w:cs="Times New Roman"/>
                <w:color w:val="auto"/>
                <w:szCs w:val="21"/>
              </w:rPr>
              <w:t>%</w:t>
            </w:r>
          </w:p>
        </w:tc>
        <w:tc>
          <w:tcPr>
            <w:tcW w:w="1227"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施工工期</w:t>
            </w:r>
          </w:p>
        </w:tc>
        <w:tc>
          <w:tcPr>
            <w:tcW w:w="1412" w:type="pct"/>
            <w:gridSpan w:val="2"/>
            <w:noWrap w:val="0"/>
            <w:tcMar>
              <w:left w:w="57" w:type="dxa"/>
              <w:right w:w="57" w:type="dxa"/>
            </w:tcMar>
            <w:vAlign w:val="center"/>
          </w:tcPr>
          <w:p>
            <w:pPr>
              <w:adjustRightInd w:val="0"/>
              <w:snapToGrid w:val="0"/>
              <w:jc w:val="center"/>
              <w:rPr>
                <w:rFonts w:ascii="宋体" w:hAnsi="宋体" w:cs="宋体"/>
                <w:color w:val="auto"/>
                <w:szCs w:val="21"/>
              </w:rPr>
            </w:pPr>
            <w:r>
              <w:rPr>
                <w:rFonts w:hint="eastAsia" w:ascii="Times New Roman" w:hAnsi="Times New Roman" w:eastAsia="宋体" w:cs="Times New Roman"/>
                <w:color w:val="auto"/>
                <w:szCs w:val="21"/>
                <w:lang w:val="en-US" w:eastAsia="zh-CN"/>
              </w:rPr>
              <w:t>4</w:t>
            </w:r>
            <w:r>
              <w:rPr>
                <w:rFonts w:hint="eastAsia" w:ascii="Times New Roman" w:hAnsi="Times New Roman" w:eastAsia="宋体" w:cs="宋体"/>
                <w:color w:val="auto"/>
                <w:szCs w:val="21"/>
                <w:lang w:val="en-US" w:eastAsia="zh-CN"/>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trPr>
        <w:tc>
          <w:tcPr>
            <w:tcW w:w="1229" w:type="pct"/>
            <w:noWrap w:val="0"/>
            <w:tcMar>
              <w:top w:w="16" w:type="dxa"/>
              <w:left w:w="57" w:type="dxa"/>
              <w:right w:w="57"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是否开工建设</w:t>
            </w:r>
          </w:p>
        </w:tc>
        <w:tc>
          <w:tcPr>
            <w:tcW w:w="3770" w:type="pct"/>
            <w:gridSpan w:val="4"/>
            <w:noWrap w:val="0"/>
            <w:tcMar>
              <w:left w:w="57" w:type="dxa"/>
              <w:right w:w="57" w:type="dxa"/>
            </w:tcMar>
            <w:vAlign w:val="center"/>
          </w:tcPr>
          <w:p>
            <w:pPr>
              <w:adjustRightInd w:val="0"/>
              <w:snapToGrid w:val="0"/>
              <w:ind w:firstLine="105"/>
              <w:jc w:val="left"/>
              <w:rPr>
                <w:rFonts w:ascii="宋体" w:hAnsi="宋体" w:cs="宋体"/>
                <w:color w:val="auto"/>
                <w:szCs w:val="21"/>
              </w:rPr>
            </w:pPr>
            <w:r>
              <w:rPr>
                <w:rFonts w:hint="eastAsia" w:ascii="宋体" w:hAnsi="宋体" w:cs="宋体"/>
                <w:color w:val="auto"/>
                <w:szCs w:val="21"/>
              </w:rPr>
              <w:sym w:font="Wingdings 2" w:char="0052"/>
            </w:r>
            <w:r>
              <w:rPr>
                <w:rFonts w:hint="eastAsia" w:ascii="宋体" w:hAnsi="宋体" w:cs="宋体"/>
                <w:color w:val="auto"/>
                <w:szCs w:val="21"/>
              </w:rPr>
              <w:t>否</w:t>
            </w:r>
          </w:p>
          <w:p>
            <w:pPr>
              <w:adjustRightInd w:val="0"/>
              <w:snapToGrid w:val="0"/>
              <w:ind w:firstLine="92"/>
              <w:jc w:val="left"/>
              <w:rPr>
                <w:rFonts w:ascii="宋体" w:hAnsi="宋体" w:cs="宋体"/>
                <w:color w:val="auto"/>
                <w:szCs w:val="21"/>
              </w:rPr>
            </w:pPr>
            <w:r>
              <w:rPr>
                <w:rFonts w:hint="eastAsia" w:ascii="宋体" w:hAnsi="宋体" w:cs="宋体"/>
                <w:color w:val="auto"/>
                <w:szCs w:val="21"/>
              </w:rPr>
              <w:t>□是：</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1229" w:type="pct"/>
            <w:noWrap w:val="0"/>
            <w:tcMar>
              <w:top w:w="16" w:type="dxa"/>
              <w:left w:w="57" w:type="dxa"/>
              <w:right w:w="57" w:type="dxa"/>
            </w:tcMar>
            <w:vAlign w:val="center"/>
          </w:tcPr>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kern w:val="0"/>
                <w:szCs w:val="21"/>
              </w:rPr>
              <w:t>专项评价设置情况</w:t>
            </w:r>
          </w:p>
        </w:tc>
        <w:tc>
          <w:tcPr>
            <w:tcW w:w="3770" w:type="pct"/>
            <w:gridSpan w:val="4"/>
            <w:noWrap w:val="0"/>
            <w:tcMar>
              <w:top w:w="16" w:type="dxa"/>
              <w:left w:w="57" w:type="dxa"/>
              <w:right w:w="57" w:type="dxa"/>
            </w:tcMar>
            <w:vAlign w:val="center"/>
          </w:tcPr>
          <w:p>
            <w:pPr>
              <w:autoSpaceDE w:val="0"/>
              <w:autoSpaceDN w:val="0"/>
              <w:adjustRightInd w:val="0"/>
              <w:snapToGrid w:val="0"/>
              <w:jc w:val="center"/>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olor w:val="auto"/>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1229" w:type="pct"/>
            <w:noWrap w:val="0"/>
            <w:tcMar>
              <w:top w:w="16" w:type="dxa"/>
              <w:left w:w="57" w:type="dxa"/>
              <w:right w:w="57" w:type="dxa"/>
            </w:tcMar>
            <w:vAlign w:val="center"/>
          </w:tcPr>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szCs w:val="21"/>
              </w:rPr>
              <w:t>规划情况</w:t>
            </w:r>
          </w:p>
        </w:tc>
        <w:tc>
          <w:tcPr>
            <w:tcW w:w="3770" w:type="pct"/>
            <w:gridSpan w:val="4"/>
            <w:noWrap w:val="0"/>
            <w:tcMar>
              <w:top w:w="16" w:type="dxa"/>
              <w:left w:w="57" w:type="dxa"/>
              <w:right w:w="57" w:type="dxa"/>
            </w:tcMar>
            <w:vAlign w:val="center"/>
          </w:tcPr>
          <w:p>
            <w:pPr>
              <w:autoSpaceDE w:val="0"/>
              <w:autoSpaceDN w:val="0"/>
              <w:adjustRightInd w:val="0"/>
              <w:snapToGrid w:val="0"/>
              <w:jc w:val="center"/>
              <w:rPr>
                <w:rFonts w:hint="default" w:ascii="Times New Roman" w:hAnsi="Times New Roman" w:eastAsia="宋体"/>
                <w:color w:val="auto"/>
                <w:kern w:val="2"/>
                <w:sz w:val="21"/>
                <w:szCs w:val="24"/>
                <w:lang w:val="en-US" w:eastAsia="zh-CN" w:bidi="ar-SA"/>
              </w:rPr>
            </w:pPr>
            <w:r>
              <w:rPr>
                <w:rFonts w:hint="eastAsia" w:ascii="Times New Roman" w:hAnsi="Times New Roman" w:eastAsia="宋体"/>
                <w:color w:val="auto"/>
                <w:sz w:val="21"/>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1229" w:type="pct"/>
            <w:noWrap w:val="0"/>
            <w:tcMar>
              <w:top w:w="16" w:type="dxa"/>
              <w:left w:w="57" w:type="dxa"/>
              <w:right w:w="57" w:type="dxa"/>
            </w:tcMar>
            <w:vAlign w:val="center"/>
          </w:tcPr>
          <w:p>
            <w:pPr>
              <w:autoSpaceDE w:val="0"/>
              <w:autoSpaceDN w:val="0"/>
              <w:adjustRightInd w:val="0"/>
              <w:snapToGrid w:val="0"/>
              <w:jc w:val="center"/>
              <w:rPr>
                <w:rFonts w:ascii="宋体" w:hAnsi="宋体" w:cs="宋体"/>
                <w:color w:val="auto"/>
                <w:szCs w:val="21"/>
              </w:rPr>
            </w:pPr>
            <w:r>
              <w:rPr>
                <w:rFonts w:hint="eastAsia" w:ascii="宋体" w:hAnsi="宋体" w:cs="宋体"/>
                <w:color w:val="auto"/>
                <w:szCs w:val="21"/>
              </w:rPr>
              <w:t>规划环境影响</w:t>
            </w:r>
          </w:p>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szCs w:val="21"/>
              </w:rPr>
              <w:t>评价情况</w:t>
            </w:r>
          </w:p>
        </w:tc>
        <w:tc>
          <w:tcPr>
            <w:tcW w:w="3770" w:type="pct"/>
            <w:gridSpan w:val="4"/>
            <w:noWrap w:val="0"/>
            <w:tcMar>
              <w:top w:w="16" w:type="dxa"/>
              <w:left w:w="57" w:type="dxa"/>
              <w:right w:w="57" w:type="dxa"/>
            </w:tcMar>
            <w:vAlign w:val="center"/>
          </w:tcPr>
          <w:p>
            <w:pPr>
              <w:adjustRightInd w:val="0"/>
              <w:snapToGrid w:val="0"/>
              <w:jc w:val="center"/>
              <w:rPr>
                <w:rFonts w:hint="eastAsia" w:ascii="Times New Roman" w:hAnsi="Times New Roman" w:eastAsia="宋体" w:cs="宋体"/>
                <w:color w:val="auto"/>
                <w:kern w:val="0"/>
                <w:sz w:val="21"/>
                <w:szCs w:val="21"/>
                <w:lang w:val="en-US" w:eastAsia="zh-CN" w:bidi="ar-SA"/>
              </w:rPr>
            </w:pPr>
            <w:r>
              <w:rPr>
                <w:rFonts w:hint="eastAsia" w:ascii="Times New Roman" w:hAnsi="Times New Roman" w:eastAsia="宋体" w:cs="宋体"/>
                <w:color w:val="auto"/>
                <w:kern w:val="0"/>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1229" w:type="pct"/>
            <w:noWrap w:val="0"/>
            <w:tcMar>
              <w:top w:w="16" w:type="dxa"/>
              <w:left w:w="57" w:type="dxa"/>
              <w:right w:w="57" w:type="dxa"/>
            </w:tcMar>
            <w:vAlign w:val="center"/>
          </w:tcPr>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kern w:val="0"/>
                <w:szCs w:val="21"/>
              </w:rPr>
              <w:t>规划及</w:t>
            </w:r>
            <w:r>
              <w:rPr>
                <w:rFonts w:hint="eastAsia" w:ascii="宋体" w:hAnsi="宋体" w:cs="宋体"/>
                <w:color w:val="auto"/>
                <w:szCs w:val="21"/>
              </w:rPr>
              <w:t>规划环境影响评价</w:t>
            </w:r>
            <w:r>
              <w:rPr>
                <w:rFonts w:hint="eastAsia" w:ascii="宋体" w:hAnsi="宋体" w:cs="宋体"/>
                <w:color w:val="auto"/>
                <w:kern w:val="0"/>
                <w:szCs w:val="21"/>
              </w:rPr>
              <w:t>符合性分析</w:t>
            </w:r>
          </w:p>
        </w:tc>
        <w:tc>
          <w:tcPr>
            <w:tcW w:w="3770" w:type="pct"/>
            <w:gridSpan w:val="4"/>
            <w:noWrap w:val="0"/>
            <w:tcMar>
              <w:top w:w="16" w:type="dxa"/>
              <w:left w:w="57" w:type="dxa"/>
              <w:right w:w="57" w:type="dxa"/>
            </w:tcMar>
            <w:vAlign w:val="center"/>
          </w:tcPr>
          <w:p>
            <w:pPr>
              <w:adjustRightInd w:val="0"/>
              <w:snapToGrid w:val="0"/>
              <w:jc w:val="center"/>
              <w:rPr>
                <w:rFonts w:ascii="Times New Roman" w:hAnsi="Times New Roman" w:eastAsia="宋体" w:cs="宋体"/>
                <w:color w:val="auto"/>
                <w:kern w:val="0"/>
                <w:sz w:val="21"/>
                <w:szCs w:val="21"/>
                <w:lang w:val="en-US" w:eastAsia="zh-CN" w:bidi="ar-SA"/>
              </w:rPr>
            </w:pPr>
            <w:r>
              <w:rPr>
                <w:rFonts w:hint="eastAsia" w:ascii="Times New Roman" w:hAnsi="Times New Roman" w:eastAsia="宋体" w:cs="宋体"/>
                <w:color w:val="auto"/>
                <w:kern w:val="0"/>
                <w:szCs w:val="21"/>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31" w:hRule="atLeast"/>
        </w:trPr>
        <w:tc>
          <w:tcPr>
            <w:tcW w:w="1229" w:type="pct"/>
            <w:noWrap w:val="0"/>
            <w:tcMar>
              <w:top w:w="16" w:type="dxa"/>
              <w:left w:w="57" w:type="dxa"/>
              <w:right w:w="57" w:type="dxa"/>
            </w:tcMar>
            <w:vAlign w:val="center"/>
          </w:tcPr>
          <w:p>
            <w:pPr>
              <w:autoSpaceDE w:val="0"/>
              <w:autoSpaceDN w:val="0"/>
              <w:adjustRightInd w:val="0"/>
              <w:snapToGrid w:val="0"/>
              <w:jc w:val="center"/>
              <w:rPr>
                <w:rFonts w:ascii="宋体" w:hAnsi="宋体" w:cs="宋体"/>
                <w:color w:val="auto"/>
                <w:kern w:val="0"/>
                <w:szCs w:val="21"/>
              </w:rPr>
            </w:pPr>
            <w:bookmarkStart w:id="1" w:name="_Hlk56690880"/>
            <w:r>
              <w:rPr>
                <w:rFonts w:hint="eastAsia" w:ascii="宋体" w:hAnsi="宋体" w:cs="宋体"/>
                <w:color w:val="auto"/>
                <w:kern w:val="0"/>
                <w:szCs w:val="21"/>
              </w:rPr>
              <w:t>其他符合性分析</w:t>
            </w:r>
            <w:bookmarkEnd w:id="1"/>
          </w:p>
        </w:tc>
        <w:tc>
          <w:tcPr>
            <w:tcW w:w="3770" w:type="pct"/>
            <w:gridSpan w:val="4"/>
            <w:noWrap w:val="0"/>
            <w:tcMar>
              <w:top w:w="16"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lang w:val="en-US" w:eastAsia="zh-CN"/>
              </w:rPr>
            </w:pPr>
            <w:r>
              <w:rPr>
                <w:rFonts w:hint="eastAsia"/>
                <w:b/>
                <w:bCs/>
                <w:color w:val="auto"/>
                <w:lang w:val="en-US" w:eastAsia="zh-CN"/>
              </w:rPr>
              <w:t>1、三线一单符合性分析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color w:val="auto"/>
              </w:rPr>
              <w:t>生态保护红线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color w:val="auto"/>
              </w:rPr>
              <w:t>本项目位于朔州市</w:t>
            </w:r>
            <w:r>
              <w:rPr>
                <w:rFonts w:hint="eastAsia" w:ascii="Times New Roman" w:hAnsi="Times New Roman" w:eastAsia="宋体" w:cs="宋体"/>
                <w:color w:val="auto"/>
                <w:szCs w:val="21"/>
                <w:lang w:val="en-US" w:eastAsia="zh-CN"/>
              </w:rPr>
              <w:t>平鲁区高石庄乡</w:t>
            </w:r>
            <w:r>
              <w:rPr>
                <w:color w:val="auto"/>
              </w:rPr>
              <w:t>，不在自然保护区、风景名胜区、饮用水水源保护区、森林公园、地质公园等重要生态功能区</w:t>
            </w:r>
            <w:r>
              <w:rPr>
                <w:rFonts w:hint="eastAsia"/>
                <w:color w:val="auto"/>
                <w:lang w:eastAsia="zh-CN"/>
              </w:rPr>
              <w:t>。</w:t>
            </w:r>
            <w:r>
              <w:rPr>
                <w:rFonts w:hint="eastAsia"/>
                <w:color w:val="auto"/>
                <w:highlight w:val="none"/>
                <w:lang w:val="en-US" w:eastAsia="zh-CN"/>
              </w:rPr>
              <w:t>根据</w:t>
            </w:r>
            <w:r>
              <w:rPr>
                <w:rFonts w:hint="eastAsia"/>
                <w:color w:val="auto"/>
                <w:lang w:val="en-US" w:eastAsia="zh-CN"/>
              </w:rPr>
              <w:t>朔州市平鲁区自然资源局、朔州市生态环境局平鲁分局、朔州市平鲁区林业局、朔州市平鲁区水利局、朔州市平鲁区文物局、山西省军区战备建设局各</w:t>
            </w:r>
            <w:r>
              <w:rPr>
                <w:rFonts w:hint="eastAsia"/>
                <w:color w:val="auto"/>
                <w:highlight w:val="none"/>
                <w:lang w:val="en-US" w:eastAsia="zh-CN"/>
              </w:rPr>
              <w:t>部门关于对本项目选址意见的复函</w:t>
            </w:r>
            <w:r>
              <w:rPr>
                <w:rFonts w:hint="eastAsia"/>
                <w:color w:val="auto"/>
                <w:lang w:val="en-US" w:eastAsia="zh-CN"/>
              </w:rPr>
              <w:t>，项目占地范围与相关重点保护区无重叠。且</w:t>
            </w:r>
            <w:r>
              <w:rPr>
                <w:color w:val="auto"/>
              </w:rPr>
              <w:t>本项目运行期间基本无大气污染物及噪声排放；无废水外排；固体废物均可得到合理处置，项目建设过程中将进行生态修复，增加防沙治沙、水土保持等措施</w:t>
            </w:r>
            <w:r>
              <w:rPr>
                <w:rFonts w:hint="eastAsia"/>
                <w:color w:val="auto"/>
                <w:lang w:eastAsia="zh-CN"/>
              </w:rPr>
              <w:t>，</w:t>
            </w:r>
            <w:r>
              <w:rPr>
                <w:color w:val="auto"/>
              </w:rPr>
              <w:t>减少水土流失，因此，本项目的建设符合生态保护红线保护</w:t>
            </w:r>
            <w:r>
              <w:rPr>
                <w:rFonts w:hint="eastAsia"/>
                <w:color w:val="auto"/>
                <w:lang w:eastAsia="zh-CN"/>
              </w:rPr>
              <w:t>要求</w:t>
            </w:r>
            <w:r>
              <w:rPr>
                <w:color w:val="auto"/>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color w:val="auto"/>
              </w:rPr>
              <w:t>环境质量底线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eastAsia="zh-CN"/>
              </w:rPr>
            </w:pPr>
            <w:r>
              <w:rPr>
                <w:rFonts w:hint="eastAsia"/>
                <w:color w:val="auto"/>
                <w:lang w:eastAsia="zh-CN"/>
              </w:rPr>
              <w:t>根据20</w:t>
            </w:r>
            <w:r>
              <w:rPr>
                <w:rFonts w:hint="eastAsia"/>
                <w:color w:val="auto"/>
                <w:lang w:val="en-US" w:eastAsia="zh-CN"/>
              </w:rPr>
              <w:t>20</w:t>
            </w:r>
            <w:r>
              <w:rPr>
                <w:rFonts w:hint="eastAsia"/>
                <w:color w:val="auto"/>
                <w:lang w:eastAsia="zh-CN"/>
              </w:rPr>
              <w:t>年朔州市平鲁区例行监测数据的监测结果，所监测的6项污染物中PM</w:t>
            </w:r>
            <w:r>
              <w:rPr>
                <w:rFonts w:hint="eastAsia"/>
                <w:color w:val="auto"/>
                <w:vertAlign w:val="subscript"/>
                <w:lang w:eastAsia="zh-CN"/>
              </w:rPr>
              <w:t>2.5</w:t>
            </w:r>
            <w:r>
              <w:rPr>
                <w:rFonts w:hint="eastAsia"/>
                <w:color w:val="auto"/>
                <w:lang w:eastAsia="zh-CN"/>
              </w:rPr>
              <w:t>、PM</w:t>
            </w:r>
            <w:r>
              <w:rPr>
                <w:rFonts w:hint="eastAsia"/>
                <w:color w:val="auto"/>
                <w:vertAlign w:val="subscript"/>
                <w:lang w:eastAsia="zh-CN"/>
              </w:rPr>
              <w:t>10</w:t>
            </w:r>
            <w:r>
              <w:rPr>
                <w:rFonts w:hint="eastAsia"/>
                <w:color w:val="auto"/>
                <w:lang w:eastAsia="zh-CN"/>
              </w:rPr>
              <w:t>均超标，平鲁区为不达标区。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eastAsia="zh-CN"/>
              </w:rPr>
            </w:pPr>
            <w:r>
              <w:rPr>
                <w:rFonts w:hint="eastAsia"/>
                <w:color w:val="auto"/>
                <w:lang w:eastAsia="zh-CN"/>
              </w:rPr>
              <w:t>本项目为光伏发电项目，项目运行期间基本无大气污染物及噪声排放；项目无废水外排；固体废物均可得到合理处置。本项目污染物采取相应措施后基本不会对平鲁区环境质量造成影响。因此，本项目的建设符合环境质量底线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color w:val="auto"/>
              </w:rPr>
              <w:t>资源利用上线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eastAsia="zh-CN"/>
              </w:rPr>
            </w:pPr>
            <w:r>
              <w:rPr>
                <w:rFonts w:hint="eastAsia"/>
                <w:color w:val="auto"/>
                <w:lang w:eastAsia="zh-CN"/>
              </w:rPr>
              <w:t>本项目为光伏发电项目，所用资源主要为太阳能资源，</w:t>
            </w:r>
            <w:r>
              <w:rPr>
                <w:rFonts w:hint="eastAsia"/>
                <w:color w:val="auto"/>
                <w:lang w:val="en-US" w:eastAsia="zh-CN"/>
              </w:rPr>
              <w:t>根据《太阳能资源评估方法》（QX-T-89-2018），</w:t>
            </w:r>
            <w:r>
              <w:rPr>
                <w:rFonts w:hint="eastAsia"/>
                <w:color w:val="auto"/>
                <w:lang w:eastAsia="zh-CN"/>
              </w:rPr>
              <w:t>平鲁</w:t>
            </w:r>
            <w:r>
              <w:rPr>
                <w:rFonts w:hint="eastAsia"/>
                <w:color w:val="auto"/>
                <w:lang w:val="en-US" w:eastAsia="zh-CN"/>
              </w:rPr>
              <w:t>区属于B类“资源很丰富带”，适合大型光伏电站的建设。</w:t>
            </w:r>
            <w:r>
              <w:rPr>
                <w:rFonts w:hint="eastAsia"/>
                <w:color w:val="auto"/>
                <w:lang w:eastAsia="zh-CN"/>
              </w:rPr>
              <w:t>因此本项目符合资源利用上线要求。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color w:val="auto"/>
              </w:rPr>
              <w:t>负面清单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lang w:val="en-US" w:eastAsia="zh-CN"/>
              </w:rPr>
            </w:pPr>
            <w:r>
              <w:rPr>
                <w:rFonts w:hint="default"/>
                <w:color w:val="auto"/>
              </w:rPr>
              <w:t>本项目所在地没有负面清单，</w:t>
            </w:r>
            <w:r>
              <w:rPr>
                <w:rFonts w:hint="eastAsia"/>
                <w:color w:val="auto"/>
                <w:lang w:eastAsia="zh-CN"/>
              </w:rPr>
              <w:t>根据</w:t>
            </w:r>
            <w:r>
              <w:rPr>
                <w:rFonts w:hint="default"/>
                <w:color w:val="auto"/>
              </w:rPr>
              <w:t>国家发展改革委、商务部</w:t>
            </w:r>
            <w:r>
              <w:rPr>
                <w:rFonts w:hint="eastAsia"/>
                <w:color w:val="auto"/>
                <w:lang w:eastAsia="zh-CN"/>
              </w:rPr>
              <w:t>发布的</w:t>
            </w:r>
            <w:r>
              <w:rPr>
                <w:rFonts w:hint="default"/>
                <w:color w:val="auto"/>
              </w:rPr>
              <w:t>《市场准入负面清单（20</w:t>
            </w:r>
            <w:r>
              <w:rPr>
                <w:rFonts w:hint="eastAsia"/>
                <w:color w:val="auto"/>
                <w:lang w:val="en-US" w:eastAsia="zh-CN"/>
              </w:rPr>
              <w:t>20</w:t>
            </w:r>
            <w:r>
              <w:rPr>
                <w:rFonts w:hint="default"/>
                <w:color w:val="auto"/>
              </w:rPr>
              <w:t>年版）》</w:t>
            </w:r>
            <w:r>
              <w:rPr>
                <w:rFonts w:hint="eastAsia"/>
                <w:color w:val="auto"/>
                <w:lang w:eastAsia="zh-CN"/>
              </w:rPr>
              <w:t>，本项目不属于禁止类，并且</w:t>
            </w:r>
            <w:r>
              <w:rPr>
                <w:rFonts w:hint="eastAsia"/>
                <w:color w:val="auto"/>
              </w:rPr>
              <w:t>根据国家发改委《产业结构调整指导目录（2019年本）》，</w:t>
            </w:r>
            <w:r>
              <w:rPr>
                <w:rFonts w:hint="eastAsia" w:ascii="Times New Roman" w:hAnsi="Times New Roman" w:eastAsia="宋体" w:cs="Times New Roman"/>
                <w:color w:val="auto"/>
                <w:lang w:eastAsia="zh-CN"/>
              </w:rPr>
              <w:t>本项目属于鼓励类项目中的第五条新能源”中的第1款“太阳能热发电集热系统、太阳能光伏发电系统集成技术开发应用、逆变控制系统开发制造”。2021年12月</w:t>
            </w:r>
            <w:r>
              <w:rPr>
                <w:rFonts w:hint="eastAsia" w:ascii="Times New Roman" w:hAnsi="Times New Roman" w:eastAsia="宋体" w:cs="Times New Roman"/>
                <w:color w:val="auto"/>
                <w:lang w:val="en-US" w:eastAsia="zh-CN"/>
              </w:rPr>
              <w:t>30</w:t>
            </w:r>
            <w:r>
              <w:rPr>
                <w:rFonts w:hint="eastAsia" w:ascii="Times New Roman" w:hAnsi="Times New Roman" w:eastAsia="宋体" w:cs="Times New Roman"/>
                <w:color w:val="auto"/>
                <w:lang w:eastAsia="zh-CN"/>
              </w:rPr>
              <w:t>日，</w:t>
            </w:r>
            <w:r>
              <w:rPr>
                <w:rFonts w:hint="eastAsia" w:ascii="Times New Roman" w:hAnsi="Times New Roman" w:eastAsia="宋体" w:cs="宋体"/>
                <w:color w:val="auto"/>
                <w:szCs w:val="21"/>
                <w:lang w:eastAsia="zh-CN"/>
              </w:rPr>
              <w:t>平鲁经济技术开发区管理委员会</w:t>
            </w:r>
            <w:r>
              <w:rPr>
                <w:rFonts w:hint="eastAsia" w:ascii="Times New Roman" w:hAnsi="Times New Roman" w:eastAsia="宋体" w:cs="Times New Roman"/>
                <w:color w:val="auto"/>
                <w:lang w:eastAsia="zh-CN"/>
              </w:rPr>
              <w:t>对本项目进行了备案，项目代码：</w:t>
            </w:r>
            <w:r>
              <w:rPr>
                <w:rFonts w:hint="eastAsia" w:ascii="Times New Roman" w:hAnsi="Times New Roman" w:eastAsia="宋体" w:cs="宋体"/>
                <w:color w:val="auto"/>
                <w:szCs w:val="21"/>
                <w:lang w:eastAsia="zh-CN"/>
              </w:rPr>
              <w:t>2112-140665-89-05-165877</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根据山西省能源局文件《关于下达山西省2021年风电、光伏发电保障性并网年度建设计划的通知》（晋能源新能源发[202]477号），本项目为山西省2021年风电、光伏项目的备选项目，同时本项目取得了平鲁区各相关部门的前期意见。</w:t>
            </w:r>
            <w:r>
              <w:rPr>
                <w:rFonts w:hint="eastAsia" w:ascii="Times New Roman" w:hAnsi="Times New Roman" w:eastAsia="宋体" w:cs="Times New Roman"/>
                <w:color w:val="auto"/>
                <w:lang w:eastAsia="zh-CN"/>
              </w:rPr>
              <w:t>因此，本项目的建设符合国家现行产业政策。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综上所述，本项目的建设符合“三线一单”环境影响评价管理的要求。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w:t>
            </w:r>
            <w:r>
              <w:rPr>
                <w:rFonts w:hint="default" w:ascii="Times New Roman" w:hAnsi="Times New Roman" w:eastAsia="宋体" w:cs="Times New Roman"/>
                <w:b/>
                <w:bCs/>
                <w:color w:val="auto"/>
                <w:lang w:val="en-US" w:eastAsia="zh-CN"/>
              </w:rPr>
              <w:t>与《朔州市人民政府关于印发“三线一单”生态环境分区管控实施方案的通知》符合性分析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本项目与《朔州市人民政府关于印发“三线一单”生态环境分区管控实施方案的通知》（朔政发[202</w:t>
            </w: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lang w:eastAsia="zh-CN"/>
              </w:rPr>
              <w:t>]2</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lang w:eastAsia="zh-CN"/>
              </w:rPr>
              <w:t>号）的符合性分析见</w:t>
            </w:r>
            <w:r>
              <w:rPr>
                <w:rFonts w:hint="eastAsia" w:ascii="Times New Roman" w:hAnsi="Times New Roman" w:eastAsia="宋体" w:cs="Times New Roman"/>
                <w:color w:val="auto"/>
                <w:lang w:eastAsia="zh-CN"/>
              </w:rPr>
              <w:t>下</w:t>
            </w:r>
            <w:r>
              <w:rPr>
                <w:rFonts w:hint="default" w:ascii="Times New Roman" w:hAnsi="Times New Roman" w:eastAsia="宋体" w:cs="Times New Roman"/>
                <w:color w:val="auto"/>
                <w:lang w:eastAsia="zh-CN"/>
              </w:rPr>
              <w:t>表，朔州市生态环境管控单元图见</w:t>
            </w:r>
            <w:r>
              <w:rPr>
                <w:rFonts w:hint="eastAsia" w:ascii="Times New Roman" w:hAnsi="Times New Roman" w:eastAsia="宋体" w:cs="Times New Roman"/>
                <w:color w:val="auto"/>
                <w:lang w:eastAsia="zh-CN"/>
              </w:rPr>
              <w:t>附图</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lang w:eastAsia="zh-CN"/>
              </w:rPr>
              <w:t>。</w:t>
            </w:r>
          </w:p>
          <w:p>
            <w:pPr>
              <w:pStyle w:val="11"/>
              <w:bidi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w:t>
            </w:r>
            <w:r>
              <w:rPr>
                <w:rFonts w:hint="eastAsia" w:ascii="Times New Roman" w:hAnsi="Times New Roman" w:eastAsia="宋体" w:cs="Times New Roman"/>
                <w:color w:val="auto"/>
                <w:sz w:val="21"/>
                <w:szCs w:val="21"/>
                <w:lang w:val="en-US" w:eastAsia="zh-CN"/>
              </w:rPr>
              <w:t>1-1</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本项目与《</w:t>
            </w:r>
            <w:r>
              <w:rPr>
                <w:rFonts w:hint="default" w:ascii="Times New Roman" w:hAnsi="Times New Roman" w:eastAsia="宋体" w:cs="Times New Roman"/>
                <w:color w:val="auto"/>
                <w:sz w:val="21"/>
                <w:szCs w:val="21"/>
                <w:lang w:eastAsia="zh-CN"/>
              </w:rPr>
              <w:t>朔州市</w:t>
            </w:r>
            <w:r>
              <w:rPr>
                <w:rFonts w:hint="default" w:ascii="Times New Roman" w:hAnsi="Times New Roman" w:eastAsia="宋体" w:cs="Times New Roman"/>
                <w:color w:val="auto"/>
                <w:sz w:val="21"/>
                <w:szCs w:val="21"/>
              </w:rPr>
              <w:t>人民政府关于</w:t>
            </w:r>
            <w:r>
              <w:rPr>
                <w:rFonts w:hint="default" w:ascii="Times New Roman" w:hAnsi="Times New Roman" w:eastAsia="宋体" w:cs="Times New Roman"/>
                <w:color w:val="auto"/>
                <w:sz w:val="21"/>
                <w:szCs w:val="21"/>
                <w:lang w:eastAsia="zh-CN"/>
              </w:rPr>
              <w:t>印发</w:t>
            </w:r>
            <w:r>
              <w:rPr>
                <w:rFonts w:hint="default" w:ascii="Times New Roman" w:hAnsi="Times New Roman" w:eastAsia="宋体" w:cs="Times New Roman"/>
                <w:color w:val="auto"/>
                <w:sz w:val="21"/>
                <w:szCs w:val="21"/>
              </w:rPr>
              <w:t>“三线一单”生态环境分区</w:t>
            </w:r>
          </w:p>
          <w:p>
            <w:pPr>
              <w:pStyle w:val="11"/>
              <w:bidi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管控</w:t>
            </w:r>
            <w:r>
              <w:rPr>
                <w:rFonts w:hint="default" w:ascii="Times New Roman" w:hAnsi="Times New Roman" w:eastAsia="宋体" w:cs="Times New Roman"/>
                <w:color w:val="auto"/>
                <w:sz w:val="21"/>
                <w:szCs w:val="21"/>
                <w:lang w:eastAsia="zh-CN"/>
              </w:rPr>
              <w:t>实施方案</w:t>
            </w:r>
            <w:r>
              <w:rPr>
                <w:rFonts w:hint="default" w:ascii="Times New Roman" w:hAnsi="Times New Roman" w:eastAsia="宋体" w:cs="Times New Roman"/>
                <w:color w:val="auto"/>
                <w:sz w:val="21"/>
                <w:szCs w:val="21"/>
              </w:rPr>
              <w:t>的</w:t>
            </w:r>
            <w:r>
              <w:rPr>
                <w:rFonts w:hint="default" w:ascii="Times New Roman" w:hAnsi="Times New Roman" w:eastAsia="宋体" w:cs="Times New Roman"/>
                <w:color w:val="auto"/>
                <w:sz w:val="21"/>
                <w:szCs w:val="21"/>
                <w:lang w:eastAsia="zh-CN"/>
              </w:rPr>
              <w:t>通知</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朔</w:t>
            </w:r>
            <w:r>
              <w:rPr>
                <w:rFonts w:hint="default" w:ascii="Times New Roman" w:hAnsi="Times New Roman" w:eastAsia="宋体" w:cs="Times New Roman"/>
                <w:color w:val="auto"/>
                <w:sz w:val="21"/>
                <w:szCs w:val="21"/>
              </w:rPr>
              <w:t>政发[202</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号）的符合性分析</w:t>
            </w:r>
          </w:p>
          <w:tbl>
            <w:tblPr>
              <w:tblStyle w:val="7"/>
              <w:tblW w:w="4996" w:type="pct"/>
              <w:tblInd w:w="17"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80"/>
              <w:gridCol w:w="475"/>
              <w:gridCol w:w="544"/>
              <w:gridCol w:w="2831"/>
              <w:gridCol w:w="1756"/>
              <w:gridCol w:w="5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序号</w:t>
                  </w:r>
                </w:p>
              </w:tc>
              <w:tc>
                <w:tcPr>
                  <w:tcW w:w="768" w:type="pct"/>
                  <w:gridSpan w:val="2"/>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eastAsia="宋体"/>
                      <w:color w:val="auto"/>
                      <w:lang w:val="en-US" w:eastAsia="zh-CN"/>
                    </w:rPr>
                  </w:pPr>
                  <w:r>
                    <w:rPr>
                      <w:rFonts w:hint="eastAsia"/>
                      <w:color w:val="auto"/>
                      <w:lang w:val="en-US" w:eastAsia="zh-CN"/>
                    </w:rPr>
                    <w:t>管控单元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朔</w:t>
                  </w:r>
                  <w:r>
                    <w:rPr>
                      <w:rFonts w:hint="default"/>
                      <w:color w:val="auto"/>
                    </w:rPr>
                    <w:t>政发[202</w:t>
                  </w:r>
                  <w:r>
                    <w:rPr>
                      <w:rFonts w:hint="default"/>
                      <w:color w:val="auto"/>
                      <w:lang w:val="en-US" w:eastAsia="zh-CN"/>
                    </w:rPr>
                    <w:t>1</w:t>
                  </w:r>
                  <w:r>
                    <w:rPr>
                      <w:rFonts w:hint="default"/>
                      <w:color w:val="auto"/>
                    </w:rPr>
                    <w:t>]2</w:t>
                  </w:r>
                  <w:r>
                    <w:rPr>
                      <w:rFonts w:hint="default"/>
                      <w:color w:val="auto"/>
                      <w:lang w:val="en-US" w:eastAsia="zh-CN"/>
                    </w:rPr>
                    <w:t>3</w:t>
                  </w:r>
                  <w:r>
                    <w:rPr>
                      <w:rFonts w:hint="default"/>
                      <w:color w:val="auto"/>
                    </w:rPr>
                    <w:t>号</w:t>
                  </w:r>
                </w:p>
              </w:tc>
              <w:tc>
                <w:tcPr>
                  <w:tcW w:w="132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本项目</w:t>
                  </w:r>
                </w:p>
              </w:tc>
              <w:tc>
                <w:tcPr>
                  <w:tcW w:w="41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符合性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361"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1</w:t>
                  </w:r>
                </w:p>
              </w:tc>
              <w:tc>
                <w:tcPr>
                  <w:tcW w:w="358"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划分生态环境管控单元</w:t>
                  </w: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优先保护单元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全市共计</w:t>
                  </w:r>
                  <w:r>
                    <w:rPr>
                      <w:rFonts w:hint="default"/>
                      <w:color w:val="auto"/>
                      <w:lang w:val="en-US" w:eastAsia="zh-CN"/>
                    </w:rPr>
                    <w:t>47个，约占全市国土面积的31.24%，</w:t>
                  </w:r>
                  <w:r>
                    <w:rPr>
                      <w:rFonts w:hint="default"/>
                      <w:color w:val="auto"/>
                    </w:rPr>
                    <w:t>主要包括生态保护红线、自然保护地、饮用水水源保护区、泉域重点保护区，以及生态功能重要和生态环境敏感脆弱的区域等。主要分布在</w:t>
                  </w:r>
                  <w:r>
                    <w:rPr>
                      <w:rFonts w:hint="default"/>
                      <w:color w:val="auto"/>
                      <w:lang w:eastAsia="zh-CN"/>
                    </w:rPr>
                    <w:t>右玉县大部分区域、应县南部的恒山山脉区域、平鲁区西南部和朔城区西部的管涔山脉区域。</w:t>
                  </w:r>
                </w:p>
              </w:tc>
              <w:tc>
                <w:tcPr>
                  <w:tcW w:w="1323"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本项目位于</w:t>
                  </w:r>
                  <w:r>
                    <w:rPr>
                      <w:rFonts w:hint="default"/>
                      <w:color w:val="auto"/>
                      <w:lang w:val="en-US" w:eastAsia="zh-CN"/>
                    </w:rPr>
                    <w:t>位于朔州市平鲁区</w:t>
                  </w:r>
                  <w:r>
                    <w:rPr>
                      <w:rFonts w:hint="eastAsia" w:ascii="Times New Roman" w:hAnsi="Times New Roman" w:eastAsia="宋体" w:cs="宋体"/>
                      <w:color w:val="auto"/>
                      <w:szCs w:val="21"/>
                      <w:lang w:val="en-US" w:eastAsia="zh-CN"/>
                    </w:rPr>
                    <w:t>高石庄乡</w:t>
                  </w:r>
                  <w:r>
                    <w:rPr>
                      <w:rFonts w:hint="default"/>
                      <w:color w:val="auto"/>
                      <w:lang w:eastAsia="zh-CN"/>
                    </w:rPr>
                    <w:t>，按照朔州市生态环境管控单元的划分</w:t>
                  </w:r>
                  <w:r>
                    <w:rPr>
                      <w:rFonts w:hint="default"/>
                      <w:color w:val="auto"/>
                      <w:lang w:val="en-US" w:eastAsia="zh-CN"/>
                    </w:rPr>
                    <w:t>，本项目造地范围属于一般管控单元</w:t>
                  </w:r>
                  <w:r>
                    <w:rPr>
                      <w:rFonts w:hint="eastAsia"/>
                      <w:color w:val="auto"/>
                      <w:lang w:val="en-US" w:eastAsia="zh-CN"/>
                    </w:rPr>
                    <w:t>，不在生态红线范围内。</w:t>
                  </w:r>
                </w:p>
              </w:tc>
              <w:tc>
                <w:tcPr>
                  <w:tcW w:w="413"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358"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重点管控单元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全市共计</w:t>
                  </w:r>
                  <w:r>
                    <w:rPr>
                      <w:rFonts w:hint="default"/>
                      <w:color w:val="auto"/>
                      <w:lang w:val="en-US" w:eastAsia="zh-CN"/>
                    </w:rPr>
                    <w:t>38个，约占全市国土面积的12.56%，</w:t>
                  </w:r>
                  <w:r>
                    <w:rPr>
                      <w:rFonts w:hint="default"/>
                      <w:color w:val="auto"/>
                    </w:rPr>
                    <w:t>主要包括城市建成区、省级以上经济技术开发区和产业园区、大气环境布局敏感区，以及开发强度高、污染物排放量大、环境问题相对集中的区域等。主要分布</w:t>
                  </w:r>
                  <w:r>
                    <w:rPr>
                      <w:rFonts w:hint="default"/>
                      <w:color w:val="auto"/>
                      <w:lang w:eastAsia="zh-CN"/>
                    </w:rPr>
                    <w:t>在各省级开发区、各县（市、区）城镇建成区</w:t>
                  </w:r>
                  <w:r>
                    <w:rPr>
                      <w:rFonts w:hint="default"/>
                      <w:color w:val="auto"/>
                    </w:rPr>
                    <w:t>。</w:t>
                  </w:r>
                </w:p>
              </w:tc>
              <w:tc>
                <w:tcPr>
                  <w:tcW w:w="132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color w:val="auto"/>
                    </w:rPr>
                  </w:pPr>
                </w:p>
              </w:tc>
              <w:tc>
                <w:tcPr>
                  <w:tcW w:w="41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358"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一般管控单元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全市共计</w:t>
                  </w:r>
                  <w:r>
                    <w:rPr>
                      <w:rFonts w:hint="default"/>
                      <w:color w:val="auto"/>
                      <w:lang w:val="en-US" w:eastAsia="zh-CN"/>
                    </w:rPr>
                    <w:t>6个，约占全市国土面积的56.20%，</w:t>
                  </w:r>
                  <w:r>
                    <w:rPr>
                      <w:rFonts w:hint="default"/>
                      <w:color w:val="auto"/>
                    </w:rPr>
                    <w:t>指优先保护单元和重点管控单元之外的其他区域。</w:t>
                  </w:r>
                </w:p>
              </w:tc>
              <w:tc>
                <w:tcPr>
                  <w:tcW w:w="132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color w:val="auto"/>
                    </w:rPr>
                  </w:pPr>
                </w:p>
              </w:tc>
              <w:tc>
                <w:tcPr>
                  <w:tcW w:w="41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46" w:hRule="atLeast"/>
              </w:trPr>
              <w:tc>
                <w:tcPr>
                  <w:tcW w:w="361"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2</w:t>
                  </w:r>
                </w:p>
              </w:tc>
              <w:tc>
                <w:tcPr>
                  <w:tcW w:w="358"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制定生态环境准入清单</w:t>
                  </w: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优先保护单元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lang w:eastAsia="zh-CN"/>
                    </w:rPr>
                  </w:pPr>
                  <w:r>
                    <w:rPr>
                      <w:rFonts w:hint="default"/>
                      <w:color w:val="auto"/>
                      <w:lang w:eastAsia="zh-CN"/>
                    </w:rPr>
                    <w:t>以生态环境保护为主，</w:t>
                  </w:r>
                  <w:r>
                    <w:rPr>
                      <w:rFonts w:hint="default"/>
                      <w:color w:val="auto"/>
                    </w:rPr>
                    <w:t>依法禁止或限制大规模、高强度的工业和城镇开发建设，在功能受损的优先保护单元优先开展生态保护修复活动</w:t>
                  </w:r>
                  <w:r>
                    <w:rPr>
                      <w:rFonts w:hint="default"/>
                      <w:color w:val="auto"/>
                      <w:lang w:eastAsia="zh-CN"/>
                    </w:rPr>
                    <w:t>，恢复生态系统服务功能。在桑干河河流谷地、“长城”旅游产业布局区，以及人居环境敏感区，严控重污染行业产能规模，推进产业布局与生态空间协调发展。</w:t>
                  </w:r>
                </w:p>
              </w:tc>
              <w:tc>
                <w:tcPr>
                  <w:tcW w:w="1323"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本项目为光伏发电项目，施工期要求对运输道路和堆放物料及时进行洒水抑尘；施工废水经沉淀处理后用于洒水</w:t>
                  </w:r>
                  <w:r>
                    <w:rPr>
                      <w:rFonts w:hint="eastAsia"/>
                      <w:color w:val="auto"/>
                      <w:lang w:val="en-US" w:eastAsia="zh-CN"/>
                    </w:rPr>
                    <w:t>抑尘</w:t>
                  </w:r>
                  <w:r>
                    <w:rPr>
                      <w:rFonts w:hint="default"/>
                      <w:color w:val="auto"/>
                      <w:lang w:eastAsia="zh-CN"/>
                    </w:rPr>
                    <w:t>；废弃材料和施工人员生活垃圾全部清运到环卫部门指定地点合理处置；制定合理的施工计划，严格执行，保证周边居民不受施工噪声影响；施工结束后及时对临时占地等地表扰动处进行植被恢复；运行期光伏板冲洗废水可直接排入电场自然蒸发和植被吸收；制定植被恢复管理计划，定期对植被恢复区进行巡查，对成活率不高的区域进行土壤改良和植被补栽。本项目符合一般管控单元要求。</w:t>
                  </w:r>
                </w:p>
              </w:tc>
              <w:tc>
                <w:tcPr>
                  <w:tcW w:w="413" w:type="pct"/>
                  <w:vMerge w:val="restar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44" w:hRule="atLeast"/>
              </w:trPr>
              <w:tc>
                <w:tcPr>
                  <w:tcW w:w="361"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358"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重点管控单元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以生态修复和环境污染治理为主，</w:t>
                  </w:r>
                  <w:r>
                    <w:rPr>
                      <w:rFonts w:hint="default"/>
                      <w:color w:val="auto"/>
                    </w:rPr>
                    <w:t>进一步优化空间布局，加强污染物排放控制和环境风险防控，不断提升资源能源利用效率，解决生态环境质量不达标、生态环境风险高等问题，实现减污降碳协同效应。</w:t>
                  </w:r>
                </w:p>
              </w:tc>
              <w:tc>
                <w:tcPr>
                  <w:tcW w:w="132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color w:val="auto"/>
                    </w:rPr>
                  </w:pPr>
                </w:p>
              </w:tc>
              <w:tc>
                <w:tcPr>
                  <w:tcW w:w="41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61"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358"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c>
                <w:tcPr>
                  <w:tcW w:w="410"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rPr>
                    <w:t>一般管控单元</w:t>
                  </w:r>
                </w:p>
              </w:tc>
              <w:tc>
                <w:tcPr>
                  <w:tcW w:w="213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r>
                    <w:rPr>
                      <w:rFonts w:hint="default"/>
                      <w:color w:val="auto"/>
                      <w:lang w:eastAsia="zh-CN"/>
                    </w:rPr>
                    <w:t>以生态环境保护与适度开发相结合为主，</w:t>
                  </w:r>
                  <w:r>
                    <w:rPr>
                      <w:rFonts w:hint="default"/>
                      <w:color w:val="auto"/>
                    </w:rPr>
                    <w:t>主要落实生态环境保护基本要求，执行国家</w:t>
                  </w:r>
                  <w:r>
                    <w:rPr>
                      <w:rFonts w:hint="default"/>
                      <w:color w:val="auto"/>
                      <w:lang w:eastAsia="zh-CN"/>
                    </w:rPr>
                    <w:t>和</w:t>
                  </w:r>
                  <w:r>
                    <w:rPr>
                      <w:rFonts w:hint="default"/>
                      <w:color w:val="auto"/>
                    </w:rPr>
                    <w:t>省相关产业准入、总量控制、排放标准等管理规定，推动区域生态环境质量持续改善。</w:t>
                  </w:r>
                </w:p>
              </w:tc>
              <w:tc>
                <w:tcPr>
                  <w:tcW w:w="132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left"/>
                    <w:textAlignment w:val="auto"/>
                    <w:rPr>
                      <w:rFonts w:hint="default"/>
                      <w:color w:val="auto"/>
                    </w:rPr>
                  </w:pPr>
                </w:p>
              </w:tc>
              <w:tc>
                <w:tcPr>
                  <w:tcW w:w="413" w:type="pct"/>
                  <w:vMerge w:val="continue"/>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由上表可知，项目不在生态红线范围内，符合</w:t>
            </w:r>
            <w:r>
              <w:rPr>
                <w:rFonts w:hint="default" w:ascii="Times New Roman" w:hAnsi="Times New Roman" w:eastAsia="宋体" w:cs="Times New Roman"/>
                <w:color w:val="auto"/>
                <w:lang w:eastAsia="zh-CN"/>
              </w:rPr>
              <w:t>《朔州市人民政府关于印发</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lang w:eastAsia="zh-CN"/>
              </w:rPr>
              <w:t>三线一单</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lang w:eastAsia="zh-CN"/>
              </w:rPr>
              <w:t>生态环境分区管控实施方案的通知》（朔政发[202</w:t>
            </w: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lang w:eastAsia="zh-CN"/>
              </w:rPr>
              <w:t>]2</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lang w:eastAsia="zh-CN"/>
              </w:rPr>
              <w:t>号）</w:t>
            </w:r>
            <w:r>
              <w:rPr>
                <w:rFonts w:hint="eastAsia" w:ascii="Times New Roman" w:hAnsi="Times New Roman" w:eastAsia="宋体" w:cs="Times New Roman"/>
                <w:color w:val="auto"/>
                <w:lang w:val="en-US" w:eastAsia="zh-CN"/>
              </w:rPr>
              <w:t>中一般管控区要求。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color w:val="auto"/>
                <w:lang w:val="en-US" w:eastAsia="zh-CN"/>
              </w:rPr>
            </w:pPr>
            <w:bookmarkStart w:id="2" w:name="bookmark17"/>
            <w:bookmarkStart w:id="3" w:name="bookmark18"/>
            <w:bookmarkStart w:id="4" w:name="bookmark16"/>
            <w:r>
              <w:rPr>
                <w:rFonts w:hint="eastAsia" w:ascii="Times New Roman" w:hAnsi="Times New Roman" w:eastAsia="宋体" w:cs="Times New Roman"/>
                <w:b/>
                <w:bCs/>
                <w:color w:val="auto"/>
                <w:lang w:val="en-US" w:eastAsia="zh-CN"/>
              </w:rPr>
              <w:t>3</w:t>
            </w:r>
            <w:r>
              <w:rPr>
                <w:rFonts w:hint="eastAsia" w:ascii="Times New Roman" w:hAnsi="Times New Roman" w:eastAsia="宋体" w:cs="Times New Roman"/>
                <w:b/>
                <w:bCs/>
                <w:color w:val="auto"/>
                <w:lang w:val="zh-CN" w:eastAsia="zh-CN"/>
              </w:rPr>
              <w:t>、</w:t>
            </w:r>
            <w:r>
              <w:rPr>
                <w:rFonts w:hint="eastAsia" w:ascii="Times New Roman" w:hAnsi="Times New Roman" w:eastAsia="宋体" w:cs="Times New Roman"/>
                <w:b/>
                <w:bCs/>
                <w:color w:val="auto"/>
                <w:lang w:val="en-US" w:eastAsia="zh-CN"/>
              </w:rPr>
              <w:t>《关于光伏电站建设使用林地有关问题的通知》（林资发 [2015] 153号）符合性分析</w:t>
            </w:r>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color w:val="auto"/>
                <w:lang w:val="en-US" w:eastAsia="zh-CN"/>
              </w:rPr>
            </w:pPr>
            <w:bookmarkStart w:id="5" w:name="bookmark21"/>
            <w:bookmarkStart w:id="6" w:name="bookmark19"/>
            <w:bookmarkStart w:id="7" w:name="bookmark20"/>
            <w:r>
              <w:rPr>
                <w:rFonts w:hint="eastAsia" w:ascii="Times New Roman" w:hAnsi="Times New Roman" w:eastAsia="宋体" w:cs="Times New Roman"/>
                <w:color w:val="auto"/>
                <w:lang w:val="en-US" w:eastAsia="zh-CN"/>
              </w:rPr>
              <w:t>为支持光伏产业健康发展，规范光伏电站建设使用林地，2015年 11月国家林业局下发了《关于光伏电站建设使用林地有关问题的通知》 （林资发[2015]153号），本项目选址与该文件的符合性分析详见表1-2。</w:t>
            </w:r>
            <w:bookmarkEnd w:id="5"/>
            <w:bookmarkEnd w:id="6"/>
            <w:bookmarkEnd w:id="7"/>
          </w:p>
          <w:p>
            <w:pPr>
              <w:pStyle w:val="11"/>
              <w:bidi w:val="0"/>
              <w:rPr>
                <w:rFonts w:hint="default" w:ascii="Times New Roman" w:hAnsi="Times New Roman" w:eastAsia="宋体" w:cs="Times New Roman"/>
                <w:color w:val="auto"/>
                <w:sz w:val="21"/>
                <w:szCs w:val="21"/>
              </w:rPr>
            </w:pPr>
          </w:p>
          <w:p>
            <w:pPr>
              <w:pStyle w:val="11"/>
              <w:bidi w:val="0"/>
              <w:rPr>
                <w:rFonts w:hint="default" w:ascii="Times New Roman" w:hAnsi="Times New Roman" w:eastAsia="宋体" w:cs="Times New Roman"/>
                <w:color w:val="auto"/>
                <w:sz w:val="21"/>
                <w:szCs w:val="21"/>
              </w:rPr>
            </w:pPr>
          </w:p>
          <w:p>
            <w:pPr>
              <w:pStyle w:val="11"/>
              <w:bidi w:val="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w:t>
            </w:r>
            <w:r>
              <w:rPr>
                <w:rFonts w:hint="eastAsia" w:ascii="Times New Roman" w:hAnsi="Times New Roman" w:eastAsia="宋体" w:cs="Times New Roman"/>
                <w:color w:val="auto"/>
                <w:sz w:val="21"/>
                <w:szCs w:val="21"/>
                <w:lang w:val="en-US" w:eastAsia="zh-CN"/>
              </w:rPr>
              <w:t xml:space="preserve">1-2  </w:t>
            </w:r>
            <w:r>
              <w:rPr>
                <w:rFonts w:hint="default" w:ascii="Times New Roman" w:hAnsi="Times New Roman" w:eastAsia="宋体" w:cs="Times New Roman"/>
                <w:color w:val="auto"/>
                <w:sz w:val="21"/>
                <w:szCs w:val="21"/>
              </w:rPr>
              <w:t>本项目选址与《关于光伏电站建设使用林地有关问题的通知》</w:t>
            </w:r>
          </w:p>
          <w:p>
            <w:pPr>
              <w:pStyle w:val="11"/>
              <w:bidi w:val="0"/>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符合性分析表</w:t>
            </w:r>
          </w:p>
          <w:tbl>
            <w:tblPr>
              <w:tblStyle w:val="7"/>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 w:type="dxa"/>
                <w:bottom w:w="0" w:type="dxa"/>
                <w:right w:w="10" w:type="dxa"/>
              </w:tblCellMar>
            </w:tblPr>
            <w:tblGrid>
              <w:gridCol w:w="558"/>
              <w:gridCol w:w="2715"/>
              <w:gridCol w:w="2747"/>
              <w:gridCol w:w="6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842" w:hRule="exact"/>
                <w:jc w:val="center"/>
              </w:trPr>
              <w:tc>
                <w:tcPr>
                  <w:tcW w:w="42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序号</w:t>
                  </w:r>
                </w:p>
              </w:tc>
              <w:tc>
                <w:tcPr>
                  <w:tcW w:w="2046"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相关要求</w:t>
                  </w:r>
                </w:p>
              </w:tc>
              <w:tc>
                <w:tcPr>
                  <w:tcW w:w="207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木项目情况</w:t>
                  </w:r>
                </w:p>
              </w:tc>
              <w:tc>
                <w:tcPr>
                  <w:tcW w:w="462"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005" w:hRule="exact"/>
                <w:jc w:val="center"/>
              </w:trPr>
              <w:tc>
                <w:tcPr>
                  <w:tcW w:w="42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p>
              </w:tc>
              <w:tc>
                <w:tcPr>
                  <w:tcW w:w="2046"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各类自然保护区、森林公园（含同类型国家公园）、濒危物种栖息地、天然林保护工程区以及东北内蒙古重点国有林区，为禁止建设区域。其他生态区位重要、生态脆弱、地形破碎区域，为限制建设区域。</w:t>
                  </w:r>
                </w:p>
              </w:tc>
              <w:tc>
                <w:tcPr>
                  <w:tcW w:w="207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本项目光伏场区位于</w:t>
                  </w:r>
                  <w:r>
                    <w:rPr>
                      <w:rFonts w:hint="default" w:ascii="Times New Roman" w:hAnsi="Times New Roman" w:eastAsia="宋体" w:cs="Times New Roman"/>
                      <w:color w:val="auto"/>
                      <w:lang w:val="en-US" w:eastAsia="zh-CN"/>
                    </w:rPr>
                    <w:t>朔州市平鲁区</w:t>
                  </w:r>
                  <w:r>
                    <w:rPr>
                      <w:rFonts w:hint="eastAsia" w:ascii="Times New Roman" w:hAnsi="Times New Roman" w:eastAsia="宋体" w:cs="宋体"/>
                      <w:color w:val="auto"/>
                      <w:szCs w:val="21"/>
                      <w:lang w:val="en-US" w:eastAsia="zh-CN"/>
                    </w:rPr>
                    <w:t>高石庄乡</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土地性质为</w:t>
                  </w:r>
                  <w:r>
                    <w:rPr>
                      <w:rFonts w:hint="eastAsia" w:ascii="Times New Roman" w:hAnsi="Times New Roman" w:eastAsia="宋体" w:cs="Times New Roman"/>
                      <w:color w:val="auto"/>
                      <w:lang w:eastAsia="zh-CN"/>
                    </w:rPr>
                    <w:t>建设用地、其他草地和农村道路</w:t>
                  </w:r>
                  <w:r>
                    <w:rPr>
                      <w:rFonts w:hint="eastAsia" w:ascii="Times New Roman" w:hAnsi="Times New Roman" w:eastAsia="宋体" w:cs="Times New Roman"/>
                      <w:color w:val="auto"/>
                      <w:lang w:val="zh-CN" w:eastAsia="zh-CN"/>
                    </w:rPr>
                    <w:t>。</w:t>
                  </w:r>
                  <w:r>
                    <w:rPr>
                      <w:rFonts w:hint="default" w:ascii="Times New Roman" w:hAnsi="Times New Roman" w:eastAsia="宋体" w:cs="Times New Roman"/>
                      <w:color w:val="auto"/>
                    </w:rPr>
                    <w:t>不涉及各类自然保护区、森林公园（含同类型国家公园）、濒危物种栖息地、</w:t>
                  </w:r>
                  <w:r>
                    <w:rPr>
                      <w:rFonts w:hint="eastAsia" w:ascii="Times New Roman" w:hAnsi="Times New Roman" w:eastAsia="宋体" w:cs="Times New Roman"/>
                      <w:color w:val="auto"/>
                      <w:lang w:eastAsia="zh-CN"/>
                    </w:rPr>
                    <w:t>天</w:t>
                  </w:r>
                  <w:r>
                    <w:rPr>
                      <w:rFonts w:hint="default" w:ascii="Times New Roman" w:hAnsi="Times New Roman" w:eastAsia="宋体" w:cs="Times New Roman"/>
                      <w:color w:val="auto"/>
                    </w:rPr>
                    <w:t>然林保护</w:t>
                  </w:r>
                  <w:r>
                    <w:rPr>
                      <w:rFonts w:hint="eastAsia" w:ascii="Times New Roman" w:hAnsi="Times New Roman" w:eastAsia="宋体" w:cs="Times New Roman"/>
                      <w:color w:val="auto"/>
                      <w:lang w:eastAsia="zh-CN"/>
                    </w:rPr>
                    <w:t>工</w:t>
                  </w:r>
                  <w:r>
                    <w:rPr>
                      <w:rFonts w:hint="default" w:ascii="Times New Roman" w:hAnsi="Times New Roman" w:eastAsia="宋体" w:cs="Times New Roman"/>
                      <w:color w:val="auto"/>
                    </w:rPr>
                    <w:t>程区以及东北内蒙古重点国有林区等</w:t>
                  </w:r>
                  <w:r>
                    <w:rPr>
                      <w:rFonts w:hint="eastAsia" w:ascii="Times New Roman" w:hAnsi="Times New Roman" w:eastAsia="宋体" w:cs="Times New Roman"/>
                      <w:color w:val="auto"/>
                      <w:lang w:eastAsia="zh-CN"/>
                    </w:rPr>
                    <w:t>禁止</w:t>
                  </w:r>
                  <w:r>
                    <w:rPr>
                      <w:rFonts w:hint="default" w:ascii="Times New Roman" w:hAnsi="Times New Roman" w:eastAsia="宋体" w:cs="Times New Roman"/>
                      <w:color w:val="auto"/>
                    </w:rPr>
                    <w:t>建设区域。</w:t>
                  </w:r>
                </w:p>
              </w:tc>
              <w:tc>
                <w:tcPr>
                  <w:tcW w:w="462"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608" w:hRule="exact"/>
                <w:jc w:val="center"/>
              </w:trPr>
              <w:tc>
                <w:tcPr>
                  <w:tcW w:w="42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w:t>
                  </w:r>
                </w:p>
              </w:tc>
              <w:tc>
                <w:tcPr>
                  <w:tcW w:w="2046"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光伏电站的电池组件阵列禁止使用有林地、疏林地、未成林造林地、采伐迹地、火烧迹地，以及年降雨量400毫米以下区域覆盖度高于30%的灌木林地和年降雨量400亳米以上区域覆盖度高于50%的灌木林地。</w:t>
                  </w:r>
                </w:p>
              </w:tc>
              <w:tc>
                <w:tcPr>
                  <w:tcW w:w="207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本项目光伏电站的电池组件阵列未占用有林地、疏林地、未成林造林地、采伐迹地、火烧迹地，以及年降雨量400毫米以下区域覆盖度高于30%的灌木林地和年降雨量400亳米以上区域複盖度高于50%的灌木林地。</w:t>
                  </w:r>
                </w:p>
              </w:tc>
              <w:tc>
                <w:tcPr>
                  <w:tcW w:w="462"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984" w:hRule="exact"/>
                <w:jc w:val="center"/>
              </w:trPr>
              <w:tc>
                <w:tcPr>
                  <w:tcW w:w="42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c>
                <w:tcPr>
                  <w:tcW w:w="2046"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对于森林资源调查确定为宜林地而第二次全国土地调查确定为未利用地的土地，应采用</w:t>
                  </w:r>
                  <w:r>
                    <w:rPr>
                      <w:rFonts w:hint="default" w:ascii="Times New Roman" w:hAnsi="Times New Roman" w:eastAsia="宋体" w:cs="Times New Roman"/>
                      <w:color w:val="auto"/>
                      <w:lang w:val="zh-CN" w:eastAsia="zh-CN"/>
                    </w:rPr>
                    <w:t>“林</w:t>
                  </w:r>
                  <w:r>
                    <w:rPr>
                      <w:rFonts w:hint="default" w:ascii="Times New Roman" w:hAnsi="Times New Roman" w:eastAsia="宋体" w:cs="Times New Roman"/>
                      <w:color w:val="auto"/>
                    </w:rPr>
                    <w:t>光互补</w:t>
                  </w:r>
                  <w:r>
                    <w:rPr>
                      <w:rFonts w:hint="default" w:ascii="Times New Roman" w:hAnsi="Times New Roman" w:eastAsia="宋体" w:cs="Times New Roman"/>
                      <w:color w:val="auto"/>
                      <w:lang w:val="zh-CN" w:eastAsia="zh-CN"/>
                    </w:rPr>
                    <w:t>”用地</w:t>
                  </w:r>
                  <w:r>
                    <w:rPr>
                      <w:rFonts w:hint="default" w:ascii="Times New Roman" w:hAnsi="Times New Roman" w:eastAsia="宋体" w:cs="Times New Roman"/>
                      <w:color w:val="auto"/>
                    </w:rPr>
                    <w:t>模式，</w:t>
                  </w:r>
                  <w:r>
                    <w:rPr>
                      <w:rFonts w:hint="default" w:ascii="Times New Roman" w:hAnsi="Times New Roman" w:eastAsia="宋体" w:cs="Times New Roman"/>
                      <w:color w:val="auto"/>
                      <w:lang w:val="zh-CN" w:eastAsia="zh-CN"/>
                    </w:rPr>
                    <w:t>“林光</w:t>
                  </w:r>
                  <w:r>
                    <w:rPr>
                      <w:rFonts w:hint="default" w:ascii="Times New Roman" w:hAnsi="Times New Roman" w:eastAsia="宋体" w:cs="Times New Roman"/>
                      <w:color w:val="auto"/>
                    </w:rPr>
                    <w:t>互补”模式光伏电站要确保使用的宜林地不改变林地性质。</w:t>
                  </w:r>
                </w:p>
              </w:tc>
              <w:tc>
                <w:tcPr>
                  <w:tcW w:w="207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本项目光伏场区占地不属于森林资源调查确定的宜林地。</w:t>
                  </w:r>
                </w:p>
              </w:tc>
              <w:tc>
                <w:tcPr>
                  <w:tcW w:w="462"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268" w:hRule="exact"/>
                <w:jc w:val="center"/>
              </w:trPr>
              <w:tc>
                <w:tcPr>
                  <w:tcW w:w="42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w:t>
                  </w:r>
                </w:p>
              </w:tc>
              <w:tc>
                <w:tcPr>
                  <w:tcW w:w="2046"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光伏电站建设必须依法办理使用林地审核审批手续。采用</w:t>
                  </w:r>
                  <w:r>
                    <w:rPr>
                      <w:rFonts w:hint="default" w:ascii="Times New Roman" w:hAnsi="Times New Roman" w:eastAsia="宋体" w:cs="Times New Roman"/>
                      <w:color w:val="auto"/>
                      <w:lang w:val="zh-CN" w:eastAsia="zh-CN"/>
                    </w:rPr>
                    <w:t>“林</w:t>
                  </w:r>
                  <w:r>
                    <w:rPr>
                      <w:rFonts w:hint="default" w:ascii="Times New Roman" w:hAnsi="Times New Roman" w:eastAsia="宋体" w:cs="Times New Roman"/>
                      <w:color w:val="auto"/>
                    </w:rPr>
                    <w:t>光互补</w:t>
                  </w:r>
                  <w:r>
                    <w:rPr>
                      <w:rFonts w:hint="default" w:ascii="Times New Roman" w:hAnsi="Times New Roman" w:eastAsia="宋体" w:cs="Times New Roman"/>
                      <w:color w:val="auto"/>
                      <w:lang w:val="zh-CN" w:eastAsia="zh-CN"/>
                    </w:rPr>
                    <w:t>”用</w:t>
                  </w:r>
                  <w:r>
                    <w:rPr>
                      <w:rFonts w:hint="default" w:ascii="Times New Roman" w:hAnsi="Times New Roman" w:eastAsia="宋体" w:cs="Times New Roman"/>
                      <w:color w:val="auto"/>
                    </w:rPr>
                    <w:t>地模式的，电池组件阵列在施工期按临时占用林地办理使用林地手续，运营期双方可以签订补偿协议，</w:t>
                  </w:r>
                  <w:r>
                    <w:rPr>
                      <w:rFonts w:hint="eastAsia" w:ascii="Times New Roman" w:hAnsi="Times New Roman" w:eastAsia="宋体" w:cs="Times New Roman"/>
                      <w:color w:val="auto"/>
                      <w:lang w:eastAsia="zh-CN"/>
                    </w:rPr>
                    <w:t>通过</w:t>
                  </w:r>
                  <w:r>
                    <w:rPr>
                      <w:rFonts w:hint="default" w:ascii="Times New Roman" w:hAnsi="Times New Roman" w:eastAsia="宋体" w:cs="Times New Roman"/>
                      <w:color w:val="auto"/>
                    </w:rPr>
                    <w:t>租赁等方式使用林地。</w:t>
                  </w:r>
                </w:p>
              </w:tc>
              <w:tc>
                <w:tcPr>
                  <w:tcW w:w="2070"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木项目选址不涉及自然保护区、森林公园、湿地公园、国家一级公益林、I级保护林地、山西省永久性生态公益林等。</w:t>
                  </w:r>
                </w:p>
              </w:tc>
              <w:tc>
                <w:tcPr>
                  <w:tcW w:w="462" w:type="pct"/>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color w:val="auto"/>
                    </w:rPr>
                  </w:pPr>
                  <w:r>
                    <w:rPr>
                      <w:rFonts w:hint="eastAsia" w:ascii="Times New Roman" w:hAnsi="Times New Roman" w:eastAsia="宋体" w:cs="Times New Roman"/>
                      <w:color w:val="auto"/>
                      <w:lang w:eastAsia="zh-CN"/>
                    </w:rPr>
                    <w:t>符合</w:t>
                  </w:r>
                </w:p>
              </w:tc>
            </w:tr>
          </w:tbl>
          <w:p>
            <w:pPr>
              <w:pStyle w:val="2"/>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pStyle w:val="2"/>
              <w:rPr>
                <w:rFonts w:hint="eastAsia" w:ascii="Times New Roman" w:hAnsi="Times New Roman" w:eastAsia="宋体" w:cs="Times New Roman"/>
                <w:color w:val="auto"/>
                <w:lang w:eastAsia="zh-CN"/>
              </w:rPr>
            </w:pPr>
          </w:p>
          <w:p>
            <w:pPr>
              <w:rPr>
                <w:rFonts w:hint="eastAsia" w:ascii="Times New Roman" w:hAnsi="Times New Roman" w:eastAsia="宋体" w:cs="Times New Roman"/>
                <w:color w:val="auto"/>
                <w:lang w:eastAsia="zh-CN"/>
              </w:rPr>
            </w:pPr>
          </w:p>
          <w:p>
            <w:pPr>
              <w:autoSpaceDE w:val="0"/>
              <w:autoSpaceDN w:val="0"/>
              <w:adjustRightInd w:val="0"/>
              <w:snapToGrid w:val="0"/>
              <w:rPr>
                <w:rFonts w:ascii="宋体" w:hAnsi="宋体" w:cs="宋体"/>
                <w:color w:val="auto"/>
                <w:kern w:val="0"/>
                <w:szCs w:val="21"/>
              </w:rPr>
            </w:pPr>
          </w:p>
        </w:tc>
      </w:tr>
    </w:tbl>
    <w:p>
      <w:pPr>
        <w:spacing w:line="360" w:lineRule="auto"/>
        <w:outlineLvl w:val="0"/>
        <w:rPr>
          <w:rFonts w:eastAsia="黑体"/>
          <w:color w:val="auto"/>
          <w:sz w:val="30"/>
        </w:rPr>
        <w:sectPr>
          <w:footerReference r:id="rId5" w:type="default"/>
          <w:pgSz w:w="11906" w:h="16838"/>
          <w:pgMar w:top="1701" w:right="1531" w:bottom="1701" w:left="1531" w:header="851" w:footer="1134" w:gutter="0"/>
          <w:pgBorders>
            <w:top w:val="none" w:sz="0" w:space="0"/>
            <w:left w:val="none" w:sz="0" w:space="0"/>
            <w:bottom w:val="none" w:sz="0" w:space="0"/>
            <w:right w:val="none" w:sz="0" w:space="0"/>
          </w:pgBorders>
          <w:pgNumType w:fmt="decimal" w:start="1"/>
          <w:cols w:space="720" w:num="1"/>
          <w:docGrid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cs="Times New Roman"/>
          <w:snapToGrid w:val="0"/>
          <w:color w:val="auto"/>
          <w:sz w:val="30"/>
          <w:szCs w:val="30"/>
        </w:rPr>
      </w:pPr>
      <w:r>
        <w:rPr>
          <w:rFonts w:hint="eastAsia" w:ascii="黑体" w:hAnsi="黑体" w:eastAsia="黑体" w:cs="Times New Roman"/>
          <w:snapToGrid w:val="0"/>
          <w:color w:val="auto"/>
          <w:sz w:val="30"/>
          <w:szCs w:val="30"/>
        </w:rPr>
        <w:t>二、建设内容</w:t>
      </w:r>
    </w:p>
    <w:tbl>
      <w:tblPr>
        <w:tblStyle w:val="7"/>
        <w:tblW w:w="90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83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86"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地理位置</w:t>
            </w:r>
          </w:p>
        </w:tc>
        <w:tc>
          <w:tcPr>
            <w:tcW w:w="83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ascii="宋体" w:hAnsi="宋体" w:cs="宋体"/>
                <w:color w:val="auto"/>
                <w:kern w:val="0"/>
                <w:szCs w:val="21"/>
              </w:rPr>
            </w:pPr>
            <w:r>
              <w:rPr>
                <w:rFonts w:hint="eastAsia" w:ascii="Times New Roman" w:hAnsi="Times New Roman" w:eastAsia="宋体" w:cs="Times New Roman"/>
                <w:color w:val="auto"/>
                <w:lang w:val="en-US" w:eastAsia="zh-CN"/>
              </w:rPr>
              <w:t>平鲁区苏晋能源70MW光伏发电项目场址位于项目场址位于朔州市平鲁区北侧40km 的马家湾村附近，场区成不规则多边形。场址附近有国道G109、村村通公路及既有风电场道路经过，对外交通便利。项目地理位置详见附图</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686"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项目组成及规模</w:t>
            </w:r>
          </w:p>
        </w:tc>
        <w:tc>
          <w:tcPr>
            <w:tcW w:w="8334"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1、建设规模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本项目规划装机容量70MW，年平均发电量10291.26万千瓦时，年平均利用小时数为1470.18小时。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2、建设内容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color w:val="auto"/>
                <w:highlight w:val="yellow"/>
                <w:lang w:val="en-US" w:eastAsia="zh-CN"/>
              </w:rPr>
            </w:pPr>
            <w:r>
              <w:rPr>
                <w:rFonts w:hint="eastAsia"/>
                <w:color w:val="auto"/>
                <w:lang w:val="en-US" w:eastAsia="zh-CN"/>
              </w:rPr>
              <w:t>本项目建设内容主要为：新建光伏阵列、逆变系统、箱变系统、储能工程、集电线路、检修道路及附属配套设施等。</w:t>
            </w:r>
            <w:r>
              <w:rPr>
                <w:rFonts w:hint="eastAsia"/>
                <w:color w:val="auto"/>
                <w:highlight w:val="none"/>
                <w:lang w:val="en-US" w:eastAsia="zh-CN"/>
              </w:rPr>
              <w:t>本次评价针对本项目70MW光伏电站进行评价（不含升压站和升压站出线线路），项目升压站和升压站出线线路环境管理手续正在办理。本项目的危废暂存间依托</w:t>
            </w:r>
            <w:r>
              <w:rPr>
                <w:rFonts w:hint="eastAsia" w:ascii="Times New Roman" w:hAnsi="Times New Roman" w:eastAsia="宋体" w:cs="宋体"/>
                <w:color w:val="auto"/>
                <w:sz w:val="21"/>
                <w:szCs w:val="21"/>
                <w:highlight w:val="none"/>
                <w:lang w:val="en-US" w:eastAsia="zh-CN"/>
              </w:rPr>
              <w:t>升压站危废暂存间，</w:t>
            </w:r>
            <w:r>
              <w:rPr>
                <w:rFonts w:hint="eastAsia" w:ascii="Times New Roman" w:hAnsi="Times New Roman" w:eastAsia="宋体" w:cs="Times New Roman"/>
                <w:color w:val="auto"/>
                <w:lang w:val="en-US" w:eastAsia="zh-CN"/>
              </w:rPr>
              <w:t>经与建设单位沟通，在升压站内设置一处危险废物暂存间，建筑面积20m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本项目主要建设内容见表2-1。</w:t>
            </w:r>
          </w:p>
          <w:p>
            <w:pPr>
              <w:adjustRightInd w:val="0"/>
              <w:snapToGrid w:val="0"/>
              <w:jc w:val="center"/>
              <w:rPr>
                <w:color w:val="auto"/>
              </w:rPr>
            </w:pPr>
            <w:r>
              <w:rPr>
                <w:color w:val="auto"/>
              </w:rPr>
              <w:t>表</w:t>
            </w:r>
            <w:r>
              <w:rPr>
                <w:rFonts w:hint="eastAsia"/>
                <w:color w:val="auto"/>
                <w:lang w:val="en-US" w:eastAsia="zh-CN"/>
              </w:rPr>
              <w:t xml:space="preserve">2-1  </w:t>
            </w:r>
            <w:r>
              <w:rPr>
                <w:color w:val="auto"/>
              </w:rPr>
              <w:t>本项目主要建设内容一览表</w:t>
            </w:r>
          </w:p>
          <w:tbl>
            <w:tblPr>
              <w:tblStyle w:val="7"/>
              <w:tblW w:w="497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480"/>
              <w:gridCol w:w="596"/>
              <w:gridCol w:w="70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29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类别</w:t>
                  </w: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名称</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296" w:type="pct"/>
                  <w:vMerge w:val="restar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主体工程</w:t>
                  </w: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光伏阵列</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ascii="Times New Roman" w:hAnsi="Times New Roman" w:eastAsia="宋体"/>
                      <w:color w:val="auto"/>
                      <w:sz w:val="21"/>
                      <w:szCs w:val="21"/>
                    </w:rPr>
                  </w:pPr>
                  <w:r>
                    <w:rPr>
                      <w:rFonts w:ascii="Times New Roman" w:hAnsi="Times New Roman" w:eastAsia="宋体"/>
                      <w:color w:val="auto"/>
                      <w:sz w:val="21"/>
                      <w:szCs w:val="21"/>
                    </w:rPr>
                    <w:t>电站装机容量</w:t>
                  </w:r>
                  <w:r>
                    <w:rPr>
                      <w:rFonts w:hint="eastAsia" w:ascii="Times New Roman" w:hAnsi="Times New Roman" w:eastAsia="宋体"/>
                      <w:color w:val="auto"/>
                      <w:sz w:val="21"/>
                      <w:szCs w:val="21"/>
                      <w:lang w:val="en-US" w:eastAsia="zh-CN"/>
                    </w:rPr>
                    <w:t>7</w:t>
                  </w:r>
                  <w:r>
                    <w:rPr>
                      <w:rFonts w:ascii="Times New Roman" w:hAnsi="Times New Roman" w:eastAsia="宋体"/>
                      <w:color w:val="auto"/>
                      <w:sz w:val="21"/>
                      <w:szCs w:val="21"/>
                      <w:lang w:val="en-US" w:eastAsia="en-US"/>
                    </w:rPr>
                    <w:t>0MW</w:t>
                  </w:r>
                  <w:r>
                    <w:rPr>
                      <w:rFonts w:hint="eastAsia" w:ascii="Times New Roman" w:hAnsi="Times New Roman" w:eastAsia="宋体"/>
                      <w:color w:val="auto"/>
                      <w:sz w:val="21"/>
                      <w:szCs w:val="21"/>
                      <w:lang w:val="en-US" w:eastAsia="zh-CN"/>
                    </w:rPr>
                    <w:t>，配置21个3.15MW组串式逆变器方阵，每个方阵</w:t>
                  </w:r>
                  <w:r>
                    <w:rPr>
                      <w:rFonts w:ascii="Times New Roman" w:hAnsi="Times New Roman" w:eastAsia="宋体"/>
                      <w:color w:val="auto"/>
                      <w:sz w:val="21"/>
                      <w:szCs w:val="21"/>
                    </w:rPr>
                    <w:t>布置有</w:t>
                  </w:r>
                  <w:r>
                    <w:rPr>
                      <w:rFonts w:hint="eastAsia" w:ascii="Times New Roman" w:hAnsi="Times New Roman" w:eastAsia="宋体"/>
                      <w:color w:val="auto"/>
                      <w:sz w:val="21"/>
                      <w:szCs w:val="21"/>
                      <w:lang w:val="en-US" w:eastAsia="zh-CN"/>
                    </w:rPr>
                    <w:t>272</w:t>
                  </w:r>
                  <w:r>
                    <w:rPr>
                      <w:rFonts w:ascii="Times New Roman" w:hAnsi="Times New Roman" w:eastAsia="宋体"/>
                      <w:color w:val="auto"/>
                      <w:sz w:val="21"/>
                      <w:szCs w:val="21"/>
                    </w:rPr>
                    <w:t>个光伏组串，安装光伏组件</w:t>
                  </w:r>
                  <w:r>
                    <w:rPr>
                      <w:rFonts w:hint="eastAsia" w:ascii="Times New Roman" w:hAnsi="Times New Roman" w:eastAsia="宋体"/>
                      <w:color w:val="auto"/>
                      <w:sz w:val="21"/>
                      <w:szCs w:val="21"/>
                      <w:lang w:val="en-US" w:eastAsia="zh-CN"/>
                    </w:rPr>
                    <w:t>7072</w:t>
                  </w:r>
                  <w:r>
                    <w:rPr>
                      <w:rFonts w:ascii="Times New Roman" w:hAnsi="Times New Roman" w:eastAsia="宋体"/>
                      <w:color w:val="auto"/>
                      <w:sz w:val="21"/>
                      <w:szCs w:val="21"/>
                    </w:rPr>
                    <w:t>块，</w:t>
                  </w:r>
                  <w:r>
                    <w:rPr>
                      <w:rFonts w:hint="eastAsia" w:ascii="Times New Roman" w:hAnsi="Times New Roman" w:eastAsia="宋体"/>
                      <w:color w:val="auto"/>
                      <w:sz w:val="21"/>
                      <w:szCs w:val="21"/>
                      <w:lang w:val="en-US" w:eastAsia="en-US"/>
                    </w:rPr>
                    <w:t>电池组件采用</w:t>
                  </w:r>
                  <w:r>
                    <w:rPr>
                      <w:rFonts w:hint="default" w:ascii="Times New Roman" w:hAnsi="Times New Roman" w:eastAsia="宋体"/>
                      <w:color w:val="auto"/>
                      <w:sz w:val="21"/>
                      <w:szCs w:val="21"/>
                      <w:lang w:val="en-US" w:eastAsia="en-US"/>
                    </w:rPr>
                    <w:t>535Wp</w:t>
                  </w:r>
                  <w:r>
                    <w:rPr>
                      <w:rFonts w:hint="eastAsia" w:ascii="Times New Roman" w:hAnsi="Times New Roman" w:eastAsia="宋体"/>
                      <w:color w:val="auto"/>
                      <w:sz w:val="21"/>
                      <w:szCs w:val="21"/>
                      <w:lang w:val="en-US" w:eastAsia="en-US"/>
                    </w:rPr>
                    <w:t>单晶单面组件，固定阵列采用最佳倾角为</w:t>
                  </w:r>
                  <w:r>
                    <w:rPr>
                      <w:rFonts w:hint="default" w:ascii="Times New Roman" w:hAnsi="Times New Roman" w:eastAsia="宋体"/>
                      <w:color w:val="auto"/>
                      <w:sz w:val="21"/>
                      <w:szCs w:val="21"/>
                      <w:lang w:val="en-US" w:eastAsia="en-US"/>
                    </w:rPr>
                    <w:t>35</w:t>
                  </w:r>
                  <w:r>
                    <w:rPr>
                      <w:rFonts w:hint="eastAsia" w:ascii="Times New Roman" w:hAnsi="Times New Roman" w:eastAsia="宋体"/>
                      <w:color w:val="auto"/>
                      <w:sz w:val="21"/>
                      <w:szCs w:val="21"/>
                      <w:lang w:val="en-US" w:eastAsia="en-US"/>
                    </w:rPr>
                    <w:t>°固定安装在支架上。光伏组件布置采用纵向2排横向13列的布置方式，每组支架单元布置26块电池组件，固定光伏支架采用带边框电池组件，每块光伏组件尺寸为：2274mm×1134mm（长×宽）</w:t>
                  </w:r>
                  <w:r>
                    <w:rPr>
                      <w:rFonts w:ascii="Times New Roman" w:hAnsi="Times New Roman" w:eastAsia="宋体"/>
                      <w:color w:val="auto"/>
                      <w:sz w:val="21"/>
                      <w:szCs w:val="21"/>
                      <w:lang w:val="en-US" w:eastAsia="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24"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逆变系统</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本工程选用196kW的组串式逆变器，每个方阵配制16台组串式逆变器，共</w:t>
                  </w:r>
                  <w:r>
                    <w:rPr>
                      <w:rFonts w:ascii="Times New Roman" w:hAnsi="Times New Roman" w:eastAsia="宋体"/>
                      <w:color w:val="auto"/>
                      <w:sz w:val="21"/>
                      <w:szCs w:val="21"/>
                    </w:rPr>
                    <w:t>配备</w:t>
                  </w:r>
                  <w:r>
                    <w:rPr>
                      <w:rFonts w:hint="eastAsia" w:ascii="Times New Roman" w:hAnsi="Times New Roman" w:eastAsia="宋体"/>
                      <w:color w:val="auto"/>
                      <w:sz w:val="21"/>
                      <w:szCs w:val="21"/>
                      <w:lang w:val="en-US" w:eastAsia="zh-CN"/>
                    </w:rPr>
                    <w:t>196</w:t>
                  </w:r>
                  <w:r>
                    <w:rPr>
                      <w:rFonts w:ascii="Times New Roman" w:hAnsi="Times New Roman" w:eastAsia="宋体"/>
                      <w:color w:val="auto"/>
                      <w:sz w:val="21"/>
                      <w:szCs w:val="21"/>
                      <w:lang w:val="en-US" w:eastAsia="en-US"/>
                    </w:rPr>
                    <w:t>kW</w:t>
                  </w:r>
                  <w:r>
                    <w:rPr>
                      <w:rFonts w:ascii="Times New Roman" w:hAnsi="Times New Roman" w:eastAsia="宋体"/>
                      <w:color w:val="auto"/>
                      <w:sz w:val="21"/>
                      <w:szCs w:val="21"/>
                    </w:rPr>
                    <w:t>的集中式逆变器3</w:t>
                  </w:r>
                  <w:r>
                    <w:rPr>
                      <w:rFonts w:hint="eastAsia" w:ascii="Times New Roman" w:hAnsi="Times New Roman" w:eastAsia="宋体"/>
                      <w:color w:val="auto"/>
                      <w:sz w:val="21"/>
                      <w:szCs w:val="21"/>
                      <w:lang w:val="en-US" w:eastAsia="zh-CN"/>
                    </w:rPr>
                    <w:t>36</w:t>
                  </w:r>
                  <w:r>
                    <w:rPr>
                      <w:rFonts w:ascii="Times New Roman" w:hAnsi="Times New Roman" w:eastAsia="宋体"/>
                      <w:color w:val="auto"/>
                      <w:sz w:val="21"/>
                      <w:szCs w:val="21"/>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箱变系统</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35kV箱式变压器采用组合式箱式变压器</w:t>
                  </w:r>
                  <w:r>
                    <w:rPr>
                      <w:rFonts w:ascii="Times New Roman" w:hAnsi="Times New Roman" w:eastAsia="宋体"/>
                      <w:color w:val="auto"/>
                      <w:sz w:val="21"/>
                      <w:szCs w:val="21"/>
                    </w:rPr>
                    <w:t>，共</w:t>
                  </w:r>
                  <w:r>
                    <w:rPr>
                      <w:rFonts w:hint="eastAsia" w:ascii="Times New Roman" w:hAnsi="Times New Roman" w:eastAsia="宋体"/>
                      <w:color w:val="auto"/>
                      <w:sz w:val="21"/>
                      <w:szCs w:val="21"/>
                      <w:lang w:val="en-US" w:eastAsia="zh-CN"/>
                    </w:rPr>
                    <w:t>21</w:t>
                  </w:r>
                  <w:r>
                    <w:rPr>
                      <w:rFonts w:ascii="Times New Roman" w:hAnsi="Times New Roman" w:eastAsia="宋体"/>
                      <w:color w:val="auto"/>
                      <w:sz w:val="21"/>
                      <w:szCs w:val="21"/>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213"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集电线路</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highlight w:val="none"/>
                      <w:lang w:val="en-US" w:eastAsia="zh-CN"/>
                    </w:rPr>
                  </w:pPr>
                  <w:r>
                    <w:rPr>
                      <w:rFonts w:hint="default" w:ascii="Times New Roman" w:hAnsi="Times New Roman" w:eastAsia="宋体" w:cs="宋体"/>
                      <w:color w:val="auto"/>
                      <w:sz w:val="21"/>
                      <w:szCs w:val="21"/>
                      <w:highlight w:val="none"/>
                      <w:lang w:val="en-US" w:eastAsia="zh-CN"/>
                    </w:rPr>
                    <w:t>35kV</w:t>
                  </w:r>
                  <w:r>
                    <w:rPr>
                      <w:rFonts w:hint="eastAsia" w:ascii="Times New Roman" w:hAnsi="Times New Roman" w:eastAsia="宋体" w:cs="宋体"/>
                      <w:color w:val="auto"/>
                      <w:sz w:val="21"/>
                      <w:szCs w:val="21"/>
                      <w:highlight w:val="none"/>
                      <w:lang w:val="en-US" w:eastAsia="zh-CN"/>
                    </w:rPr>
                    <w:t>集电线路为采用直埋与架空相结合的方式，最终引入</w:t>
                  </w:r>
                  <w:r>
                    <w:rPr>
                      <w:rFonts w:hint="default" w:ascii="Times New Roman" w:hAnsi="Times New Roman" w:eastAsia="宋体" w:cs="宋体"/>
                      <w:color w:val="auto"/>
                      <w:sz w:val="21"/>
                      <w:szCs w:val="21"/>
                      <w:highlight w:val="none"/>
                      <w:lang w:val="en-US" w:eastAsia="zh-CN"/>
                    </w:rPr>
                    <w:t>35kV</w:t>
                  </w:r>
                  <w:r>
                    <w:rPr>
                      <w:rFonts w:hint="eastAsia" w:ascii="Times New Roman" w:hAnsi="Times New Roman" w:eastAsia="宋体" w:cs="宋体"/>
                      <w:color w:val="auto"/>
                      <w:sz w:val="21"/>
                      <w:szCs w:val="21"/>
                      <w:highlight w:val="none"/>
                      <w:lang w:val="en-US" w:eastAsia="zh-CN"/>
                    </w:rPr>
                    <w:t>开关柜室。</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s="宋体"/>
                      <w:color w:val="auto"/>
                      <w:sz w:val="21"/>
                      <w:szCs w:val="21"/>
                      <w:highlight w:val="none"/>
                      <w:lang w:val="en-US" w:eastAsia="zh-CN"/>
                    </w:rPr>
                    <w:t>架空段集电线路长度约为</w:t>
                  </w:r>
                  <w:r>
                    <w:rPr>
                      <w:rFonts w:hint="default" w:ascii="Times New Roman" w:hAnsi="Times New Roman" w:eastAsia="宋体" w:cs="宋体"/>
                      <w:color w:val="auto"/>
                      <w:sz w:val="21"/>
                      <w:szCs w:val="21"/>
                      <w:highlight w:val="none"/>
                      <w:lang w:val="en-US" w:eastAsia="zh-CN"/>
                    </w:rPr>
                    <w:t>7.0</w:t>
                  </w:r>
                  <w:r>
                    <w:rPr>
                      <w:rFonts w:hint="eastAsia" w:ascii="Times New Roman" w:hAnsi="Times New Roman" w:eastAsia="宋体" w:cs="宋体"/>
                      <w:color w:val="auto"/>
                      <w:sz w:val="21"/>
                      <w:szCs w:val="21"/>
                      <w:highlight w:val="none"/>
                      <w:lang w:val="en-US" w:eastAsia="zh-CN"/>
                    </w:rPr>
                    <w:t>公里，其中双回路段长度约为</w:t>
                  </w:r>
                  <w:r>
                    <w:rPr>
                      <w:rFonts w:hint="default" w:ascii="Times New Roman" w:hAnsi="Times New Roman" w:eastAsia="宋体" w:cs="宋体"/>
                      <w:color w:val="auto"/>
                      <w:sz w:val="21"/>
                      <w:szCs w:val="21"/>
                      <w:highlight w:val="none"/>
                      <w:lang w:val="en-US" w:eastAsia="zh-CN"/>
                    </w:rPr>
                    <w:t>3.0</w:t>
                  </w:r>
                  <w:r>
                    <w:rPr>
                      <w:rFonts w:hint="eastAsia" w:ascii="Times New Roman" w:hAnsi="Times New Roman" w:eastAsia="宋体" w:cs="宋体"/>
                      <w:color w:val="auto"/>
                      <w:sz w:val="21"/>
                      <w:szCs w:val="21"/>
                      <w:highlight w:val="none"/>
                      <w:lang w:val="en-US" w:eastAsia="zh-CN"/>
                    </w:rPr>
                    <w:t>公里；单回路段长度约为</w:t>
                  </w:r>
                  <w:r>
                    <w:rPr>
                      <w:rFonts w:hint="default" w:ascii="Times New Roman" w:hAnsi="Times New Roman" w:eastAsia="宋体" w:cs="宋体"/>
                      <w:color w:val="auto"/>
                      <w:sz w:val="21"/>
                      <w:szCs w:val="21"/>
                      <w:highlight w:val="none"/>
                      <w:lang w:val="en-US" w:eastAsia="zh-CN"/>
                    </w:rPr>
                    <w:t>4.0</w:t>
                  </w:r>
                  <w:r>
                    <w:rPr>
                      <w:rFonts w:hint="eastAsia" w:ascii="Times New Roman" w:hAnsi="Times New Roman" w:eastAsia="宋体" w:cs="宋体"/>
                      <w:color w:val="auto"/>
                      <w:sz w:val="21"/>
                      <w:szCs w:val="21"/>
                      <w:highlight w:val="none"/>
                      <w:lang w:val="en-US" w:eastAsia="zh-CN"/>
                    </w:rPr>
                    <w:t>公里。终端塔进升压站之间电缆段路径长度约为</w:t>
                  </w:r>
                  <w:r>
                    <w:rPr>
                      <w:rFonts w:hint="default" w:ascii="Times New Roman" w:hAnsi="Times New Roman" w:eastAsia="宋体" w:cs="宋体"/>
                      <w:color w:val="auto"/>
                      <w:sz w:val="21"/>
                      <w:szCs w:val="21"/>
                      <w:highlight w:val="none"/>
                      <w:lang w:val="en-US" w:eastAsia="zh-CN"/>
                    </w:rPr>
                    <w:t>0.8</w:t>
                  </w:r>
                  <w:r>
                    <w:rPr>
                      <w:rFonts w:hint="eastAsia" w:ascii="Times New Roman" w:hAnsi="Times New Roman" w:eastAsia="宋体" w:cs="宋体"/>
                      <w:color w:val="auto"/>
                      <w:sz w:val="21"/>
                      <w:szCs w:val="21"/>
                      <w:highlight w:val="none"/>
                      <w:lang w:val="en-US" w:eastAsia="zh-CN"/>
                    </w:rPr>
                    <w:t>公里。架空部分</w:t>
                  </w:r>
                  <w:r>
                    <w:rPr>
                      <w:rFonts w:hint="default" w:ascii="Times New Roman" w:hAnsi="Times New Roman" w:eastAsia="宋体" w:cs="宋体"/>
                      <w:color w:val="auto"/>
                      <w:sz w:val="21"/>
                      <w:szCs w:val="21"/>
                      <w:highlight w:val="none"/>
                      <w:lang w:val="en-US" w:eastAsia="zh-CN"/>
                    </w:rPr>
                    <w:t>ADSS</w:t>
                  </w:r>
                  <w:r>
                    <w:rPr>
                      <w:rFonts w:hint="eastAsia" w:ascii="Times New Roman" w:hAnsi="Times New Roman" w:eastAsia="宋体" w:cs="宋体"/>
                      <w:color w:val="auto"/>
                      <w:sz w:val="21"/>
                      <w:szCs w:val="21"/>
                      <w:highlight w:val="none"/>
                      <w:lang w:val="en-US" w:eastAsia="zh-CN"/>
                    </w:rPr>
                    <w:t>光缆长度约为</w:t>
                  </w:r>
                  <w:r>
                    <w:rPr>
                      <w:rFonts w:hint="default" w:ascii="Times New Roman" w:hAnsi="Times New Roman" w:eastAsia="宋体" w:cs="宋体"/>
                      <w:color w:val="auto"/>
                      <w:sz w:val="21"/>
                      <w:szCs w:val="21"/>
                      <w:highlight w:val="none"/>
                      <w:lang w:val="en-US" w:eastAsia="zh-CN"/>
                    </w:rPr>
                    <w:t>7.0km</w:t>
                  </w:r>
                  <w:r>
                    <w:rPr>
                      <w:rFonts w:hint="eastAsia" w:ascii="Times New Roman" w:hAnsi="Times New Roman" w:eastAsia="宋体" w:cs="宋体"/>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24" w:hRule="exact"/>
                <w:jc w:val="center"/>
              </w:trPr>
              <w:tc>
                <w:tcPr>
                  <w:tcW w:w="296"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辅助工程</w:t>
                  </w: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道路工程</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38" w:lineRule="exact"/>
                    <w:ind w:left="0" w:leftChars="0" w:right="0" w:rightChars="0" w:firstLine="0" w:firstLineChars="0"/>
                    <w:jc w:val="both"/>
                    <w:rPr>
                      <w:rFonts w:ascii="Times New Roman" w:hAnsi="Times New Roman" w:eastAsia="宋体"/>
                      <w:color w:val="auto"/>
                      <w:sz w:val="21"/>
                      <w:szCs w:val="21"/>
                      <w:lang w:val="zh-TW" w:eastAsia="zh-TW"/>
                    </w:rPr>
                  </w:pPr>
                  <w:r>
                    <w:rPr>
                      <w:rFonts w:hint="eastAsia" w:ascii="Times New Roman" w:hAnsi="Times New Roman" w:eastAsia="宋体"/>
                      <w:color w:val="auto"/>
                      <w:sz w:val="21"/>
                      <w:szCs w:val="21"/>
                    </w:rPr>
                    <w:t>项目进场道路利用自然村附近既有道路分别进场。光伏场区进场道路及内部检修道路，路基宽度4.5m，路面宽度4.0m，采用山皮石路面。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atLeast"/>
                <w:jc w:val="center"/>
              </w:trPr>
              <w:tc>
                <w:tcPr>
                  <w:tcW w:w="296" w:type="pct"/>
                  <w:vMerge w:val="restar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公用工程</w:t>
                  </w: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供电</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40" w:line="240" w:lineRule="auto"/>
                    <w:ind w:left="0" w:right="0" w:firstLine="0"/>
                    <w:jc w:val="both"/>
                    <w:rPr>
                      <w:rFonts w:ascii="Times New Roman" w:hAnsi="Times New Roman" w:eastAsia="宋体"/>
                      <w:color w:val="auto"/>
                      <w:sz w:val="21"/>
                      <w:szCs w:val="21"/>
                      <w:lang w:val="zh-TW" w:eastAsia="zh-TW"/>
                    </w:rPr>
                  </w:pPr>
                  <w:r>
                    <w:rPr>
                      <w:rFonts w:hint="eastAsia" w:ascii="Times New Roman" w:hAnsi="Times New Roman" w:eastAsia="宋体"/>
                      <w:color w:val="auto"/>
                      <w:sz w:val="21"/>
                      <w:szCs w:val="21"/>
                      <w:lang w:val="en-US" w:eastAsia="zh-CN"/>
                    </w:rPr>
                    <w:t>从项目场址附近10KV线路接引，</w:t>
                  </w:r>
                  <w:r>
                    <w:rPr>
                      <w:rFonts w:ascii="Times New Roman" w:hAnsi="Times New Roman" w:eastAsia="宋体"/>
                      <w:color w:val="auto"/>
                      <w:sz w:val="21"/>
                      <w:szCs w:val="21"/>
                    </w:rPr>
                    <w:t>并自备</w:t>
                  </w:r>
                  <w:r>
                    <w:rPr>
                      <w:rFonts w:hint="eastAsia" w:ascii="Times New Roman" w:hAnsi="Times New Roman" w:eastAsia="宋体"/>
                      <w:color w:val="auto"/>
                      <w:sz w:val="21"/>
                      <w:szCs w:val="21"/>
                      <w:lang w:val="en-US" w:eastAsia="zh-CN"/>
                    </w:rPr>
                    <w:t>两台30KW移动式柴油发电机。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atLeas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供水</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用水由罐车或水箱拉水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exact"/>
                <w:jc w:val="center"/>
              </w:trPr>
              <w:tc>
                <w:tcPr>
                  <w:tcW w:w="296" w:type="pct"/>
                  <w:vMerge w:val="restar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环保工程</w:t>
                  </w: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zh-TW" w:eastAsia="zh-CN" w:bidi="zh-TW"/>
                    </w:rPr>
                  </w:pPr>
                  <w:r>
                    <w:rPr>
                      <w:rFonts w:hint="eastAsia" w:ascii="Times New Roman" w:hAnsi="Times New Roman" w:eastAsia="宋体"/>
                      <w:color w:val="auto"/>
                      <w:sz w:val="21"/>
                      <w:szCs w:val="21"/>
                      <w:lang w:eastAsia="zh-CN"/>
                    </w:rPr>
                    <w:t>废水</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2" w:lineRule="exact"/>
                    <w:ind w:left="0" w:leftChars="0" w:right="0" w:rightChars="0" w:firstLine="0" w:firstLineChars="0"/>
                    <w:jc w:val="both"/>
                    <w:rPr>
                      <w:rFonts w:hint="eastAsia" w:ascii="Times New Roman" w:hAnsi="Times New Roman" w:eastAsia="宋体" w:cs="宋体"/>
                      <w:color w:val="auto"/>
                      <w:kern w:val="2"/>
                      <w:sz w:val="21"/>
                      <w:szCs w:val="21"/>
                      <w:u w:val="none"/>
                      <w:shd w:val="clear" w:color="auto" w:fill="auto"/>
                      <w:lang w:val="zh-TW" w:eastAsia="zh-CN" w:bidi="zh-TW"/>
                    </w:rPr>
                  </w:pPr>
                  <w:r>
                    <w:rPr>
                      <w:rFonts w:ascii="Times New Roman" w:hAnsi="Times New Roman" w:eastAsia="宋体"/>
                      <w:color w:val="auto"/>
                      <w:sz w:val="21"/>
                      <w:szCs w:val="21"/>
                    </w:rPr>
                    <w:t>光伏板清洗废水直接流入周边</w:t>
                  </w:r>
                  <w:r>
                    <w:rPr>
                      <w:rFonts w:hint="eastAsia" w:ascii="Times New Roman" w:hAnsi="Times New Roman" w:eastAsia="宋体"/>
                      <w:color w:val="auto"/>
                      <w:sz w:val="21"/>
                      <w:szCs w:val="21"/>
                      <w:lang w:eastAsia="zh-CN"/>
                    </w:rPr>
                    <w:t>草丛</w:t>
                  </w:r>
                  <w:r>
                    <w:rPr>
                      <w:rFonts w:ascii="Times New Roman" w:hAnsi="Times New Roman" w:eastAsia="宋体"/>
                      <w:color w:val="auto"/>
                      <w:sz w:val="21"/>
                      <w:szCs w:val="21"/>
                    </w:rPr>
                    <w:t>吸收和蒸发</w:t>
                  </w:r>
                  <w:r>
                    <w:rPr>
                      <w:rFonts w:hint="eastAsia" w:ascii="Times New Roman" w:hAnsi="Times New Roman" w:eastAsia="宋体"/>
                      <w:color w:val="auto"/>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vMerge w:val="restar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固体废物</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废光伏组件和废电气元件返厂维修利用或交废品回收单位处置。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废旧蓄电池暂存至升压站危废暂存间，最终交由资质单位处置。</w:t>
                  </w:r>
                </w:p>
                <w:p>
                  <w:pPr>
                    <w:pStyle w:val="12"/>
                    <w:keepNext w:val="0"/>
                    <w:keepLines w:val="0"/>
                    <w:widowControl w:val="0"/>
                    <w:shd w:val="clear" w:color="auto" w:fill="auto"/>
                    <w:bidi w:val="0"/>
                    <w:spacing w:before="0" w:after="0" w:line="240" w:lineRule="auto"/>
                    <w:ind w:left="0" w:leftChars="0" w:right="0" w:rightChars="0" w:firstLine="0" w:firstLineChars="0"/>
                    <w:jc w:val="both"/>
                    <w:rPr>
                      <w:rFonts w:hint="eastAsia" w:ascii="Times New Roman" w:hAnsi="Times New Roman" w:eastAsia="宋体" w:cs="宋体"/>
                      <w:color w:val="auto"/>
                      <w:sz w:val="21"/>
                      <w:szCs w:val="21"/>
                      <w:lang w:val="zh-TW" w:eastAsia="zh-T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噪声</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Times New Roman" w:hAnsi="Times New Roman" w:eastAsia="宋体" w:cs="宋体"/>
                      <w:color w:val="auto"/>
                      <w:sz w:val="21"/>
                      <w:szCs w:val="21"/>
                      <w:lang w:val="zh-TW" w:eastAsia="zh-TW"/>
                    </w:rPr>
                  </w:pPr>
                  <w:r>
                    <w:rPr>
                      <w:rFonts w:ascii="Times New Roman" w:hAnsi="Times New Roman" w:eastAsia="宋体" w:cs="宋体"/>
                      <w:color w:val="auto"/>
                      <w:sz w:val="21"/>
                      <w:szCs w:val="21"/>
                    </w:rPr>
                    <w:t>选用低噪声设备，采取隔声、减振、绿化等降噪措施。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9" w:hRule="exact"/>
                <w:jc w:val="center"/>
              </w:trPr>
              <w:tc>
                <w:tcPr>
                  <w:tcW w:w="296" w:type="pct"/>
                  <w:vMerge w:val="continue"/>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ascii="Times New Roman" w:hAnsi="Times New Roman" w:eastAsia="宋体"/>
                      <w:color w:val="auto"/>
                      <w:sz w:val="21"/>
                      <w:szCs w:val="21"/>
                    </w:rPr>
                  </w:pPr>
                </w:p>
              </w:tc>
              <w:tc>
                <w:tcPr>
                  <w:tcW w:w="367" w:type="pct"/>
                  <w:tcBorders>
                    <w:tl2br w:val="nil"/>
                    <w:tr2bl w:val="nil"/>
                  </w:tcBorders>
                  <w:noWrap w:val="0"/>
                  <w:tcMar>
                    <w:top w:w="0" w:type="dxa"/>
                    <w:left w:w="28" w:type="dxa"/>
                    <w:bottom w:w="0" w:type="dxa"/>
                    <w:right w:w="28"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生态</w:t>
                  </w:r>
                </w:p>
              </w:tc>
              <w:tc>
                <w:tcPr>
                  <w:tcW w:w="4336" w:type="pct"/>
                  <w:tcBorders>
                    <w:tl2br w:val="nil"/>
                    <w:tr2bl w:val="nil"/>
                  </w:tcBorders>
                  <w:noWrap w:val="0"/>
                  <w:tcMar>
                    <w:top w:w="0" w:type="dxa"/>
                    <w:left w:w="28" w:type="dxa"/>
                    <w:bottom w:w="0" w:type="dxa"/>
                    <w:right w:w="28" w:type="dxa"/>
                  </w:tcMar>
                  <w:vAlign w:val="center"/>
                </w:tcPr>
                <w:p>
                  <w:pPr>
                    <w:pStyle w:val="12"/>
                    <w:keepNext w:val="0"/>
                    <w:keepLines w:val="0"/>
                    <w:widowControl w:val="0"/>
                    <w:shd w:val="clear" w:color="auto" w:fill="auto"/>
                    <w:bidi w:val="0"/>
                    <w:spacing w:before="0" w:after="0" w:line="240" w:lineRule="auto"/>
                    <w:ind w:left="0" w:leftChars="0" w:right="0" w:rightChars="0" w:firstLine="0" w:firstLineChars="0"/>
                    <w:jc w:val="both"/>
                    <w:rPr>
                      <w:rFonts w:ascii="Times New Roman" w:hAnsi="Times New Roman" w:eastAsia="宋体"/>
                      <w:color w:val="auto"/>
                      <w:sz w:val="21"/>
                      <w:szCs w:val="21"/>
                      <w:lang w:val="zh-TW" w:eastAsia="zh-TW"/>
                    </w:rPr>
                  </w:pPr>
                  <w:r>
                    <w:rPr>
                      <w:rFonts w:ascii="Times New Roman" w:hAnsi="Times New Roman" w:eastAsia="宋体"/>
                      <w:color w:val="auto"/>
                      <w:sz w:val="21"/>
                      <w:szCs w:val="21"/>
                    </w:rPr>
                    <w:t>施工临时占地全部恢复植被，无裸露地表。</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ascii="Times New Roman" w:hAnsi="Times New Roman" w:eastAsia="宋体" w:cs="Times New Roman"/>
                <w:b/>
                <w:bCs/>
                <w:color w:val="auto"/>
                <w:lang w:val="en-US" w:eastAsia="zh-CN"/>
              </w:rPr>
              <w:t>4、项目占地情况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本工程用地包括永久占地和临时用地。永久占地主要为箱变基础、</w:t>
            </w:r>
            <w:r>
              <w:rPr>
                <w:color w:val="auto"/>
              </w:rPr>
              <w:t>场内道路</w:t>
            </w:r>
            <w:r>
              <w:rPr>
                <w:rFonts w:hint="eastAsia"/>
                <w:color w:val="auto"/>
                <w:lang w:eastAsia="zh-CN"/>
              </w:rPr>
              <w:t>、</w:t>
            </w:r>
            <w:r>
              <w:rPr>
                <w:color w:val="auto"/>
              </w:rPr>
              <w:t>进场道路</w:t>
            </w:r>
            <w:r>
              <w:rPr>
                <w:rFonts w:hint="eastAsia"/>
                <w:color w:val="auto"/>
                <w:lang w:val="en-US" w:eastAsia="zh-CN"/>
              </w:rPr>
              <w:t>及</w:t>
            </w:r>
            <w:r>
              <w:rPr>
                <w:color w:val="auto"/>
              </w:rPr>
              <w:t>改造道路</w:t>
            </w:r>
            <w:r>
              <w:rPr>
                <w:rFonts w:hint="eastAsia"/>
                <w:color w:val="auto"/>
                <w:lang w:val="en-US" w:eastAsia="zh-CN"/>
              </w:rPr>
              <w:t>占地；临时用地包括</w:t>
            </w:r>
            <w:r>
              <w:rPr>
                <w:color w:val="auto"/>
              </w:rPr>
              <w:t>场区围栏内用地</w:t>
            </w:r>
            <w:r>
              <w:rPr>
                <w:rFonts w:hint="eastAsia"/>
                <w:color w:val="auto"/>
                <w:lang w:eastAsia="zh-CN"/>
              </w:rPr>
              <w:t>及</w:t>
            </w:r>
            <w:r>
              <w:rPr>
                <w:rFonts w:hint="eastAsia"/>
                <w:color w:val="auto"/>
                <w:lang w:val="en-US" w:eastAsia="zh-CN"/>
              </w:rPr>
              <w:t>临时施工用地。本项目永久性用地面积为4.15hm</w:t>
            </w:r>
            <w:r>
              <w:rPr>
                <w:rFonts w:hint="eastAsia"/>
                <w:color w:val="auto"/>
                <w:vertAlign w:val="superscript"/>
                <w:lang w:val="en-US" w:eastAsia="zh-CN"/>
              </w:rPr>
              <w:t>2</w:t>
            </w:r>
            <w:r>
              <w:rPr>
                <w:rFonts w:hint="eastAsia"/>
                <w:color w:val="auto"/>
                <w:lang w:val="en-US" w:eastAsia="zh-CN"/>
              </w:rPr>
              <w:t>，临时性用地面积171.45hm</w:t>
            </w:r>
            <w:r>
              <w:rPr>
                <w:rFonts w:hint="eastAsia"/>
                <w:color w:val="auto"/>
                <w:vertAlign w:val="superscript"/>
                <w:lang w:val="en-US" w:eastAsia="zh-CN"/>
              </w:rPr>
              <w:t>2</w:t>
            </w:r>
            <w:r>
              <w:rPr>
                <w:rFonts w:hint="eastAsia"/>
                <w:color w:val="auto"/>
                <w:lang w:val="en-US" w:eastAsia="zh-CN"/>
              </w:rPr>
              <w:t>，工程总占地面积约175.60hm</w:t>
            </w:r>
            <w:r>
              <w:rPr>
                <w:rFonts w:hint="eastAsia"/>
                <w:color w:val="auto"/>
                <w:vertAlign w:val="superscript"/>
                <w:lang w:val="en-US" w:eastAsia="zh-CN"/>
              </w:rPr>
              <w:t>2</w:t>
            </w:r>
            <w:r>
              <w:rPr>
                <w:rFonts w:hint="eastAsia"/>
                <w:color w:val="auto"/>
                <w:lang w:val="en-US" w:eastAsia="zh-CN"/>
              </w:rPr>
              <w:t>，其中建设用地面积为0.05hm</w:t>
            </w:r>
            <w:r>
              <w:rPr>
                <w:rFonts w:hint="eastAsia"/>
                <w:color w:val="auto"/>
                <w:vertAlign w:val="superscript"/>
                <w:lang w:val="en-US" w:eastAsia="zh-CN"/>
              </w:rPr>
              <w:t>2</w:t>
            </w:r>
            <w:r>
              <w:rPr>
                <w:rFonts w:hint="eastAsia"/>
                <w:color w:val="auto"/>
                <w:lang w:val="en-US" w:eastAsia="zh-CN"/>
              </w:rPr>
              <w:t>，未利用地面积为175.55hm</w:t>
            </w:r>
            <w:r>
              <w:rPr>
                <w:rFonts w:hint="eastAsia"/>
                <w:color w:val="auto"/>
                <w:vertAlign w:val="superscript"/>
                <w:lang w:val="en-US" w:eastAsia="zh-CN"/>
              </w:rPr>
              <w:t>2</w:t>
            </w:r>
            <w:r>
              <w:rPr>
                <w:rFonts w:hint="eastAsia"/>
                <w:color w:val="auto"/>
                <w:lang w:val="en-US" w:eastAsia="zh-CN"/>
              </w:rPr>
              <w:t>。项目建设区内无居民点。工程用地情况详见表2-3。</w:t>
            </w:r>
          </w:p>
          <w:p>
            <w:pPr>
              <w:adjustRightInd w:val="0"/>
              <w:snapToGrid w:val="0"/>
              <w:jc w:val="center"/>
              <w:rPr>
                <w:color w:val="auto"/>
              </w:rPr>
            </w:pPr>
            <w:r>
              <w:rPr>
                <w:color w:val="auto"/>
                <w:lang w:val="en-US" w:eastAsia="zh-CN"/>
              </w:rPr>
              <w:t>表</w:t>
            </w:r>
            <w:r>
              <w:rPr>
                <w:rFonts w:hint="eastAsia"/>
                <w:color w:val="auto"/>
                <w:lang w:val="en-US" w:eastAsia="zh-CN"/>
              </w:rPr>
              <w:t xml:space="preserve">2-2 </w:t>
            </w:r>
            <w:r>
              <w:rPr>
                <w:color w:val="auto"/>
                <w:lang w:val="en-US" w:eastAsia="zh-CN"/>
              </w:rPr>
              <w:t xml:space="preserve"> 本</w:t>
            </w:r>
            <w:r>
              <w:rPr>
                <w:rFonts w:hint="eastAsia"/>
                <w:color w:val="auto"/>
                <w:lang w:val="en-US" w:eastAsia="zh-CN"/>
              </w:rPr>
              <w:t>工程</w:t>
            </w:r>
            <w:r>
              <w:rPr>
                <w:color w:val="auto"/>
                <w:lang w:val="en-US" w:eastAsia="zh-CN"/>
              </w:rPr>
              <w:t>用地面积汇总表</w:t>
            </w:r>
          </w:p>
          <w:tbl>
            <w:tblPr>
              <w:tblStyle w:val="13"/>
              <w:tblW w:w="4998" w:type="pct"/>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57"/>
              <w:gridCol w:w="2621"/>
              <w:gridCol w:w="1901"/>
              <w:gridCol w:w="2172"/>
              <w:gridCol w:w="9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序号</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项目名称</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永久性用地（hm</w:t>
                  </w:r>
                  <w:r>
                    <w:rPr>
                      <w:rFonts w:hint="eastAsia" w:ascii="Times New Roman" w:hAnsi="Times New Roman" w:eastAsia="宋体" w:cs="宋体"/>
                      <w:color w:val="auto"/>
                      <w:sz w:val="21"/>
                      <w:szCs w:val="21"/>
                      <w:vertAlign w:val="superscript"/>
                      <w:lang w:val="en-US" w:eastAsia="zh-CN"/>
                    </w:rPr>
                    <w:t>2</w:t>
                  </w:r>
                  <w:r>
                    <w:rPr>
                      <w:rFonts w:hint="eastAsia" w:ascii="Times New Roman" w:hAnsi="Times New Roman" w:eastAsia="宋体" w:cs="宋体"/>
                      <w:color w:val="auto"/>
                      <w:sz w:val="21"/>
                      <w:szCs w:val="21"/>
                      <w:lang w:val="en-US" w:eastAsia="zh-CN"/>
                    </w:rPr>
                    <w:t>）</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临时性用地（hm</w:t>
                  </w:r>
                  <w:r>
                    <w:rPr>
                      <w:rFonts w:hint="eastAsia" w:ascii="Times New Roman" w:hAnsi="Times New Roman" w:eastAsia="宋体" w:cs="宋体"/>
                      <w:color w:val="auto"/>
                      <w:sz w:val="21"/>
                      <w:szCs w:val="21"/>
                      <w:vertAlign w:val="superscript"/>
                      <w:lang w:val="en-US" w:eastAsia="zh-CN"/>
                    </w:rPr>
                    <w:t>2</w:t>
                  </w:r>
                  <w:r>
                    <w:rPr>
                      <w:rFonts w:hint="eastAsia" w:ascii="Times New Roman" w:hAnsi="Times New Roman" w:eastAsia="宋体" w:cs="宋体"/>
                      <w:color w:val="auto"/>
                      <w:sz w:val="21"/>
                      <w:szCs w:val="21"/>
                      <w:lang w:val="en-US" w:eastAsia="zh-CN"/>
                    </w:rPr>
                    <w:t>）</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备  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光伏板区基础、箱变基础</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0.15</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光伏板区</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170.65</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检修道路</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3.00</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进场道路</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1.00</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临时施工用地</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0.80</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eastAsia"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合计</w:t>
                  </w:r>
                </w:p>
              </w:tc>
              <w:tc>
                <w:tcPr>
                  <w:tcW w:w="116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4.15</w:t>
                  </w:r>
                </w:p>
              </w:tc>
              <w:tc>
                <w:tcPr>
                  <w:tcW w:w="13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rPr>
                      <w:rFonts w:hint="default" w:ascii="Times New Roman" w:hAnsi="Times New Roman" w:eastAsia="宋体" w:cs="宋体"/>
                      <w:color w:val="auto"/>
                      <w:kern w:val="2"/>
                      <w:sz w:val="21"/>
                      <w:szCs w:val="21"/>
                      <w:u w:val="none"/>
                      <w:shd w:val="clear" w:color="auto" w:fill="auto"/>
                      <w:lang w:val="en-US" w:eastAsia="zh-CN" w:bidi="zh-TW"/>
                    </w:rPr>
                  </w:pPr>
                  <w:r>
                    <w:rPr>
                      <w:rFonts w:hint="eastAsia" w:ascii="Times New Roman" w:hAnsi="Times New Roman" w:eastAsia="宋体" w:cs="宋体"/>
                      <w:color w:val="auto"/>
                      <w:sz w:val="21"/>
                      <w:szCs w:val="21"/>
                      <w:lang w:val="en-US" w:eastAsia="zh-CN"/>
                    </w:rPr>
                    <w:t>171.45</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w:t>
                  </w:r>
                </w:p>
              </w:tc>
              <w:tc>
                <w:tcPr>
                  <w:tcW w:w="160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总占地面积</w:t>
                  </w:r>
                </w:p>
              </w:tc>
              <w:tc>
                <w:tcPr>
                  <w:tcW w:w="2496" w:type="pct"/>
                  <w:gridSpan w:val="2"/>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175.60</w:t>
                  </w:r>
                </w:p>
              </w:tc>
              <w:tc>
                <w:tcPr>
                  <w:tcW w:w="55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color w:val="auto"/>
                <w:lang w:val="en-US" w:eastAsia="zh-CN"/>
              </w:rPr>
            </w:pPr>
            <w:r>
              <w:rPr>
                <w:rFonts w:hint="eastAsia"/>
                <w:b/>
                <w:bCs/>
                <w:color w:val="auto"/>
                <w:lang w:val="en-US" w:eastAsia="zh-CN"/>
              </w:rPr>
              <w:t>5、主要技术经济指标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本项目主要技术经济指标见表2-3。</w:t>
            </w:r>
          </w:p>
          <w:p>
            <w:pPr>
              <w:adjustRightInd w:val="0"/>
              <w:snapToGrid w:val="0"/>
              <w:jc w:val="center"/>
              <w:rPr>
                <w:rFonts w:hint="eastAsia"/>
                <w:color w:val="auto"/>
                <w:lang w:val="en-US" w:eastAsia="zh-CN"/>
              </w:rPr>
            </w:pPr>
            <w:r>
              <w:rPr>
                <w:color w:val="auto"/>
                <w:lang w:val="en-US" w:eastAsia="zh-CN"/>
              </w:rPr>
              <w:t>表</w:t>
            </w:r>
            <w:r>
              <w:rPr>
                <w:rFonts w:hint="eastAsia"/>
                <w:color w:val="auto"/>
                <w:lang w:val="en-US" w:eastAsia="zh-CN"/>
              </w:rPr>
              <w:t xml:space="preserve">2-3 </w:t>
            </w:r>
            <w:r>
              <w:rPr>
                <w:color w:val="auto"/>
                <w:lang w:val="en-US" w:eastAsia="zh-CN"/>
              </w:rPr>
              <w:t xml:space="preserve"> 本工程主要技术经济指标</w:t>
            </w:r>
          </w:p>
          <w:tbl>
            <w:tblPr>
              <w:tblStyle w:val="13"/>
              <w:tblW w:w="4998" w:type="pct"/>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76"/>
              <w:gridCol w:w="2700"/>
              <w:gridCol w:w="1799"/>
              <w:gridCol w:w="1730"/>
              <w:gridCol w:w="85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序号</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项目</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单位</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指标</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一</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技术指标</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装机容量</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MWp</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70</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CN"/>
                    </w:rPr>
                  </w:pPr>
                  <w:r>
                    <w:rPr>
                      <w:rFonts w:hint="eastAsia" w:ascii="Times New Roman" w:hAnsi="Times New Roman" w:eastAsia="宋体" w:cs="宋体"/>
                      <w:color w:val="auto"/>
                      <w:sz w:val="21"/>
                      <w:szCs w:val="21"/>
                      <w:lang w:val="en-US" w:eastAsia="zh-CN"/>
                    </w:rPr>
                    <w:t>总占地面积</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en-US"/>
                    </w:rPr>
                    <w:t>h</w:t>
                  </w:r>
                  <w:r>
                    <w:rPr>
                      <w:rFonts w:hint="eastAsia" w:ascii="Times New Roman" w:hAnsi="Times New Roman" w:eastAsia="宋体" w:cs="宋体"/>
                      <w:color w:val="auto"/>
                      <w:sz w:val="21"/>
                      <w:szCs w:val="21"/>
                      <w:lang w:val="en-US" w:eastAsia="zh-CN"/>
                    </w:rPr>
                    <w:t>m</w:t>
                  </w:r>
                  <w:r>
                    <w:rPr>
                      <w:rFonts w:hint="eastAsia" w:ascii="Times New Roman" w:hAnsi="Times New Roman" w:eastAsia="宋体" w:cs="宋体"/>
                      <w:color w:val="auto"/>
                      <w:sz w:val="21"/>
                      <w:szCs w:val="21"/>
                      <w:vertAlign w:val="superscript"/>
                      <w:lang w:val="en-US" w:eastAsia="zh-CN"/>
                    </w:rPr>
                    <w:t>2</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TW"/>
                    </w:rPr>
                  </w:pPr>
                  <w:r>
                    <w:rPr>
                      <w:rFonts w:hint="eastAsia" w:ascii="Times New Roman" w:hAnsi="Times New Roman" w:eastAsia="宋体" w:cs="宋体"/>
                      <w:color w:val="auto"/>
                      <w:sz w:val="21"/>
                      <w:szCs w:val="21"/>
                      <w:lang w:val="en-US" w:eastAsia="zh-CN"/>
                    </w:rPr>
                    <w:t>175.60</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年平均太阳总辐射量</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default" w:ascii="Times New Roman" w:hAnsi="Times New Roman" w:eastAsia="宋体" w:cs="宋体"/>
                      <w:color w:val="auto"/>
                      <w:sz w:val="21"/>
                      <w:szCs w:val="21"/>
                      <w:lang w:val="en-US" w:eastAsia="en-US"/>
                    </w:rPr>
                    <w:t>kWh/m</w:t>
                  </w:r>
                  <w:r>
                    <w:rPr>
                      <w:rFonts w:hint="default" w:ascii="Times New Roman" w:hAnsi="Times New Roman" w:eastAsia="宋体" w:cs="宋体"/>
                      <w:color w:val="auto"/>
                      <w:sz w:val="21"/>
                      <w:szCs w:val="21"/>
                      <w:vertAlign w:val="superscript"/>
                      <w:lang w:val="en-US" w:eastAsia="en-US"/>
                    </w:rPr>
                    <w:t>2</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1626</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年平均等效利用小时数</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h</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en-US"/>
                    </w:rPr>
                    <w:t>14</w:t>
                  </w:r>
                  <w:r>
                    <w:rPr>
                      <w:rFonts w:hint="eastAsia" w:ascii="Times New Roman" w:hAnsi="Times New Roman" w:eastAsia="宋体" w:cs="宋体"/>
                      <w:color w:val="auto"/>
                      <w:sz w:val="21"/>
                      <w:szCs w:val="21"/>
                      <w:lang w:val="en-US" w:eastAsia="zh-CN"/>
                    </w:rPr>
                    <w:t>70.18</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多年平均年上网电量</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MWh</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default" w:ascii="Times New Roman" w:hAnsi="Times New Roman" w:eastAsia="宋体" w:cs="宋体"/>
                      <w:color w:val="auto"/>
                      <w:sz w:val="21"/>
                      <w:szCs w:val="21"/>
                      <w:lang w:val="en-US" w:eastAsia="en-US"/>
                    </w:rPr>
                    <w:t>102912.60</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耗水量</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m</w:t>
                  </w:r>
                  <w:r>
                    <w:rPr>
                      <w:rFonts w:hint="eastAsia" w:ascii="Times New Roman" w:hAnsi="Times New Roman" w:eastAsia="宋体" w:cs="宋体"/>
                      <w:color w:val="auto"/>
                      <w:sz w:val="21"/>
                      <w:szCs w:val="21"/>
                      <w:vertAlign w:val="superscript"/>
                      <w:lang w:val="en-US" w:eastAsia="en-US"/>
                    </w:rPr>
                    <w:t>3</w:t>
                  </w:r>
                  <w:r>
                    <w:rPr>
                      <w:rFonts w:hint="eastAsia" w:ascii="Times New Roman" w:hAnsi="Times New Roman" w:eastAsia="宋体" w:cs="宋体"/>
                      <w:color w:val="auto"/>
                      <w:sz w:val="21"/>
                      <w:szCs w:val="21"/>
                      <w:lang w:val="en-US" w:eastAsia="en-US"/>
                    </w:rPr>
                    <w:t>/a</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3013.75</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职工定员</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人</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CN"/>
                    </w:rPr>
                  </w:pPr>
                  <w:r>
                    <w:rPr>
                      <w:rFonts w:hint="eastAsia" w:ascii="Times New Roman" w:hAnsi="Times New Roman" w:eastAsia="宋体" w:cs="宋体"/>
                      <w:color w:val="auto"/>
                      <w:sz w:val="21"/>
                      <w:szCs w:val="21"/>
                      <w:lang w:val="en-US" w:eastAsia="zh-CN"/>
                    </w:rPr>
                    <w:t>6</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二</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经济指标</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1</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总投资</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万元</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35040.20</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2</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年平均发电量</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MWh</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default" w:ascii="Times New Roman" w:hAnsi="Times New Roman" w:eastAsia="宋体" w:cs="宋体"/>
                      <w:color w:val="auto"/>
                      <w:sz w:val="21"/>
                      <w:szCs w:val="21"/>
                      <w:lang w:val="en-US" w:eastAsia="en-US"/>
                    </w:rPr>
                    <w:t>102912.60</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CN"/>
                    </w:rPr>
                  </w:pPr>
                  <w:r>
                    <w:rPr>
                      <w:rFonts w:hint="eastAsia" w:ascii="Times New Roman" w:hAnsi="Times New Roman" w:eastAsia="宋体" w:cs="宋体"/>
                      <w:color w:val="auto"/>
                      <w:sz w:val="21"/>
                      <w:szCs w:val="21"/>
                      <w:lang w:val="en-US" w:eastAsia="zh-CN"/>
                    </w:rPr>
                    <w:t>3</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上网电价</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元/</w:t>
                  </w:r>
                  <w:r>
                    <w:rPr>
                      <w:rFonts w:hint="eastAsia" w:ascii="Times New Roman" w:hAnsi="Times New Roman" w:eastAsia="宋体" w:cs="宋体"/>
                      <w:color w:val="auto"/>
                      <w:sz w:val="21"/>
                      <w:szCs w:val="21"/>
                      <w:lang w:val="en-US" w:eastAsia="en-US"/>
                    </w:rPr>
                    <w:t>(kWh)</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en-US"/>
                    </w:rPr>
                    <w:t>0.332</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含税</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CN"/>
                    </w:rPr>
                  </w:pPr>
                  <w:r>
                    <w:rPr>
                      <w:rFonts w:hint="eastAsia" w:ascii="Times New Roman" w:hAnsi="Times New Roman" w:eastAsia="宋体" w:cs="宋体"/>
                      <w:color w:val="auto"/>
                      <w:sz w:val="21"/>
                      <w:szCs w:val="21"/>
                      <w:lang w:val="en-US" w:eastAsia="zh-CN"/>
                    </w:rPr>
                    <w:t>4</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zh-TW" w:eastAsia="zh-TW"/>
                    </w:rPr>
                    <w:t>项目投资收益率</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5.16</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税后</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CN"/>
                    </w:rPr>
                  </w:pPr>
                  <w:r>
                    <w:rPr>
                      <w:rFonts w:hint="eastAsia" w:ascii="Times New Roman" w:hAnsi="Times New Roman" w:eastAsia="宋体" w:cs="宋体"/>
                      <w:color w:val="auto"/>
                      <w:sz w:val="21"/>
                      <w:szCs w:val="21"/>
                      <w:lang w:val="en-US" w:eastAsia="zh-CN"/>
                    </w:rPr>
                    <w:t>5</w:t>
                  </w:r>
                </w:p>
              </w:tc>
              <w:tc>
                <w:tcPr>
                  <w:tcW w:w="165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投资回收期</w:t>
                  </w:r>
                </w:p>
              </w:tc>
              <w:tc>
                <w:tcPr>
                  <w:tcW w:w="110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年</w:t>
                  </w:r>
                </w:p>
              </w:tc>
              <w:tc>
                <w:tcPr>
                  <w:tcW w:w="106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14.41</w:t>
                  </w:r>
                </w:p>
              </w:tc>
              <w:tc>
                <w:tcPr>
                  <w:tcW w:w="522"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zh-TW" w:eastAsia="zh-TW"/>
                    </w:rPr>
                  </w:pPr>
                  <w:r>
                    <w:rPr>
                      <w:rFonts w:hint="eastAsia" w:ascii="Times New Roman" w:hAnsi="Times New Roman" w:eastAsia="宋体" w:cs="宋体"/>
                      <w:color w:val="auto"/>
                      <w:sz w:val="21"/>
                      <w:szCs w:val="21"/>
                      <w:lang w:val="en-US" w:eastAsia="zh-CN"/>
                    </w:rPr>
                    <w:t>税后</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6、项目概述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光伏阵列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color w:val="auto"/>
              </w:rPr>
              <w:t>电站装机容量</w:t>
            </w:r>
            <w:r>
              <w:rPr>
                <w:rFonts w:hint="eastAsia"/>
                <w:color w:val="auto"/>
                <w:lang w:val="en-US" w:eastAsia="zh-CN"/>
              </w:rPr>
              <w:t>7</w:t>
            </w:r>
            <w:r>
              <w:rPr>
                <w:color w:val="auto"/>
                <w:lang w:val="en-US" w:eastAsia="en-US"/>
              </w:rPr>
              <w:t>0MW</w:t>
            </w:r>
            <w:r>
              <w:rPr>
                <w:rFonts w:hint="eastAsia"/>
                <w:color w:val="auto"/>
                <w:lang w:val="en-US" w:eastAsia="zh-CN"/>
              </w:rPr>
              <w:t>，配置21个3.15MW组串式逆变器方阵，每个方阵</w:t>
            </w:r>
            <w:r>
              <w:rPr>
                <w:color w:val="auto"/>
              </w:rPr>
              <w:t>布置有</w:t>
            </w:r>
            <w:r>
              <w:rPr>
                <w:rFonts w:hint="eastAsia"/>
                <w:color w:val="auto"/>
                <w:lang w:val="en-US" w:eastAsia="zh-CN"/>
              </w:rPr>
              <w:t>272</w:t>
            </w:r>
            <w:r>
              <w:rPr>
                <w:color w:val="auto"/>
              </w:rPr>
              <w:t>个光伏组串，安装光伏组件</w:t>
            </w:r>
            <w:r>
              <w:rPr>
                <w:rFonts w:hint="eastAsia"/>
                <w:color w:val="auto"/>
                <w:lang w:val="en-US" w:eastAsia="zh-CN"/>
              </w:rPr>
              <w:t>7072</w:t>
            </w:r>
            <w:r>
              <w:rPr>
                <w:color w:val="auto"/>
              </w:rPr>
              <w:t>块，</w:t>
            </w:r>
            <w:r>
              <w:rPr>
                <w:rFonts w:hint="eastAsia"/>
                <w:color w:val="auto"/>
                <w:lang w:val="en-US" w:eastAsia="en-US"/>
              </w:rPr>
              <w:t>电池组件采用</w:t>
            </w:r>
            <w:r>
              <w:rPr>
                <w:rFonts w:hint="default"/>
                <w:color w:val="auto"/>
                <w:lang w:val="en-US" w:eastAsia="en-US"/>
              </w:rPr>
              <w:t>535Wp</w:t>
            </w:r>
            <w:r>
              <w:rPr>
                <w:rFonts w:hint="eastAsia"/>
                <w:color w:val="auto"/>
                <w:lang w:val="en-US" w:eastAsia="en-US"/>
              </w:rPr>
              <w:t>单晶单面组件，固定阵列采用最佳倾角为</w:t>
            </w:r>
            <w:r>
              <w:rPr>
                <w:rFonts w:hint="default"/>
                <w:color w:val="auto"/>
                <w:lang w:val="en-US" w:eastAsia="en-US"/>
              </w:rPr>
              <w:t>35</w:t>
            </w:r>
            <w:r>
              <w:rPr>
                <w:rFonts w:hint="eastAsia"/>
                <w:color w:val="auto"/>
                <w:lang w:val="en-US" w:eastAsia="en-US"/>
              </w:rPr>
              <w:t>°固定安装在支架上。光伏组件布置采用纵向2排横向13列的布置方式，每组支架单元布置26块电池组件，固定光伏支架采用带边框电池组件，每块光伏组件尺寸为：2274mm×1134mm（长×宽）</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光伏发电系统示意图见图2-1，</w:t>
            </w:r>
            <w:r>
              <w:rPr>
                <w:rFonts w:hint="eastAsia" w:ascii="Times New Roman" w:hAnsi="Times New Roman" w:eastAsia="宋体" w:cs="Times New Roman"/>
                <w:color w:val="auto"/>
                <w:lang w:val="en-US" w:eastAsia="zh-CN"/>
              </w:rPr>
              <w:t>方阵的配置</w:t>
            </w:r>
            <w:r>
              <w:rPr>
                <w:rFonts w:hint="eastAsia"/>
                <w:color w:val="auto"/>
                <w:lang w:val="en-US" w:eastAsia="zh-CN"/>
              </w:rPr>
              <w:t>方案见表2-4。</w:t>
            </w:r>
          </w:p>
          <w:p>
            <w:pPr>
              <w:jc w:val="center"/>
              <w:rPr>
                <w:rFonts w:hint="eastAsia"/>
                <w:color w:val="auto"/>
                <w:lang w:eastAsia="zh-CN"/>
              </w:rPr>
            </w:pPr>
            <w:r>
              <w:rPr>
                <w:rFonts w:hint="eastAsia"/>
                <w:color w:val="auto"/>
                <w:lang w:val="en-US" w:eastAsia="zh-CN"/>
              </w:rPr>
              <w:t>表2-4  一个方阵的配置表</w:t>
            </w:r>
          </w:p>
          <w:tbl>
            <w:tblPr>
              <w:tblStyle w:val="13"/>
              <w:tblW w:w="4999" w:type="pct"/>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754"/>
              <w:gridCol w:w="1905"/>
              <w:gridCol w:w="1544"/>
              <w:gridCol w:w="195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8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c>
                <w:tcPr>
                  <w:tcW w:w="116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组件数量</w:t>
                  </w:r>
                </w:p>
              </w:tc>
              <w:tc>
                <w:tcPr>
                  <w:tcW w:w="94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组串数</w:t>
                  </w:r>
                </w:p>
              </w:tc>
              <w:tc>
                <w:tcPr>
                  <w:tcW w:w="11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组串式逆变器数量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8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3.15MW 组串式逆变器方阵</w:t>
                  </w:r>
                </w:p>
              </w:tc>
              <w:tc>
                <w:tcPr>
                  <w:tcW w:w="116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7072 块</w:t>
                  </w:r>
                </w:p>
              </w:tc>
              <w:tc>
                <w:tcPr>
                  <w:tcW w:w="94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272 串</w:t>
                  </w:r>
                </w:p>
              </w:tc>
              <w:tc>
                <w:tcPr>
                  <w:tcW w:w="11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 台</w:t>
                  </w:r>
                </w:p>
              </w:tc>
            </w:tr>
          </w:tbl>
          <w:p>
            <w:pPr>
              <w:rPr>
                <w:rFonts w:hint="eastAsia"/>
                <w:color w:val="auto"/>
                <w:lang w:eastAsia="zh-CN"/>
              </w:rPr>
            </w:pPr>
            <w:r>
              <w:rPr>
                <w:rFonts w:hint="eastAsia"/>
                <w:color w:val="auto"/>
                <w:lang w:eastAsia="zh-CN"/>
              </w:rPr>
              <w:drawing>
                <wp:inline distT="0" distB="0" distL="114300" distR="114300">
                  <wp:extent cx="5181600" cy="1094105"/>
                  <wp:effectExtent l="0" t="0" r="0" b="3175"/>
                  <wp:docPr id="1" name="图片 1" descr="QQ截图2022021110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20211100626"/>
                          <pic:cNvPicPr>
                            <a:picLocks noChangeAspect="1"/>
                          </pic:cNvPicPr>
                        </pic:nvPicPr>
                        <pic:blipFill>
                          <a:blip r:embed="rId9"/>
                          <a:stretch>
                            <a:fillRect/>
                          </a:stretch>
                        </pic:blipFill>
                        <pic:spPr>
                          <a:xfrm>
                            <a:off x="0" y="0"/>
                            <a:ext cx="5181600" cy="109410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color w:val="auto"/>
                <w:lang w:eastAsia="zh-CN"/>
              </w:rPr>
            </w:pPr>
            <w:r>
              <w:rPr>
                <w:rFonts w:hint="eastAsia"/>
                <w:color w:val="auto"/>
                <w:lang w:eastAsia="zh-CN"/>
              </w:rPr>
              <w:t>图</w:t>
            </w:r>
            <w:r>
              <w:rPr>
                <w:rFonts w:hint="eastAsia"/>
                <w:color w:val="auto"/>
                <w:lang w:val="en-US" w:eastAsia="zh-CN"/>
              </w:rPr>
              <w:t xml:space="preserve">2-1  </w:t>
            </w:r>
            <w:r>
              <w:rPr>
                <w:rFonts w:hint="eastAsia"/>
                <w:color w:val="auto"/>
                <w:lang w:eastAsia="zh-CN"/>
              </w:rPr>
              <w:t>光伏发电系统示意图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bookmarkStart w:id="8" w:name="bookmark44"/>
            <w:r>
              <w:rPr>
                <w:rFonts w:hint="eastAsia"/>
                <w:color w:val="auto"/>
                <w:lang w:val="en-US" w:eastAsia="zh-CN"/>
              </w:rPr>
              <w:t>（</w:t>
            </w:r>
            <w:bookmarkEnd w:id="8"/>
            <w:r>
              <w:rPr>
                <w:rFonts w:hint="eastAsia"/>
                <w:color w:val="auto"/>
                <w:lang w:val="en-US" w:eastAsia="zh-CN"/>
              </w:rPr>
              <w:t>2）组串排布方式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光伏组件串接方式为2行横排13列布置，光伏组串排列方案见图2-2。</w:t>
            </w:r>
          </w:p>
          <w:p>
            <w:pPr>
              <w:jc w:val="center"/>
              <w:rPr>
                <w:color w:val="auto"/>
              </w:rPr>
            </w:pPr>
            <w:r>
              <w:rPr>
                <w:color w:val="auto"/>
              </w:rPr>
              <w:drawing>
                <wp:inline distT="0" distB="0" distL="114300" distR="114300">
                  <wp:extent cx="4048125" cy="1304925"/>
                  <wp:effectExtent l="0" t="0" r="5715"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4048125" cy="130492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图2-2 </w:t>
            </w:r>
            <w:r>
              <w:rPr>
                <w:rFonts w:hint="default" w:ascii="Times New Roman" w:hAnsi="Times New Roman" w:eastAsia="宋体" w:cs="Times New Roman"/>
                <w:color w:val="auto"/>
                <w:lang w:val="en-US" w:eastAsia="zh-CN"/>
              </w:rPr>
              <w:t xml:space="preserve"> </w:t>
            </w:r>
            <w:r>
              <w:rPr>
                <w:rFonts w:hint="eastAsia" w:ascii="Times New Roman" w:hAnsi="Times New Roman" w:eastAsia="宋体" w:cs="Times New Roman"/>
                <w:color w:val="auto"/>
                <w:lang w:val="en-US" w:eastAsia="zh-CN"/>
              </w:rPr>
              <w:t>电池组串单元联结方式方案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eastAsia"/>
                <w:color w:val="auto"/>
                <w:lang w:val="en-US" w:eastAsia="zh-CN"/>
              </w:rPr>
              <w:t>（3）</w:t>
            </w:r>
            <w:r>
              <w:rPr>
                <w:rFonts w:hint="eastAsia" w:ascii="Times New Roman" w:hAnsi="Times New Roman" w:eastAsia="宋体" w:cs="Times New Roman"/>
                <w:color w:val="auto"/>
                <w:lang w:val="en-US" w:eastAsia="zh-CN"/>
              </w:rPr>
              <w:t>光伏组件选型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本工程选用</w:t>
            </w:r>
            <w:r>
              <w:rPr>
                <w:rFonts w:hint="default" w:ascii="Times New Roman" w:hAnsi="Times New Roman" w:eastAsia="宋体" w:cs="Times New Roman"/>
                <w:color w:val="auto"/>
                <w:lang w:val="en-US" w:eastAsia="zh-CN"/>
              </w:rPr>
              <w:t xml:space="preserve">535Wp </w:t>
            </w:r>
            <w:r>
              <w:rPr>
                <w:rFonts w:hint="eastAsia" w:ascii="Times New Roman" w:hAnsi="Times New Roman" w:eastAsia="宋体" w:cs="Times New Roman"/>
                <w:color w:val="auto"/>
                <w:lang w:val="en-US" w:eastAsia="zh-CN"/>
              </w:rPr>
              <w:t xml:space="preserve">的单面高效 </w:t>
            </w:r>
            <w:r>
              <w:rPr>
                <w:rFonts w:hint="default" w:ascii="Times New Roman" w:hAnsi="Times New Roman" w:eastAsia="宋体" w:cs="Times New Roman"/>
                <w:color w:val="auto"/>
                <w:lang w:val="en-US" w:eastAsia="zh-CN"/>
              </w:rPr>
              <w:t xml:space="preserve">PERC </w:t>
            </w:r>
            <w:r>
              <w:rPr>
                <w:rFonts w:hint="eastAsia" w:ascii="Times New Roman" w:hAnsi="Times New Roman" w:eastAsia="宋体" w:cs="Times New Roman"/>
                <w:color w:val="auto"/>
                <w:lang w:val="en-US" w:eastAsia="zh-CN"/>
              </w:rPr>
              <w:t>单晶太阳能组件。</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表2-5  光伏组件组件参数表 </w:t>
            </w:r>
          </w:p>
          <w:tbl>
            <w:tblPr>
              <w:tblStyle w:val="13"/>
              <w:tblW w:w="4999" w:type="pct"/>
              <w:tblInd w:w="7"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735"/>
              <w:gridCol w:w="1999"/>
              <w:gridCol w:w="342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类型</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单位</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单晶单面组件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Wp</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组件效率</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20.75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开路电压</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49.34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短路电流</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A</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峰值功率电压</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峰值功率电流</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A</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13.17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最大系统电压</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功率温度系数</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开路电压系数</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短路电流系数</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25 年功率衰减</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尺寸(L/W/H)</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mm</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2274*1134*35mm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重量</w:t>
                  </w:r>
                </w:p>
              </w:tc>
              <w:tc>
                <w:tcPr>
                  <w:tcW w:w="122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kg</w:t>
                  </w:r>
                </w:p>
              </w:tc>
              <w:tc>
                <w:tcPr>
                  <w:tcW w:w="209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28.9</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7、发电量估算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eastAsia="宋体"/>
                <w:color w:val="auto"/>
                <w:lang w:val="en-US" w:eastAsia="zh-CN"/>
              </w:rPr>
            </w:pPr>
            <w:r>
              <w:rPr>
                <w:rFonts w:hint="eastAsia"/>
                <w:color w:val="auto"/>
                <w:lang w:val="en-US" w:eastAsia="en-US"/>
              </w:rPr>
              <w:t>根据</w:t>
            </w:r>
            <w:r>
              <w:rPr>
                <w:rFonts w:hint="eastAsia"/>
                <w:color w:val="auto"/>
                <w:lang w:val="en-US" w:eastAsia="zh-CN"/>
              </w:rPr>
              <w:t>项目可行性研究报告可知</w:t>
            </w:r>
            <w:r>
              <w:rPr>
                <w:rFonts w:hint="eastAsia"/>
                <w:color w:val="auto"/>
                <w:lang w:val="en-US" w:eastAsia="en-US"/>
              </w:rPr>
              <w:t>，本工程选择倾角为35°布置。首年发电量为113540.00MWh，25年年总发电量为2572816.40MWh，25年平均发电量为102912.60MWh，25年平均利用小时数为1470.18小时。</w:t>
            </w:r>
            <w:r>
              <w:rPr>
                <w:rFonts w:hint="eastAsia"/>
                <w:color w:val="auto"/>
                <w:lang w:val="en-US" w:eastAsia="zh-CN"/>
              </w:rPr>
              <w:t>最终发电量详见表2-6。</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表2-6  运营期内光伏电站逐年上网电量估算表</w:t>
            </w:r>
          </w:p>
          <w:tbl>
            <w:tblPr>
              <w:tblStyle w:val="13"/>
              <w:tblW w:w="4999" w:type="pct"/>
              <w:tblInd w:w="7"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82"/>
              <w:gridCol w:w="4071"/>
              <w:gridCol w:w="260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年份</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固定倾角发电量（MWh）</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利用小时数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113540.00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1622.00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110701.50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1581.45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3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109985.40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1571.22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4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109270.00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1561.00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5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108553.90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1550.77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6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107838.50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1540.55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7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107122.40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1530.32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8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106407.00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1520.10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9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105690.90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1509.87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10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104974.80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1499.64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11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104259.40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1489.42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12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103543.30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1479.19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13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102827.90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1468.97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14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102111.80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1458.74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15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101396.40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1448.52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16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100680.30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1438.29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17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99964.90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1428.07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18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99248.80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1417.84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19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98532.70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1407.61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20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97817.30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1397.39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21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97101.20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1387.16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22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96385.80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1376.94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23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95669.70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1366.71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24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94954.30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1356.49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第 25 年</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94238.20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1346.26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合计</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2572816.40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0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每年平均</w:t>
                  </w:r>
                </w:p>
              </w:tc>
              <w:tc>
                <w:tcPr>
                  <w:tcW w:w="2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102912.60</w:t>
                  </w:r>
                </w:p>
              </w:tc>
              <w:tc>
                <w:tcPr>
                  <w:tcW w:w="159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center"/>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1470.18</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8、主要设备</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表2-7  主要设备一览表</w:t>
            </w:r>
          </w:p>
          <w:tbl>
            <w:tblPr>
              <w:tblStyle w:val="13"/>
              <w:tblW w:w="5000" w:type="pct"/>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34"/>
              <w:gridCol w:w="2153"/>
              <w:gridCol w:w="2317"/>
              <w:gridCol w:w="285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光伏组件： 单晶单面 535Wp</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编号</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名称</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单位</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数量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Wp</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组件效率</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20.75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开路电压</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49.34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短路电流</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A</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峰值功率电压</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40.63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峰值功率电流</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A</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13.17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1.7</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最大系统电压</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V</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1.8</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功率温度系数</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1.9</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开路电压系数</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-0.28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1.10</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短路电流系数</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1.11</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25 年功率衰减</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13.2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1.12</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尺寸(L/W/H)</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mm</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2274*1134*35mm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1.13</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重量</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kg</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28.9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11"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1.14</w:t>
                  </w:r>
                </w:p>
              </w:tc>
              <w:tc>
                <w:tcPr>
                  <w:tcW w:w="131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固定倾角角度</w:t>
                  </w:r>
                </w:p>
              </w:tc>
              <w:tc>
                <w:tcPr>
                  <w:tcW w:w="1420"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（º）</w:t>
                  </w:r>
                </w:p>
              </w:tc>
              <w:tc>
                <w:tcPr>
                  <w:tcW w:w="1749"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组串式逆变器（336 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59264" behindDoc="0" locked="0" layoutInCell="1" allowOverlap="1">
                        <wp:simplePos x="0" y="0"/>
                        <wp:positionH relativeFrom="page">
                          <wp:posOffset>2136775</wp:posOffset>
                        </wp:positionH>
                        <wp:positionV relativeFrom="page">
                          <wp:posOffset>2797175</wp:posOffset>
                        </wp:positionV>
                        <wp:extent cx="6350" cy="166370"/>
                        <wp:effectExtent l="0" t="0" r="0" b="0"/>
                        <wp:wrapNone/>
                        <wp:docPr id="5" name="IM 47"/>
                        <wp:cNvGraphicFramePr/>
                        <a:graphic xmlns:a="http://schemas.openxmlformats.org/drawingml/2006/main">
                          <a:graphicData uri="http://schemas.openxmlformats.org/drawingml/2006/picture">
                            <pic:pic xmlns:pic="http://schemas.openxmlformats.org/drawingml/2006/picture">
                              <pic:nvPicPr>
                                <pic:cNvPr id="5" name="IM 47"/>
                                <pic:cNvPicPr/>
                              </pic:nvPicPr>
                              <pic:blipFill>
                                <a:blip r:embed="rId11"/>
                                <a:stretch>
                                  <a:fillRect/>
                                </a:stretch>
                              </pic:blipFill>
                              <pic:spPr>
                                <a:xfrm>
                                  <a:off x="0" y="0"/>
                                  <a:ext cx="6350" cy="166370"/>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技术参数</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SUN2000- 196KTL-H0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2336" behindDoc="0" locked="0" layoutInCell="1" allowOverlap="1">
                        <wp:simplePos x="0" y="0"/>
                        <wp:positionH relativeFrom="page">
                          <wp:posOffset>2136775</wp:posOffset>
                        </wp:positionH>
                        <wp:positionV relativeFrom="page">
                          <wp:posOffset>2978150</wp:posOffset>
                        </wp:positionV>
                        <wp:extent cx="6350" cy="164465"/>
                        <wp:effectExtent l="0" t="0" r="0" b="0"/>
                        <wp:wrapNone/>
                        <wp:docPr id="6" name="IM 48"/>
                        <wp:cNvGraphicFramePr/>
                        <a:graphic xmlns:a="http://schemas.openxmlformats.org/drawingml/2006/main">
                          <a:graphicData uri="http://schemas.openxmlformats.org/drawingml/2006/picture">
                            <pic:pic xmlns:pic="http://schemas.openxmlformats.org/drawingml/2006/picture">
                              <pic:nvPicPr>
                                <pic:cNvPr id="6" name="IM 48"/>
                                <pic:cNvPicPr/>
                              </pic:nvPicPr>
                              <pic:blipFill>
                                <a:blip r:embed="rId11"/>
                                <a:stretch>
                                  <a:fillRect/>
                                </a:stretch>
                              </pic:blipFill>
                              <pic:spPr>
                                <a:xfrm>
                                  <a:off x="0" y="0"/>
                                  <a:ext cx="6350" cy="164465"/>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效率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0288" behindDoc="0" locked="0" layoutInCell="1" allowOverlap="1">
                        <wp:simplePos x="0" y="0"/>
                        <wp:positionH relativeFrom="page">
                          <wp:posOffset>2136775</wp:posOffset>
                        </wp:positionH>
                        <wp:positionV relativeFrom="page">
                          <wp:posOffset>3157855</wp:posOffset>
                        </wp:positionV>
                        <wp:extent cx="6350" cy="166370"/>
                        <wp:effectExtent l="0" t="0" r="0" b="0"/>
                        <wp:wrapNone/>
                        <wp:docPr id="7" name="IM 49"/>
                        <wp:cNvGraphicFramePr/>
                        <a:graphic xmlns:a="http://schemas.openxmlformats.org/drawingml/2006/main">
                          <a:graphicData uri="http://schemas.openxmlformats.org/drawingml/2006/picture">
                            <pic:pic xmlns:pic="http://schemas.openxmlformats.org/drawingml/2006/picture">
                              <pic:nvPicPr>
                                <pic:cNvPr id="7" name="IM 49"/>
                                <pic:cNvPicPr/>
                              </pic:nvPicPr>
                              <pic:blipFill>
                                <a:blip r:embed="rId12"/>
                                <a:stretch>
                                  <a:fillRect/>
                                </a:stretch>
                              </pic:blipFill>
                              <pic:spPr>
                                <a:xfrm>
                                  <a:off x="0" y="0"/>
                                  <a:ext cx="6350" cy="166370"/>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最大效率</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1312" behindDoc="0" locked="0" layoutInCell="1" allowOverlap="1">
                        <wp:simplePos x="0" y="0"/>
                        <wp:positionH relativeFrom="page">
                          <wp:posOffset>2136775</wp:posOffset>
                        </wp:positionH>
                        <wp:positionV relativeFrom="page">
                          <wp:posOffset>3339465</wp:posOffset>
                        </wp:positionV>
                        <wp:extent cx="6350" cy="164465"/>
                        <wp:effectExtent l="0" t="0" r="0" b="0"/>
                        <wp:wrapNone/>
                        <wp:docPr id="8" name="IM 50"/>
                        <wp:cNvGraphicFramePr/>
                        <a:graphic xmlns:a="http://schemas.openxmlformats.org/drawingml/2006/main">
                          <a:graphicData uri="http://schemas.openxmlformats.org/drawingml/2006/picture">
                            <pic:pic xmlns:pic="http://schemas.openxmlformats.org/drawingml/2006/picture">
                              <pic:nvPicPr>
                                <pic:cNvPr id="8" name="IM 50"/>
                                <pic:cNvPicPr/>
                              </pic:nvPicPr>
                              <pic:blipFill>
                                <a:blip r:embed="rId12"/>
                                <a:stretch>
                                  <a:fillRect/>
                                </a:stretch>
                              </pic:blipFill>
                              <pic:spPr>
                                <a:xfrm>
                                  <a:off x="0" y="0"/>
                                  <a:ext cx="6350" cy="164465"/>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中国效率</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最大输入电压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1,500 V</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每路 MPPT 最大输入电流</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30A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每路 MPPT 最大短路电流</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50A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MPPT 电压范围</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500 V～1,500 V</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额定输入电压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1,080 V</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最大输入路数</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18  （一台逆变器配 2 个外线端子）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MPPT 数量</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额定输出功率</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196,000 W</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最大视在功率</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216,000 VA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最大有功功率 (cosφ=1)</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216,000 W</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额定输出电压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800 V, 3W + PE</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输出电压频率</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50 Hz</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额定输出电流</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141.5 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最大输出电流</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155.9 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功率因数</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0.8  超前 ... 0.8  滞后</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最大总谐波失真</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保护</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输入直流开关</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防孤岛保护</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输出过流保护</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输入反接保护</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组串故障检测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直流浪涌保护</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Type II</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交流浪涌保护</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Type II</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绝缘阻抗检测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残余电流监测</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显示与通信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5408" behindDoc="0" locked="0" layoutInCell="1" allowOverlap="1">
                        <wp:simplePos x="0" y="0"/>
                        <wp:positionH relativeFrom="page">
                          <wp:posOffset>2136775</wp:posOffset>
                        </wp:positionH>
                        <wp:positionV relativeFrom="page">
                          <wp:posOffset>8775700</wp:posOffset>
                        </wp:positionV>
                        <wp:extent cx="6350" cy="166370"/>
                        <wp:effectExtent l="0" t="0" r="0" b="0"/>
                        <wp:wrapNone/>
                        <wp:docPr id="9" name="IM 87"/>
                        <wp:cNvGraphicFramePr/>
                        <a:graphic xmlns:a="http://schemas.openxmlformats.org/drawingml/2006/main">
                          <a:graphicData uri="http://schemas.openxmlformats.org/drawingml/2006/picture">
                            <pic:pic xmlns:pic="http://schemas.openxmlformats.org/drawingml/2006/picture">
                              <pic:nvPicPr>
                                <pic:cNvPr id="9" name="IM 87"/>
                                <pic:cNvPicPr/>
                              </pic:nvPicPr>
                              <pic:blipFill>
                                <a:blip r:embed="rId12"/>
                                <a:stretch>
                                  <a:fillRect/>
                                </a:stretch>
                              </pic:blipFill>
                              <pic:spPr>
                                <a:xfrm>
                                  <a:off x="0" y="0"/>
                                  <a:ext cx="6350" cy="166370"/>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显示</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LED 指示灯， WLAN+APP</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3360" behindDoc="0" locked="0" layoutInCell="1" allowOverlap="1">
                        <wp:simplePos x="0" y="0"/>
                        <wp:positionH relativeFrom="page">
                          <wp:posOffset>2136775</wp:posOffset>
                        </wp:positionH>
                        <wp:positionV relativeFrom="page">
                          <wp:posOffset>8957310</wp:posOffset>
                        </wp:positionV>
                        <wp:extent cx="6350" cy="164465"/>
                        <wp:effectExtent l="0" t="0" r="0" b="0"/>
                        <wp:wrapNone/>
                        <wp:docPr id="10" name="IM 88"/>
                        <wp:cNvGraphicFramePr/>
                        <a:graphic xmlns:a="http://schemas.openxmlformats.org/drawingml/2006/main">
                          <a:graphicData uri="http://schemas.openxmlformats.org/drawingml/2006/picture">
                            <pic:pic xmlns:pic="http://schemas.openxmlformats.org/drawingml/2006/picture">
                              <pic:nvPicPr>
                                <pic:cNvPr id="10" name="IM 88"/>
                                <pic:cNvPicPr/>
                              </pic:nvPicPr>
                              <pic:blipFill>
                                <a:blip r:embed="rId12"/>
                                <a:stretch>
                                  <a:fillRect/>
                                </a:stretch>
                              </pic:blipFill>
                              <pic:spPr>
                                <a:xfrm>
                                  <a:off x="0" y="0"/>
                                  <a:ext cx="6350" cy="164465"/>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RS485</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USB</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drawing>
                      <wp:anchor distT="0" distB="0" distL="114300" distR="114300" simplePos="0" relativeHeight="251664384" behindDoc="0" locked="0" layoutInCell="1" allowOverlap="1">
                        <wp:simplePos x="0" y="0"/>
                        <wp:positionH relativeFrom="page">
                          <wp:posOffset>2136775</wp:posOffset>
                        </wp:positionH>
                        <wp:positionV relativeFrom="page">
                          <wp:posOffset>9318625</wp:posOffset>
                        </wp:positionV>
                        <wp:extent cx="6350" cy="164465"/>
                        <wp:effectExtent l="0" t="0" r="0" b="0"/>
                        <wp:wrapNone/>
                        <wp:docPr id="11" name="IM 89"/>
                        <wp:cNvGraphicFramePr/>
                        <a:graphic xmlns:a="http://schemas.openxmlformats.org/drawingml/2006/main">
                          <a:graphicData uri="http://schemas.openxmlformats.org/drawingml/2006/picture">
                            <pic:pic xmlns:pic="http://schemas.openxmlformats.org/drawingml/2006/picture">
                              <pic:nvPicPr>
                                <pic:cNvPr id="11" name="IM 89"/>
                                <pic:cNvPicPr/>
                              </pic:nvPicPr>
                              <pic:blipFill>
                                <a:blip r:embed="rId13"/>
                                <a:stretch>
                                  <a:fillRect/>
                                </a:stretch>
                              </pic:blipFill>
                              <pic:spPr>
                                <a:xfrm>
                                  <a:off x="0" y="0"/>
                                  <a:ext cx="6350" cy="164465"/>
                                </a:xfrm>
                                <a:prstGeom prst="rect">
                                  <a:avLst/>
                                </a:prstGeom>
                                <a:noFill/>
                                <a:ln>
                                  <a:noFill/>
                                </a:ln>
                              </pic:spPr>
                            </pic:pic>
                          </a:graphicData>
                        </a:graphic>
                      </wp:anchor>
                    </w:drawing>
                  </w:r>
                  <w:r>
                    <w:rPr>
                      <w:rFonts w:hint="eastAsia" w:ascii="Times New Roman" w:hAnsi="Times New Roman" w:eastAsia="宋体" w:cs="宋体"/>
                      <w:color w:val="auto"/>
                      <w:sz w:val="21"/>
                      <w:szCs w:val="21"/>
                      <w:lang w:val="en-US" w:eastAsia="zh-CN"/>
                    </w:rPr>
                    <w:t>MBUS</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支持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常规参数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尺寸（宽 x  高 x  厚）</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1,035 x 700 x 365 mm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重量（含挂架）</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86 kg</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工作温度</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-25°C～60°C</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最高工作海拔</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5,000 m (&gt; 4,000 m 降额)</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相对湿度</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0～100%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输入端子</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MC4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输出端子</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OT 端子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防护等级</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IP66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拓扑</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无变压器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冷却方式</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智能风冷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4"/>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满足的标准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830"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中国</w:t>
                  </w:r>
                </w:p>
              </w:tc>
              <w:tc>
                <w:tcPr>
                  <w:tcW w:w="3169"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after="0" w:line="240" w:lineRule="auto"/>
                    <w:ind w:left="0" w:right="0" w:firstLine="0"/>
                    <w:jc w:val="both"/>
                    <w:textAlignment w:val="auto"/>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NB/T 32004-2018</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9、职工定员与工作制度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光伏电场设计为无人值守，电场日常监控和管理设在升压站内。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10、公用工程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en-US"/>
              </w:rPr>
              <w:t>供水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本项目用水通过罐车拉水。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本项目用水主要为光伏组件冲洗水。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en-US"/>
              </w:rPr>
              <w:t>按照太阳能光伏组件面积</w:t>
            </w:r>
            <w:r>
              <w:rPr>
                <w:rFonts w:hint="eastAsia" w:ascii="Times New Roman" w:hAnsi="Times New Roman" w:eastAsia="宋体" w:cs="Times New Roman"/>
                <w:color w:val="auto"/>
                <w:lang w:val="en-US" w:eastAsia="zh-CN"/>
              </w:rPr>
              <w:t>382970</w:t>
            </w:r>
            <w:r>
              <w:rPr>
                <w:rFonts w:hint="eastAsia" w:ascii="Times New Roman" w:hAnsi="Times New Roman" w:eastAsia="宋体" w:cs="Times New Roman"/>
                <w:color w:val="auto"/>
                <w:lang w:val="en-US" w:eastAsia="en-US"/>
              </w:rPr>
              <w:t>m</w:t>
            </w:r>
            <w:r>
              <w:rPr>
                <w:rFonts w:hint="eastAsia" w:ascii="Times New Roman" w:hAnsi="Times New Roman" w:eastAsia="宋体" w:cs="Times New Roman"/>
                <w:color w:val="auto"/>
                <w:vertAlign w:val="superscript"/>
                <w:lang w:val="en-US" w:eastAsia="en-US"/>
              </w:rPr>
              <w:t>2</w:t>
            </w:r>
            <w:r>
              <w:rPr>
                <w:rFonts w:hint="eastAsia" w:ascii="Times New Roman" w:hAnsi="Times New Roman" w:eastAsia="宋体" w:cs="Times New Roman"/>
                <w:color w:val="auto"/>
                <w:lang w:val="en-US" w:eastAsia="en-US"/>
              </w:rPr>
              <w:t>，冲洗需用水lL/m</w:t>
            </w:r>
            <w:r>
              <w:rPr>
                <w:rFonts w:hint="eastAsia" w:ascii="Times New Roman" w:hAnsi="Times New Roman" w:eastAsia="宋体" w:cs="Times New Roman"/>
                <w:color w:val="auto"/>
                <w:vertAlign w:val="superscript"/>
                <w:lang w:val="en-US" w:eastAsia="en-US"/>
              </w:rPr>
              <w:t>2</w:t>
            </w:r>
            <w:r>
              <w:rPr>
                <w:rFonts w:hint="eastAsia" w:ascii="Times New Roman" w:hAnsi="Times New Roman" w:eastAsia="宋体" w:cs="Times New Roman"/>
                <w:color w:val="auto"/>
                <w:lang w:val="en-US" w:eastAsia="en-US"/>
              </w:rPr>
              <w:t>计算，冲洗一次需用水</w:t>
            </w:r>
            <w:r>
              <w:rPr>
                <w:rFonts w:hint="eastAsia" w:ascii="Times New Roman" w:hAnsi="Times New Roman" w:eastAsia="宋体" w:cs="Times New Roman"/>
                <w:color w:val="auto"/>
                <w:lang w:val="en-US" w:eastAsia="zh-CN"/>
              </w:rPr>
              <w:t>382.97</w:t>
            </w:r>
            <w:r>
              <w:rPr>
                <w:rFonts w:hint="eastAsia" w:ascii="Times New Roman" w:hAnsi="Times New Roman" w:eastAsia="宋体" w:cs="Times New Roman"/>
                <w:color w:val="auto"/>
                <w:lang w:val="en-US" w:eastAsia="en-US"/>
              </w:rPr>
              <w:t>m</w:t>
            </w:r>
            <w:r>
              <w:rPr>
                <w:rFonts w:hint="eastAsia" w:ascii="Times New Roman" w:hAnsi="Times New Roman" w:eastAsia="宋体" w:cs="Times New Roman"/>
                <w:color w:val="auto"/>
                <w:vertAlign w:val="superscript"/>
                <w:lang w:val="en-US" w:eastAsia="en-US"/>
              </w:rPr>
              <w:t>3</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en-US"/>
              </w:rPr>
              <w:t>电场配设4辆水力清洗车，储水罐容量5</w:t>
            </w:r>
            <w:r>
              <w:rPr>
                <w:rFonts w:hint="eastAsia" w:ascii="Times New Roman" w:hAnsi="Times New Roman" w:eastAsia="宋体" w:cs="Times New Roman"/>
                <w:color w:val="auto"/>
                <w:lang w:val="en-US" w:eastAsia="zh-CN"/>
              </w:rPr>
              <w:t>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en-US"/>
              </w:rPr>
              <w:t>每天作业5小时，耗水100</w:t>
            </w:r>
            <w:r>
              <w:rPr>
                <w:rFonts w:hint="eastAsia" w:ascii="Times New Roman" w:hAnsi="Times New Roman" w:eastAsia="宋体" w:cs="Times New Roman"/>
                <w:color w:val="auto"/>
                <w:lang w:val="en-US" w:eastAsia="zh-CN"/>
              </w:rPr>
              <w:t>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，全</w:t>
            </w:r>
            <w:r>
              <w:rPr>
                <w:rFonts w:hint="eastAsia" w:ascii="Times New Roman" w:hAnsi="Times New Roman" w:eastAsia="宋体" w:cs="Times New Roman"/>
                <w:color w:val="auto"/>
                <w:lang w:val="en-US" w:eastAsia="en-US"/>
              </w:rPr>
              <w:t>场清洗一次需</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en-US"/>
              </w:rPr>
              <w:t>天，</w:t>
            </w:r>
            <w:r>
              <w:rPr>
                <w:rFonts w:hint="eastAsia" w:ascii="Times New Roman" w:hAnsi="Times New Roman" w:eastAsia="宋体" w:cs="Times New Roman"/>
                <w:color w:val="auto"/>
                <w:lang w:val="en-US" w:eastAsia="zh-CN"/>
              </w:rPr>
              <w:t>非采暖</w:t>
            </w:r>
            <w:r>
              <w:rPr>
                <w:rFonts w:hint="eastAsia" w:ascii="Times New Roman" w:hAnsi="Times New Roman" w:eastAsia="宋体" w:cs="Times New Roman"/>
                <w:color w:val="auto"/>
                <w:lang w:val="en-US" w:eastAsia="en-US"/>
              </w:rPr>
              <w:t>季每月清洗一次</w:t>
            </w:r>
            <w:r>
              <w:rPr>
                <w:rFonts w:hint="eastAsia" w:ascii="Times New Roman" w:hAnsi="Times New Roman" w:eastAsia="宋体" w:cs="Times New Roman"/>
                <w:color w:val="auto"/>
                <w:lang w:val="en-US" w:eastAsia="zh-CN"/>
              </w:rPr>
              <w:t>（采暖季按180天计）</w:t>
            </w:r>
            <w:r>
              <w:rPr>
                <w:rFonts w:hint="eastAsia" w:ascii="Times New Roman" w:hAnsi="Times New Roman" w:eastAsia="宋体" w:cs="Times New Roman"/>
                <w:color w:val="auto"/>
                <w:lang w:val="en-US" w:eastAsia="en-US"/>
              </w:rPr>
              <w:t>，共需水量</w:t>
            </w:r>
            <w:r>
              <w:rPr>
                <w:rFonts w:hint="eastAsia" w:ascii="Times New Roman" w:hAnsi="Times New Roman" w:eastAsia="宋体" w:cs="Times New Roman"/>
                <w:color w:val="auto"/>
                <w:lang w:val="en-US" w:eastAsia="zh-CN"/>
              </w:rPr>
              <w:t>2297.82</w:t>
            </w:r>
            <w:r>
              <w:rPr>
                <w:rFonts w:hint="eastAsia" w:ascii="Times New Roman" w:hAnsi="Times New Roman" w:eastAsia="宋体" w:cs="Times New Roman"/>
                <w:color w:val="auto"/>
                <w:lang w:val="en-US" w:eastAsia="en-US"/>
              </w:rPr>
              <w:t>m</w:t>
            </w:r>
            <w:r>
              <w:rPr>
                <w:rFonts w:hint="eastAsia" w:ascii="Times New Roman" w:hAnsi="Times New Roman" w:eastAsia="宋体" w:cs="Times New Roman"/>
                <w:color w:val="auto"/>
                <w:vertAlign w:val="superscript"/>
                <w:lang w:val="en-US" w:eastAsia="en-US"/>
              </w:rPr>
              <w:t>3</w:t>
            </w:r>
            <w:r>
              <w:rPr>
                <w:rFonts w:hint="eastAsia" w:ascii="Times New Roman" w:hAnsi="Times New Roman" w:eastAsia="宋体" w:cs="Times New Roman"/>
                <w:color w:val="auto"/>
                <w:lang w:val="en-US" w:eastAsia="en-US"/>
              </w:rPr>
              <w:t>/a</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bookmarkStart w:id="9" w:name="bookmark57"/>
            <w:r>
              <w:rPr>
                <w:rFonts w:hint="eastAsia" w:ascii="Times New Roman" w:hAnsi="Times New Roman" w:eastAsia="宋体" w:cs="Times New Roman"/>
                <w:color w:val="auto"/>
                <w:lang w:val="zh-CN" w:eastAsia="zh-CN"/>
              </w:rPr>
              <w:t>（</w:t>
            </w:r>
            <w:bookmarkEnd w:id="9"/>
            <w:r>
              <w:rPr>
                <w:rFonts w:hint="eastAsia" w:ascii="Times New Roman" w:hAnsi="Times New Roman" w:eastAsia="宋体" w:cs="Times New Roman"/>
                <w:color w:val="auto"/>
                <w:lang w:val="zh-CN" w:eastAsia="zh-CN"/>
              </w:rPr>
              <w:t>2）</w:t>
            </w:r>
            <w:r>
              <w:rPr>
                <w:rFonts w:hint="eastAsia" w:ascii="Times New Roman" w:hAnsi="Times New Roman" w:eastAsia="宋体" w:cs="Times New Roman"/>
                <w:color w:val="auto"/>
                <w:lang w:val="en-US" w:eastAsia="en-US"/>
              </w:rPr>
              <w:t>排水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本项目排水主要为光伏组件的清洗废水。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清洗废水产生按用量的90%计算，则每年产生冲洗废水</w:t>
            </w:r>
            <w:r>
              <w:rPr>
                <w:rFonts w:hint="eastAsia" w:ascii="Times New Roman" w:hAnsi="Times New Roman" w:eastAsia="宋体" w:cs="Times New Roman"/>
                <w:color w:val="auto"/>
                <w:lang w:val="en-US" w:eastAsia="zh-CN"/>
              </w:rPr>
              <w:t>2068m</w:t>
            </w:r>
            <w:r>
              <w:rPr>
                <w:rFonts w:hint="eastAsia"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en-US"/>
              </w:rPr>
              <w:t>组件清洗时不加洗涤剂，废水水质成分简单，直接流入周边草丛吸收和蒸发。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en-US"/>
              </w:rPr>
            </w:pPr>
            <w:r>
              <w:rPr>
                <w:rFonts w:hint="default" w:ascii="Times New Roman" w:hAnsi="Times New Roman" w:eastAsia="宋体" w:cs="Times New Roman"/>
                <w:color w:val="auto"/>
                <w:lang w:val="en-US" w:eastAsia="zh-CN"/>
              </w:rPr>
              <w:t>本</w:t>
            </w:r>
            <w:r>
              <w:rPr>
                <w:rFonts w:hint="default" w:ascii="Times New Roman" w:hAnsi="Times New Roman" w:eastAsia="宋体" w:cs="Times New Roman"/>
                <w:color w:val="auto"/>
                <w:lang w:val="en-US" w:eastAsia="en-US"/>
              </w:rPr>
              <w:t>项目用水单元用水量、排水量见</w:t>
            </w:r>
            <w:r>
              <w:rPr>
                <w:rFonts w:hint="default" w:ascii="Times New Roman" w:hAnsi="Times New Roman" w:eastAsia="宋体" w:cs="Times New Roman"/>
                <w:color w:val="auto"/>
                <w:lang w:val="en-US" w:eastAsia="zh-CN"/>
              </w:rPr>
              <w:t>下</w:t>
            </w:r>
            <w:r>
              <w:rPr>
                <w:rFonts w:hint="default" w:ascii="Times New Roman" w:hAnsi="Times New Roman" w:eastAsia="宋体" w:cs="Times New Roman"/>
                <w:color w:val="auto"/>
                <w:lang w:val="en-US" w:eastAsia="en-US"/>
              </w:rPr>
              <w:t>表。</w:t>
            </w:r>
          </w:p>
          <w:p>
            <w:pPr>
              <w:jc w:val="center"/>
              <w:rPr>
                <w:rFonts w:hint="default" w:ascii="Times New Roman" w:hAnsi="Times New Roman" w:eastAsia="宋体" w:cs="Times New Roman"/>
                <w:color w:val="auto"/>
                <w:lang w:val="en-US" w:eastAsia="zh-CN"/>
              </w:rPr>
            </w:pPr>
            <w:bookmarkStart w:id="10" w:name="bookmark58"/>
            <w:r>
              <w:rPr>
                <w:rFonts w:hint="default"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zh-CN"/>
              </w:rPr>
              <w:t>2-8</w:t>
            </w:r>
            <w:r>
              <w:rPr>
                <w:rFonts w:hint="default" w:ascii="Times New Roman" w:hAnsi="Times New Roman" w:eastAsia="宋体" w:cs="Times New Roman"/>
                <w:color w:val="auto"/>
                <w:lang w:val="en-US" w:eastAsia="zh-CN"/>
              </w:rPr>
              <w:t xml:space="preserve">  项目用水单元用水量、排水量一览表</w:t>
            </w:r>
          </w:p>
          <w:tbl>
            <w:tblPr>
              <w:tblStyle w:val="7"/>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588"/>
              <w:gridCol w:w="1661"/>
              <w:gridCol w:w="1027"/>
              <w:gridCol w:w="1144"/>
              <w:gridCol w:w="1847"/>
              <w:gridCol w:w="189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序号</w:t>
                  </w:r>
                </w:p>
              </w:tc>
              <w:tc>
                <w:tcPr>
                  <w:tcW w:w="1018"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用水项目</w:t>
                  </w:r>
                </w:p>
              </w:tc>
              <w:tc>
                <w:tcPr>
                  <w:tcW w:w="629"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用水定额</w:t>
                  </w:r>
                </w:p>
              </w:tc>
              <w:tc>
                <w:tcPr>
                  <w:tcW w:w="701"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面积</w:t>
                  </w:r>
                </w:p>
              </w:tc>
              <w:tc>
                <w:tcPr>
                  <w:tcW w:w="1132"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新鲜用水量（</w:t>
                  </w:r>
                  <w:r>
                    <w:rPr>
                      <w:rFonts w:hint="default" w:ascii="Times New Roman" w:hAnsi="Times New Roman" w:eastAsia="宋体" w:cs="Times New Roman"/>
                      <w:b/>
                      <w:bCs/>
                      <w:color w:val="auto"/>
                      <w:highlight w:val="none"/>
                    </w:rPr>
                    <w:t>m</w:t>
                  </w:r>
                  <w:r>
                    <w:rPr>
                      <w:rFonts w:hint="default" w:ascii="Times New Roman" w:hAnsi="Times New Roman" w:eastAsia="宋体" w:cs="Times New Roman"/>
                      <w:b/>
                      <w:bCs/>
                      <w:color w:val="auto"/>
                      <w:highlight w:val="none"/>
                      <w:vertAlign w:val="superscript"/>
                    </w:rPr>
                    <w:t>3</w:t>
                  </w:r>
                  <w:r>
                    <w:rPr>
                      <w:rFonts w:hint="default" w:ascii="Times New Roman" w:hAnsi="Times New Roman" w:eastAsia="宋体" w:cs="Times New Roman"/>
                      <w:b/>
                      <w:bCs/>
                      <w:color w:val="auto"/>
                      <w:highlight w:val="none"/>
                      <w:lang w:val="en-US" w:eastAsia="zh-CN"/>
                    </w:rPr>
                    <w:t>/d）</w:t>
                  </w:r>
                </w:p>
              </w:tc>
              <w:tc>
                <w:tcPr>
                  <w:tcW w:w="1158" w:type="pct"/>
                  <w:tcBorders>
                    <w:left w:val="single" w:color="auto" w:sz="4" w:space="0"/>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eastAsia="宋体" w:cs="Times New Roman"/>
                      <w:b/>
                      <w:bCs/>
                      <w:color w:val="auto"/>
                      <w:highlight w:val="none"/>
                      <w:lang w:val="en-US" w:eastAsia="zh-CN"/>
                    </w:rPr>
                    <w:t>污水产生量（</w:t>
                  </w:r>
                  <w:r>
                    <w:rPr>
                      <w:rFonts w:hint="default" w:ascii="Times New Roman" w:hAnsi="Times New Roman" w:eastAsia="宋体" w:cs="Times New Roman"/>
                      <w:b/>
                      <w:bCs/>
                      <w:color w:val="auto"/>
                      <w:highlight w:val="none"/>
                    </w:rPr>
                    <w:t>m</w:t>
                  </w:r>
                  <w:r>
                    <w:rPr>
                      <w:rFonts w:hint="default" w:ascii="Times New Roman" w:hAnsi="Times New Roman" w:eastAsia="宋体" w:cs="Times New Roman"/>
                      <w:b/>
                      <w:bCs/>
                      <w:color w:val="auto"/>
                      <w:highlight w:val="none"/>
                      <w:vertAlign w:val="superscript"/>
                    </w:rPr>
                    <w:t>3</w:t>
                  </w:r>
                  <w:r>
                    <w:rPr>
                      <w:rFonts w:hint="default" w:ascii="Times New Roman" w:hAnsi="Times New Roman" w:eastAsia="宋体" w:cs="Times New Roman"/>
                      <w:b/>
                      <w:bCs/>
                      <w:color w:val="auto"/>
                      <w:highlight w:val="none"/>
                      <w:lang w:val="en-US" w:eastAsia="zh-CN"/>
                    </w:rPr>
                    <w:t>/d）</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60"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1018"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textAlignment w:val="auto"/>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lang w:val="en-US" w:eastAsia="en-US"/>
                    </w:rPr>
                    <w:t>光伏组件冲洗水</w:t>
                  </w:r>
                </w:p>
              </w:tc>
              <w:tc>
                <w:tcPr>
                  <w:tcW w:w="629"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textAlignment w:val="auto"/>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lang w:val="en-US" w:eastAsia="en-US"/>
                    </w:rPr>
                    <w:t>lL/m</w:t>
                  </w:r>
                  <w:r>
                    <w:rPr>
                      <w:rFonts w:hint="eastAsia" w:ascii="Times New Roman" w:hAnsi="Times New Roman" w:eastAsia="宋体" w:cs="Times New Roman"/>
                      <w:color w:val="auto"/>
                      <w:vertAlign w:val="superscript"/>
                      <w:lang w:val="en-US" w:eastAsia="en-US"/>
                    </w:rPr>
                    <w:t>2</w:t>
                  </w:r>
                </w:p>
              </w:tc>
              <w:tc>
                <w:tcPr>
                  <w:tcW w:w="701"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textAlignment w:val="auto"/>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b w:val="0"/>
                      <w:bCs w:val="0"/>
                      <w:color w:val="auto"/>
                      <w:highlight w:val="none"/>
                      <w:lang w:val="en-US" w:eastAsia="zh-CN"/>
                    </w:rPr>
                    <w:t>382970m</w:t>
                  </w:r>
                  <w:r>
                    <w:rPr>
                      <w:rFonts w:hint="default" w:ascii="Times New Roman" w:hAnsi="Times New Roman" w:cs="Times New Roman"/>
                      <w:b w:val="0"/>
                      <w:bCs w:val="0"/>
                      <w:color w:val="auto"/>
                      <w:highlight w:val="none"/>
                      <w:vertAlign w:val="superscript"/>
                      <w:lang w:val="en-US" w:eastAsia="zh-CN"/>
                    </w:rPr>
                    <w:t>2</w:t>
                  </w:r>
                </w:p>
              </w:tc>
              <w:tc>
                <w:tcPr>
                  <w:tcW w:w="1132" w:type="pct"/>
                  <w:tcBorders>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textAlignment w:val="auto"/>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12.42</w:t>
                  </w:r>
                </w:p>
              </w:tc>
              <w:tc>
                <w:tcPr>
                  <w:tcW w:w="1158" w:type="pct"/>
                  <w:tcBorders>
                    <w:left w:val="single" w:color="auto" w:sz="4" w:space="0"/>
                    <w:tl2br w:val="nil"/>
                    <w:tr2bl w:val="nil"/>
                  </w:tcBorders>
                  <w:noWrap w:val="0"/>
                  <w:tcMar>
                    <w:top w:w="0" w:type="dxa"/>
                    <w:left w:w="57" w:type="dxa"/>
                    <w:bottom w:w="0" w:type="dxa"/>
                    <w:right w:w="57" w:type="dxa"/>
                  </w:tcMar>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textAlignment w:val="auto"/>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en-US"/>
              </w:rPr>
            </w:pPr>
            <w:r>
              <w:rPr>
                <w:rFonts w:hint="eastAsia" w:ascii="Times New Roman" w:hAnsi="Times New Roman" w:eastAsia="宋体" w:cs="Times New Roman"/>
                <w:color w:val="auto"/>
                <w:lang w:val="en-US" w:eastAsia="en-US"/>
              </w:rPr>
              <w:t>（</w:t>
            </w:r>
            <w:bookmarkEnd w:id="10"/>
            <w:r>
              <w:rPr>
                <w:rFonts w:hint="eastAsia" w:ascii="Times New Roman" w:hAnsi="Times New Roman" w:eastAsia="宋体" w:cs="Times New Roman"/>
                <w:color w:val="auto"/>
                <w:lang w:val="en-US" w:eastAsia="en-US"/>
              </w:rPr>
              <w:t>3）供电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eastAsia="zh-CN"/>
              </w:rPr>
            </w:pPr>
            <w:r>
              <w:rPr>
                <w:rFonts w:hint="eastAsia" w:ascii="Times New Roman" w:hAnsi="Times New Roman" w:eastAsia="宋体" w:cs="Times New Roman"/>
                <w:color w:val="auto"/>
                <w:lang w:val="en-US" w:eastAsia="en-US"/>
              </w:rPr>
              <w:t>本项目施工电源就近引接附近村庄变压器。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686"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总平面及现场布置</w:t>
            </w:r>
          </w:p>
        </w:tc>
        <w:tc>
          <w:tcPr>
            <w:tcW w:w="8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en-US"/>
              </w:rPr>
            </w:pPr>
            <w:r>
              <w:rPr>
                <w:rFonts w:hint="eastAsia"/>
                <w:color w:val="auto"/>
                <w:lang w:val="en-US" w:eastAsia="zh-CN"/>
              </w:rPr>
              <w:t>1、</w:t>
            </w:r>
            <w:r>
              <w:rPr>
                <w:rFonts w:hint="eastAsia"/>
                <w:color w:val="auto"/>
                <w:lang w:val="en-US" w:eastAsia="en-US"/>
              </w:rPr>
              <w:t>总平面布置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en-US"/>
              </w:rPr>
            </w:pPr>
            <w:r>
              <w:rPr>
                <w:rFonts w:hint="eastAsia"/>
                <w:color w:val="auto"/>
                <w:lang w:val="en-US" w:eastAsia="zh-CN"/>
              </w:rPr>
              <w:t>（1）</w:t>
            </w:r>
            <w:r>
              <w:rPr>
                <w:rFonts w:hint="eastAsia"/>
                <w:color w:val="auto"/>
                <w:lang w:val="en-US" w:eastAsia="en-US"/>
              </w:rPr>
              <w:t>光伏电场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en-US"/>
              </w:rPr>
            </w:pPr>
            <w:r>
              <w:rPr>
                <w:rFonts w:hint="eastAsia"/>
                <w:color w:val="auto"/>
                <w:lang w:val="en-US" w:eastAsia="en-US"/>
              </w:rPr>
              <w:t>本工程光伏场区位于</w:t>
            </w:r>
            <w:r>
              <w:rPr>
                <w:rFonts w:hint="eastAsia"/>
                <w:color w:val="auto"/>
                <w:lang w:eastAsia="zh-CN"/>
              </w:rPr>
              <w:t>山西省</w:t>
            </w:r>
            <w:r>
              <w:rPr>
                <w:rFonts w:hint="eastAsia"/>
                <w:color w:val="auto"/>
                <w:lang w:val="en-US" w:eastAsia="zh-CN"/>
              </w:rPr>
              <w:t>朔州市平鲁区高石庄乡</w:t>
            </w:r>
            <w:r>
              <w:rPr>
                <w:rFonts w:hint="eastAsia"/>
                <w:color w:val="auto"/>
                <w:lang w:val="en-US" w:eastAsia="en-US"/>
              </w:rPr>
              <w:t>。工程规划容量为70MW光伏发电系统，工程场地满足规划容量布置，光伏场区各区域之间可以利用既有道路和新建场区道路进行连接</w:t>
            </w:r>
            <w:r>
              <w:rPr>
                <w:rFonts w:hint="eastAsia"/>
                <w:color w:val="auto"/>
                <w:lang w:val="en-US" w:eastAsia="zh-CN"/>
              </w:rPr>
              <w:t>，</w:t>
            </w:r>
            <w:r>
              <w:rPr>
                <w:rFonts w:hint="eastAsia"/>
                <w:color w:val="auto"/>
                <w:lang w:val="en-US" w:eastAsia="en-US"/>
              </w:rPr>
              <w:t>场区的光伏电池组件方阵由北向南依次布置</w:t>
            </w:r>
            <w:r>
              <w:rPr>
                <w:rFonts w:hint="eastAsia"/>
                <w:color w:val="auto"/>
                <w:lang w:val="en-US" w:eastAsia="zh-CN"/>
              </w:rPr>
              <w:t>。</w:t>
            </w:r>
            <w:r>
              <w:rPr>
                <w:rFonts w:hint="eastAsia"/>
                <w:color w:val="auto"/>
                <w:lang w:val="en-US" w:eastAsia="en-US"/>
              </w:rPr>
              <w:t>光伏场区布置充分考虑地形和现有道路情况，方便施工的同时，尽量减少地表扰动面积，减少水土流失。本项目光伏电场布置详见附图</w:t>
            </w:r>
            <w:r>
              <w:rPr>
                <w:rFonts w:hint="eastAsia"/>
                <w:color w:val="auto"/>
                <w:lang w:val="en-US" w:eastAsia="zh-CN"/>
              </w:rPr>
              <w:t>4</w:t>
            </w:r>
            <w:r>
              <w:rPr>
                <w:rFonts w:hint="eastAsia"/>
                <w:color w:val="auto"/>
                <w:lang w:val="en-US" w:eastAsia="en-US"/>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en-US"/>
              </w:rPr>
            </w:pPr>
            <w:r>
              <w:rPr>
                <w:rFonts w:hint="eastAsia"/>
                <w:color w:val="auto"/>
                <w:lang w:val="en-US" w:eastAsia="zh-CN"/>
              </w:rPr>
              <w:t>（2）</w:t>
            </w:r>
            <w:r>
              <w:rPr>
                <w:rFonts w:hint="eastAsia"/>
                <w:color w:val="auto"/>
                <w:lang w:val="en-US" w:eastAsia="en-US"/>
              </w:rPr>
              <w:t>道路工程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rPr>
            </w:pPr>
            <w:r>
              <w:rPr>
                <w:rFonts w:hint="eastAsia"/>
                <w:color w:val="auto"/>
                <w:lang w:val="en-US" w:eastAsia="en-US"/>
              </w:rPr>
              <w:t>道路工程分为进场道路和场内检修道路工程</w:t>
            </w:r>
            <w:r>
              <w:rPr>
                <w:rFonts w:hint="eastAsia"/>
                <w:color w:val="auto"/>
                <w:lang w:val="en-US" w:eastAsia="zh-CN"/>
              </w:rPr>
              <w:t>。</w:t>
            </w:r>
            <w:r>
              <w:rPr>
                <w:rFonts w:hint="eastAsia"/>
                <w:color w:val="auto"/>
              </w:rPr>
              <w:t>项目进场道路利用自然村附近既有道路分别进场。光伏场区进场道路及内部检修道路，路基宽度4.5m，路面宽度4.0m，采用山皮石路面。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en-US"/>
              </w:rPr>
            </w:pPr>
            <w:r>
              <w:rPr>
                <w:rFonts w:hint="eastAsia"/>
                <w:color w:val="auto"/>
                <w:highlight w:val="none"/>
                <w:lang w:val="en-US" w:eastAsia="zh-CN"/>
              </w:rPr>
              <w:t>（3）</w:t>
            </w:r>
            <w:r>
              <w:rPr>
                <w:rFonts w:hint="eastAsia"/>
                <w:color w:val="auto"/>
                <w:highlight w:val="none"/>
                <w:lang w:val="en-US" w:eastAsia="en-US"/>
              </w:rPr>
              <w:t>集电线路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①组串回路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电池组件之间的连接电缆采用光伏专用电缆，由组件厂家自带。电池组件至逆变器连接电缆为 H1Z2Z2-K-1×4mm</w:t>
            </w:r>
            <w:r>
              <w:rPr>
                <w:rFonts w:hint="eastAsia"/>
                <w:color w:val="auto"/>
                <w:highlight w:val="none"/>
                <w:vertAlign w:val="superscript"/>
                <w:lang w:val="en-US" w:eastAsia="zh-CN"/>
              </w:rPr>
              <w:t>2</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②逆变器回路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组串逆变器至箱变，逆变器交流侧输出电压为</w:t>
            </w:r>
            <w:r>
              <w:rPr>
                <w:rFonts w:hint="default"/>
                <w:color w:val="auto"/>
                <w:highlight w:val="none"/>
                <w:lang w:val="en-US" w:eastAsia="zh-CN"/>
              </w:rPr>
              <w:t>800V</w:t>
            </w:r>
            <w:r>
              <w:rPr>
                <w:rFonts w:hint="eastAsia"/>
                <w:color w:val="auto"/>
                <w:highlight w:val="none"/>
                <w:lang w:val="en-US" w:eastAsia="zh-CN"/>
              </w:rPr>
              <w:t>，采用1.8</w:t>
            </w:r>
            <w:r>
              <w:rPr>
                <w:rFonts w:hint="default"/>
                <w:color w:val="auto"/>
                <w:highlight w:val="none"/>
                <w:lang w:val="en-US" w:eastAsia="zh-CN"/>
              </w:rPr>
              <w:t>/3kV</w:t>
            </w:r>
            <w:r>
              <w:rPr>
                <w:rFonts w:hint="eastAsia"/>
                <w:color w:val="auto"/>
                <w:highlight w:val="none"/>
                <w:lang w:val="en-US" w:eastAsia="zh-CN"/>
              </w:rPr>
              <w:t>低压电缆连接，逆变器输出侧最大负荷电流为</w:t>
            </w:r>
            <w:r>
              <w:rPr>
                <w:rFonts w:hint="default"/>
                <w:color w:val="auto"/>
                <w:highlight w:val="none"/>
                <w:lang w:val="en-US" w:eastAsia="zh-CN"/>
              </w:rPr>
              <w:t>155.9A</w:t>
            </w:r>
            <w:r>
              <w:rPr>
                <w:rFonts w:hint="eastAsia"/>
                <w:color w:val="auto"/>
                <w:highlight w:val="none"/>
                <w:lang w:val="en-US" w:eastAsia="zh-CN"/>
              </w:rPr>
              <w:t>，根据线路长短，电缆出线采用</w:t>
            </w:r>
            <w:r>
              <w:rPr>
                <w:rFonts w:hint="default"/>
                <w:color w:val="auto"/>
                <w:highlight w:val="none"/>
                <w:lang w:val="en-US" w:eastAsia="zh-CN"/>
              </w:rPr>
              <w:t>ZRC-YJLHY23-1.8/3kV</w:t>
            </w:r>
            <w:r>
              <w:rPr>
                <w:rFonts w:hint="eastAsia"/>
                <w:color w:val="auto"/>
                <w:highlight w:val="none"/>
                <w:lang w:val="en-US" w:eastAsia="zh-CN"/>
              </w:rPr>
              <w:t xml:space="preserve"> </w:t>
            </w:r>
            <w:r>
              <w:rPr>
                <w:rFonts w:hint="default"/>
                <w:color w:val="auto"/>
                <w:highlight w:val="none"/>
                <w:lang w:val="en-US" w:eastAsia="zh-CN"/>
              </w:rPr>
              <w:t>-3</w:t>
            </w:r>
            <w:r>
              <w:rPr>
                <w:rFonts w:hint="eastAsia"/>
                <w:color w:val="auto"/>
                <w:highlight w:val="none"/>
                <w:lang w:val="en-US" w:eastAsia="zh-CN"/>
              </w:rPr>
              <w:t>×</w:t>
            </w:r>
            <w:r>
              <w:rPr>
                <w:rFonts w:hint="default"/>
                <w:color w:val="auto"/>
                <w:highlight w:val="none"/>
                <w:lang w:val="en-US" w:eastAsia="zh-CN"/>
              </w:rPr>
              <w:t>95mm</w:t>
            </w:r>
            <w:r>
              <w:rPr>
                <w:rFonts w:hint="eastAsia"/>
                <w:color w:val="auto"/>
                <w:highlight w:val="none"/>
                <w:vertAlign w:val="superscript"/>
                <w:lang w:val="en-US" w:eastAsia="zh-CN"/>
              </w:rPr>
              <w:t>2</w:t>
            </w:r>
            <w:r>
              <w:rPr>
                <w:rFonts w:hint="eastAsia"/>
                <w:color w:val="auto"/>
                <w:highlight w:val="none"/>
                <w:lang w:val="en-US" w:eastAsia="zh-CN"/>
              </w:rPr>
              <w:t>、</w:t>
            </w:r>
            <w:r>
              <w:rPr>
                <w:rFonts w:hint="default"/>
                <w:color w:val="auto"/>
                <w:highlight w:val="none"/>
                <w:lang w:val="en-US" w:eastAsia="zh-CN"/>
              </w:rPr>
              <w:t>ZRC-YJLHY23-1.8/3kV-3</w:t>
            </w:r>
            <w:r>
              <w:rPr>
                <w:rFonts w:hint="eastAsia"/>
                <w:color w:val="auto"/>
                <w:highlight w:val="none"/>
                <w:lang w:val="en-US" w:eastAsia="zh-CN"/>
              </w:rPr>
              <w:t>×</w:t>
            </w:r>
            <w:r>
              <w:rPr>
                <w:rFonts w:hint="default"/>
                <w:color w:val="auto"/>
                <w:highlight w:val="none"/>
                <w:lang w:val="en-US" w:eastAsia="zh-CN"/>
              </w:rPr>
              <w:t>120mm</w:t>
            </w:r>
            <w:r>
              <w:rPr>
                <w:rFonts w:hint="eastAsia"/>
                <w:color w:val="auto"/>
                <w:highlight w:val="none"/>
                <w:vertAlign w:val="superscript"/>
                <w:lang w:val="en-US" w:eastAsia="zh-CN"/>
              </w:rPr>
              <w:t>2</w:t>
            </w:r>
            <w:r>
              <w:rPr>
                <w:rFonts w:hint="eastAsia"/>
                <w:color w:val="auto"/>
                <w:highlight w:val="none"/>
                <w:lang w:val="en-US" w:eastAsia="zh-CN"/>
              </w:rPr>
              <w:t>及</w:t>
            </w:r>
            <w:r>
              <w:rPr>
                <w:rFonts w:hint="default"/>
                <w:color w:val="auto"/>
                <w:highlight w:val="none"/>
                <w:lang w:val="en-US" w:eastAsia="zh-CN"/>
              </w:rPr>
              <w:t>ZRC-YJLHY23-1.8/3kV-3</w:t>
            </w:r>
            <w:r>
              <w:rPr>
                <w:rFonts w:hint="eastAsia"/>
                <w:color w:val="auto"/>
                <w:highlight w:val="none"/>
                <w:lang w:val="en-US" w:eastAsia="zh-CN"/>
              </w:rPr>
              <w:t>×</w:t>
            </w:r>
            <w:r>
              <w:rPr>
                <w:rFonts w:hint="default"/>
                <w:color w:val="auto"/>
                <w:highlight w:val="none"/>
                <w:lang w:val="en-US" w:eastAsia="zh-CN"/>
              </w:rPr>
              <w:t>150mm</w:t>
            </w:r>
            <w:r>
              <w:rPr>
                <w:rFonts w:hint="eastAsia"/>
                <w:color w:val="auto"/>
                <w:highlight w:val="none"/>
                <w:lang w:val="en-US" w:eastAsia="zh-CN"/>
              </w:rPr>
              <w:t>²电缆。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③高压电线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本期建设容量为70MW，场区内</w:t>
            </w:r>
            <w:r>
              <w:rPr>
                <w:rFonts w:hint="default"/>
                <w:color w:val="auto"/>
                <w:highlight w:val="none"/>
                <w:lang w:val="en-US" w:eastAsia="zh-CN"/>
              </w:rPr>
              <w:t>3</w:t>
            </w:r>
            <w:r>
              <w:rPr>
                <w:rFonts w:hint="eastAsia"/>
                <w:color w:val="auto"/>
                <w:highlight w:val="none"/>
                <w:lang w:val="en-US" w:eastAsia="zh-CN"/>
              </w:rPr>
              <w:t>回</w:t>
            </w:r>
            <w:r>
              <w:rPr>
                <w:rFonts w:hint="default"/>
                <w:color w:val="auto"/>
                <w:highlight w:val="none"/>
                <w:lang w:val="en-US" w:eastAsia="zh-CN"/>
              </w:rPr>
              <w:t>35kV</w:t>
            </w:r>
            <w:r>
              <w:rPr>
                <w:rFonts w:hint="eastAsia"/>
                <w:color w:val="auto"/>
                <w:highlight w:val="none"/>
                <w:lang w:val="en-US" w:eastAsia="zh-CN"/>
              </w:rPr>
              <w:t>集电线路。</w:t>
            </w:r>
            <w:r>
              <w:rPr>
                <w:rFonts w:hint="default"/>
                <w:color w:val="auto"/>
                <w:highlight w:val="none"/>
                <w:lang w:val="en-US" w:eastAsia="zh-CN"/>
              </w:rPr>
              <w:t>35kV</w:t>
            </w:r>
            <w:r>
              <w:rPr>
                <w:rFonts w:hint="eastAsia"/>
                <w:color w:val="auto"/>
                <w:highlight w:val="none"/>
                <w:lang w:val="en-US" w:eastAsia="zh-CN"/>
              </w:rPr>
              <w:t>集电线路为采用直埋与架空相结合的方式，最终引入</w:t>
            </w:r>
            <w:r>
              <w:rPr>
                <w:rFonts w:hint="default"/>
                <w:color w:val="auto"/>
                <w:highlight w:val="none"/>
                <w:lang w:val="en-US" w:eastAsia="zh-CN"/>
              </w:rPr>
              <w:t>35kV</w:t>
            </w:r>
            <w:r>
              <w:rPr>
                <w:rFonts w:hint="eastAsia"/>
                <w:color w:val="auto"/>
                <w:highlight w:val="none"/>
                <w:lang w:val="en-US" w:eastAsia="zh-CN"/>
              </w:rPr>
              <w:t>开关柜室。本工程高压电缆采用铝合金电缆。光伏场区</w:t>
            </w:r>
            <w:r>
              <w:rPr>
                <w:rFonts w:hint="default"/>
                <w:color w:val="auto"/>
                <w:highlight w:val="none"/>
                <w:lang w:val="en-US" w:eastAsia="zh-CN"/>
              </w:rPr>
              <w:t>35kV</w:t>
            </w:r>
            <w:r>
              <w:rPr>
                <w:rFonts w:hint="eastAsia"/>
                <w:color w:val="auto"/>
                <w:highlight w:val="none"/>
                <w:lang w:val="en-US" w:eastAsia="zh-CN"/>
              </w:rPr>
              <w:t>电缆选用</w:t>
            </w:r>
            <w:r>
              <w:rPr>
                <w:rFonts w:hint="default"/>
                <w:color w:val="auto"/>
                <w:highlight w:val="none"/>
                <w:lang w:val="en-US" w:eastAsia="zh-CN"/>
              </w:rPr>
              <w:t>ZRC-YJLHY23-26/35-3</w:t>
            </w:r>
            <w:r>
              <w:rPr>
                <w:rFonts w:hint="eastAsia"/>
                <w:color w:val="auto"/>
                <w:highlight w:val="none"/>
                <w:lang w:val="en-US" w:eastAsia="zh-CN"/>
              </w:rPr>
              <w:t>×</w:t>
            </w:r>
            <w:r>
              <w:rPr>
                <w:rFonts w:hint="default"/>
                <w:color w:val="auto"/>
                <w:highlight w:val="none"/>
                <w:lang w:val="en-US" w:eastAsia="zh-CN"/>
              </w:rPr>
              <w:t>95mm</w:t>
            </w:r>
            <w:r>
              <w:rPr>
                <w:rFonts w:hint="eastAsia"/>
                <w:color w:val="auto"/>
                <w:highlight w:val="none"/>
                <w:vertAlign w:val="superscript"/>
                <w:lang w:val="en-US" w:eastAsia="zh-CN"/>
              </w:rPr>
              <w:t>2</w:t>
            </w:r>
            <w:r>
              <w:rPr>
                <w:rFonts w:hint="default"/>
                <w:color w:val="auto"/>
                <w:highlight w:val="none"/>
                <w:lang w:val="en-US" w:eastAsia="zh-CN"/>
              </w:rPr>
              <w:t>/ ZRC-YJLHY23-26/35-3</w:t>
            </w:r>
            <w:r>
              <w:rPr>
                <w:rFonts w:hint="eastAsia"/>
                <w:color w:val="auto"/>
                <w:highlight w:val="none"/>
                <w:lang w:val="en-US" w:eastAsia="zh-CN"/>
              </w:rPr>
              <w:t>×</w:t>
            </w:r>
            <w:r>
              <w:rPr>
                <w:rFonts w:hint="default"/>
                <w:color w:val="auto"/>
                <w:highlight w:val="none"/>
                <w:lang w:val="en-US" w:eastAsia="zh-CN"/>
              </w:rPr>
              <w:t>240mm</w:t>
            </w:r>
            <w:r>
              <w:rPr>
                <w:rFonts w:hint="eastAsia"/>
                <w:color w:val="auto"/>
                <w:highlight w:val="none"/>
                <w:vertAlign w:val="superscript"/>
                <w:lang w:val="en-US" w:eastAsia="zh-CN"/>
              </w:rPr>
              <w:t>2</w:t>
            </w:r>
            <w:r>
              <w:rPr>
                <w:rFonts w:hint="default"/>
                <w:color w:val="auto"/>
                <w:highlight w:val="none"/>
                <w:lang w:val="en-US" w:eastAsia="zh-CN"/>
              </w:rPr>
              <w:t>/ZRC-</w:t>
            </w:r>
            <w:r>
              <w:rPr>
                <w:rFonts w:hint="eastAsia"/>
                <w:color w:val="auto"/>
                <w:highlight w:val="none"/>
                <w:lang w:val="en-US" w:eastAsia="zh-CN"/>
              </w:rPr>
              <w:t xml:space="preserve"> </w:t>
            </w:r>
            <w:r>
              <w:rPr>
                <w:rFonts w:hint="default"/>
                <w:color w:val="auto"/>
                <w:highlight w:val="none"/>
                <w:lang w:val="en-US" w:eastAsia="zh-CN"/>
              </w:rPr>
              <w:t>YJLHY63-26/35-1</w:t>
            </w:r>
            <w:r>
              <w:rPr>
                <w:rFonts w:hint="eastAsia"/>
                <w:color w:val="auto"/>
                <w:highlight w:val="none"/>
                <w:lang w:val="en-US" w:eastAsia="zh-CN"/>
              </w:rPr>
              <w:t>×</w:t>
            </w:r>
            <w:r>
              <w:rPr>
                <w:rFonts w:hint="default"/>
                <w:color w:val="auto"/>
                <w:highlight w:val="none"/>
                <w:lang w:val="en-US" w:eastAsia="zh-CN"/>
              </w:rPr>
              <w:t>400mm</w:t>
            </w:r>
            <w:r>
              <w:rPr>
                <w:rFonts w:hint="eastAsia"/>
                <w:color w:val="auto"/>
                <w:highlight w:val="none"/>
                <w:vertAlign w:val="superscript"/>
                <w:lang w:val="en-US" w:eastAsia="zh-CN"/>
              </w:rPr>
              <w:t>2</w:t>
            </w:r>
            <w:r>
              <w:rPr>
                <w:rFonts w:hint="eastAsia"/>
                <w:color w:val="auto"/>
                <w:highlight w:val="none"/>
                <w:lang w:val="en-US" w:eastAsia="zh-CN"/>
              </w:rPr>
              <w:t>或</w:t>
            </w:r>
            <w:r>
              <w:rPr>
                <w:rFonts w:hint="default"/>
                <w:color w:val="auto"/>
                <w:highlight w:val="none"/>
                <w:lang w:val="en-US" w:eastAsia="zh-CN"/>
              </w:rPr>
              <w:t>ZRC-YJLHY63-26/</w:t>
            </w:r>
            <w:r>
              <w:rPr>
                <w:rFonts w:hint="eastAsia"/>
                <w:color w:val="auto"/>
                <w:highlight w:val="none"/>
                <w:lang w:val="en-US" w:eastAsia="zh-CN"/>
              </w:rPr>
              <w:t xml:space="preserve"> </w:t>
            </w:r>
            <w:r>
              <w:rPr>
                <w:rFonts w:hint="default"/>
                <w:color w:val="auto"/>
                <w:highlight w:val="none"/>
                <w:lang w:val="en-US" w:eastAsia="zh-CN"/>
              </w:rPr>
              <w:t>35-1</w:t>
            </w:r>
            <w:r>
              <w:rPr>
                <w:rFonts w:hint="eastAsia"/>
                <w:color w:val="auto"/>
                <w:highlight w:val="none"/>
                <w:lang w:val="en-US" w:eastAsia="zh-CN"/>
              </w:rPr>
              <w:t>×</w:t>
            </w:r>
            <w:r>
              <w:rPr>
                <w:rFonts w:hint="default"/>
                <w:color w:val="auto"/>
                <w:highlight w:val="none"/>
                <w:lang w:val="en-US" w:eastAsia="zh-CN"/>
              </w:rPr>
              <w:t>500mm</w:t>
            </w:r>
            <w:r>
              <w:rPr>
                <w:rFonts w:hint="eastAsia"/>
                <w:color w:val="auto"/>
                <w:highlight w:val="none"/>
                <w:vertAlign w:val="superscript"/>
                <w:lang w:val="en-US" w:eastAsia="zh-CN"/>
              </w:rPr>
              <w:t>2</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lang w:val="en-US" w:eastAsia="zh-CN"/>
              </w:rPr>
            </w:pPr>
            <w:r>
              <w:rPr>
                <w:rFonts w:hint="eastAsia"/>
                <w:color w:val="auto"/>
                <w:highlight w:val="none"/>
                <w:lang w:val="en-US" w:eastAsia="zh-CN"/>
              </w:rPr>
              <w:t>架空段集电线路长度约为</w:t>
            </w:r>
            <w:r>
              <w:rPr>
                <w:rFonts w:hint="default"/>
                <w:color w:val="auto"/>
                <w:highlight w:val="none"/>
                <w:lang w:val="en-US" w:eastAsia="zh-CN"/>
              </w:rPr>
              <w:t>7.0</w:t>
            </w:r>
            <w:r>
              <w:rPr>
                <w:rFonts w:hint="eastAsia"/>
                <w:color w:val="auto"/>
                <w:highlight w:val="none"/>
                <w:lang w:val="en-US" w:eastAsia="zh-CN"/>
              </w:rPr>
              <w:t>公里，其中双回路段长度约为</w:t>
            </w:r>
            <w:r>
              <w:rPr>
                <w:rFonts w:hint="default"/>
                <w:color w:val="auto"/>
                <w:highlight w:val="none"/>
                <w:lang w:val="en-US" w:eastAsia="zh-CN"/>
              </w:rPr>
              <w:t>3.0</w:t>
            </w:r>
            <w:r>
              <w:rPr>
                <w:rFonts w:hint="eastAsia"/>
                <w:color w:val="auto"/>
                <w:highlight w:val="none"/>
                <w:lang w:val="en-US" w:eastAsia="zh-CN"/>
              </w:rPr>
              <w:t>公里；单回路段长度约为</w:t>
            </w:r>
            <w:r>
              <w:rPr>
                <w:rFonts w:hint="default"/>
                <w:color w:val="auto"/>
                <w:highlight w:val="none"/>
                <w:lang w:val="en-US" w:eastAsia="zh-CN"/>
              </w:rPr>
              <w:t>4.0</w:t>
            </w:r>
            <w:r>
              <w:rPr>
                <w:rFonts w:hint="eastAsia"/>
                <w:color w:val="auto"/>
                <w:highlight w:val="none"/>
                <w:lang w:val="en-US" w:eastAsia="zh-CN"/>
              </w:rPr>
              <w:t>公里。终端塔进升压站之间电缆段路径长度约为</w:t>
            </w:r>
            <w:r>
              <w:rPr>
                <w:rFonts w:hint="default"/>
                <w:color w:val="auto"/>
                <w:highlight w:val="none"/>
                <w:lang w:val="en-US" w:eastAsia="zh-CN"/>
              </w:rPr>
              <w:t>0.8</w:t>
            </w:r>
            <w:r>
              <w:rPr>
                <w:rFonts w:hint="eastAsia"/>
                <w:color w:val="auto"/>
                <w:highlight w:val="none"/>
                <w:lang w:val="en-US" w:eastAsia="zh-CN"/>
              </w:rPr>
              <w:t>公里。架空部分</w:t>
            </w:r>
            <w:r>
              <w:rPr>
                <w:rFonts w:hint="default"/>
                <w:color w:val="auto"/>
                <w:highlight w:val="none"/>
                <w:lang w:val="en-US" w:eastAsia="zh-CN"/>
              </w:rPr>
              <w:t>ADSS</w:t>
            </w:r>
            <w:r>
              <w:rPr>
                <w:rFonts w:hint="eastAsia"/>
                <w:color w:val="auto"/>
                <w:highlight w:val="none"/>
                <w:lang w:val="en-US" w:eastAsia="zh-CN"/>
              </w:rPr>
              <w:t>光缆长度约为</w:t>
            </w:r>
            <w:r>
              <w:rPr>
                <w:rFonts w:hint="default"/>
                <w:color w:val="auto"/>
                <w:highlight w:val="none"/>
                <w:lang w:val="en-US" w:eastAsia="zh-CN"/>
              </w:rPr>
              <w:t>7.0km</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en-US"/>
              </w:rPr>
            </w:pPr>
            <w:r>
              <w:rPr>
                <w:rFonts w:hint="eastAsia"/>
                <w:color w:val="auto"/>
                <w:lang w:val="en-US" w:eastAsia="en-US"/>
              </w:rPr>
              <w:t>二、现场施工布置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光伏电站厂区内施工临时分区主要有施工生活区、综合加工场、综合仓库等生产生活分区。本工程装机容量为70MW，施工工期较短，光伏组件布置集中，初步考虑，在与光伏组件相邻的地势较平坦区域进行施工活动。从安全和环保角度出发，施工生活区靠近综合仓库，</w:t>
            </w:r>
            <w:r>
              <w:rPr>
                <w:rFonts w:hint="eastAsia"/>
                <w:color w:val="auto"/>
                <w:lang w:val="en-US" w:eastAsia="en-US"/>
              </w:rPr>
              <w:t>混凝土釆用商品</w:t>
            </w:r>
            <w:r>
              <w:rPr>
                <w:rFonts w:hint="eastAsia"/>
                <w:color w:val="auto"/>
                <w:lang w:val="en-US" w:eastAsia="zh-CN"/>
              </w:rPr>
              <w:t>砼</w:t>
            </w:r>
            <w:r>
              <w:rPr>
                <w:rFonts w:hint="eastAsia"/>
                <w:color w:val="auto"/>
                <w:lang w:val="en-US" w:eastAsia="en-US"/>
              </w:rPr>
              <w:t>，不设置混凝土搅拌站。</w:t>
            </w:r>
            <w:r>
              <w:rPr>
                <w:rFonts w:hint="eastAsia"/>
                <w:color w:val="auto"/>
                <w:lang w:val="en-US" w:eastAsia="zh-CN"/>
              </w:rPr>
              <w:t>站内道路紧靠光伏组件，以满足设备一次运输到位，方便支架及电池组件安装。按指定路线将大件设备，如逆变器等一次运输并安装到指定地点，尽量减少二次转运。</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3822700" cy="5097145"/>
                  <wp:effectExtent l="0" t="0" r="8255" b="2540"/>
                  <wp:docPr id="12" name="图片 3" descr="新建 DOC 文档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新建 DOC 文档_01"/>
                          <pic:cNvPicPr>
                            <a:picLocks noChangeAspect="1"/>
                          </pic:cNvPicPr>
                        </pic:nvPicPr>
                        <pic:blipFill>
                          <a:blip r:embed="rId14"/>
                          <a:srcRect l="6827" t="3914" r="5110" b="13098"/>
                          <a:stretch>
                            <a:fillRect/>
                          </a:stretch>
                        </pic:blipFill>
                        <pic:spPr>
                          <a:xfrm rot="-5400000">
                            <a:off x="0" y="0"/>
                            <a:ext cx="3822700" cy="509714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color w:val="auto"/>
              </w:rPr>
            </w:pPr>
            <w:r>
              <w:rPr>
                <w:rFonts w:hint="eastAsia" w:ascii="Times New Roman" w:hAnsi="Times New Roman" w:eastAsia="宋体" w:cs="Times New Roman"/>
                <w:color w:val="auto"/>
                <w:highlight w:val="none"/>
                <w:lang w:val="en-US" w:eastAsia="zh-CN"/>
              </w:rPr>
              <w:t>图2-5  施工总平面布置图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686"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施工方案</w:t>
            </w:r>
          </w:p>
        </w:tc>
        <w:tc>
          <w:tcPr>
            <w:tcW w:w="8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本项目主要施工包括：道路修建、电场建构筑物基础开挖、混凝土浇筑、设备安装、电缆敷设等。本项目工艺流程及产污环节见下图。</w:t>
            </w:r>
          </w:p>
          <w:p>
            <w:pPr>
              <w:pStyle w:val="2"/>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textAlignment w:val="auto"/>
              <w:rPr>
                <w:rFonts w:hint="eastAsia" w:eastAsia="宋体"/>
                <w:color w:val="auto"/>
                <w:lang w:eastAsia="zh-CN"/>
              </w:rPr>
            </w:pPr>
            <w:r>
              <w:rPr>
                <w:color w:val="auto"/>
              </w:rPr>
              <w:drawing>
                <wp:inline distT="0" distB="0" distL="114300" distR="114300">
                  <wp:extent cx="5048250" cy="2057400"/>
                  <wp:effectExtent l="0" t="0" r="1143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5">
                            <a:lum contrast="17999"/>
                          </a:blip>
                          <a:stretch>
                            <a:fillRect/>
                          </a:stretch>
                        </pic:blipFill>
                        <pic:spPr>
                          <a:xfrm>
                            <a:off x="0" y="0"/>
                            <a:ext cx="5048250" cy="2057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图</w:t>
            </w:r>
            <w:r>
              <w:rPr>
                <w:rFonts w:hint="default"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lang w:val="en-US" w:eastAsia="zh-CN"/>
              </w:rPr>
              <w:t xml:space="preserve">6 </w:t>
            </w:r>
            <w:r>
              <w:rPr>
                <w:rFonts w:hint="default" w:ascii="Times New Roman" w:hAnsi="Times New Roman" w:eastAsia="宋体" w:cs="Times New Roman"/>
                <w:color w:val="auto"/>
                <w:highlight w:val="none"/>
                <w:lang w:val="en-US" w:eastAsia="zh-CN"/>
              </w:rPr>
              <w:t xml:space="preserve"> </w:t>
            </w:r>
            <w:r>
              <w:rPr>
                <w:rFonts w:hint="eastAsia" w:ascii="Times New Roman" w:hAnsi="Times New Roman" w:eastAsia="宋体" w:cs="Times New Roman"/>
                <w:color w:val="auto"/>
                <w:highlight w:val="none"/>
                <w:lang w:val="en-US" w:eastAsia="zh-CN"/>
              </w:rPr>
              <w:t>施工流程及产排污环节示意图</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1</w:t>
            </w:r>
            <w:r>
              <w:rPr>
                <w:rFonts w:hint="eastAsia" w:ascii="Times New Roman" w:hAnsi="Times New Roman" w:eastAsia="宋体" w:cs="Times New Roman"/>
                <w:b/>
                <w:bCs/>
                <w:color w:val="auto"/>
                <w:lang w:val="en-US" w:eastAsia="zh-CN"/>
              </w:rPr>
              <w:t xml:space="preserve">、施工时序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光伏电站总工期为6个月，本工程</w:t>
            </w:r>
            <w:r>
              <w:rPr>
                <w:rFonts w:hint="eastAsia"/>
                <w:color w:val="auto"/>
                <w:lang w:val="en-US" w:eastAsia="zh-CN"/>
              </w:rPr>
              <w:t>电场建设</w:t>
            </w:r>
            <w:r>
              <w:rPr>
                <w:rFonts w:hint="eastAsia" w:ascii="Times New Roman" w:hAnsi="Times New Roman" w:eastAsia="宋体" w:cs="Times New Roman"/>
                <w:color w:val="auto"/>
                <w:lang w:val="en-US" w:eastAsia="zh-CN"/>
              </w:rPr>
              <w:t>约需4个月时间。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从第1月1日～第1月30日为施工进场前准备期，主要完成进场物资准备，临时生活设施，进场道路以及场内道路施工以及部分场地的平整。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从第1月20日～第3月10日为光伏组件基础施工。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从第2月20日～第4月10日光伏组件的安装工程全部完工。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从第3月10日～第4月30日输电电缆、通信及监控光缆施工安装结束。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2、施工内容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（1）光伏阵列基础施工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施工工艺流程：场地清理→测量放线定位桩→桩机就位→钻孔取土成孔→清除孔底成渣→成孔质量检查验收→吊放钢筋笼→浇筑孔内混凝土。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（2）光伏阵列安装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1）施工准备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进场道路畅通，安装支架运至相应的阵列基础位置，太阳能光伏组件运至相应的基础位置。施工单位应派人专人监护，防止光伏组件损坏。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2）阵列支架安装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太阳能电池组件支架采用三角形钢支架，支架的结构单元随电池组件的不同组合而有所不同，太阳能光伏组件支架由横梁、立柱、斜撑组成。支架按照安装图纸要求，采用镀锌螺栓连接。安装完成整体调整支架水平后紧固螺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3）太阳能电池组件安装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细心打开组件包装，认真检查光伏组件的规格和型号，仔细检查光伏组件外观是否完好。禁止单片组件叠摞，轻拿轻放防止表面划伤，用螺栓紧固至支架后调整水平，拧紧螺栓。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（3）箱式变电站基础施工和安装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1）箱式变压器基础施工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箱式变压器基础工程施工包括基础土方开挖和基础混凝土浇筑。开挖土石方沿坑槽周边堆放，以备回填。为保护环境，减少水土流失，应尽是减少对原土的扰动。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箱式变压器基础混凝土浇筑：应先浇筑混凝土垫层，再进行钢筋绑扎，后浇筑基础混凝土。混凝土浇筑后洒水保湿养护 14 天。土方回填应在混凝土浇筑 7 天后进行，回填时分层回填、打夯机分层夯实，并预留沉降量。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2）箱式变压器安装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箱式变压器采用 160T 汽车吊吊装就位。施工吊装要考虑到安全距离及安全风速，确保施工安全及安装质量。吊装就位后要即时调整加固，将箱式变压器基础槽钢与预埋件焊接，箱式变压器两点接地螺栓与接地网可靠连接，并测试接地网接地电阻满足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（4）电缆线路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穿越场内道路的高低压电缆和场区外相邻地块间的并联高压电缆采用开挖直埋敷设，同路径电缆并行敷设。电缆沟土石方开挖前剥离表层熟土集中堆放并防护，用于后期绿化覆土利用；电缆沟施工采用大开挖方式，以机械施工为主，人工施工为辅，分段施工开挖，分段填筑，采用边开挖、边铺电缆、边回填碾压的施工方法；开挖土石方沿电缆沟一侧堆放并防护，以备回填；为确保电缆安全，不受外力破坏，平稳输电，电缆应有足够的埋设深度且应埋设于最大冻土深度以下，电缆外皮至地面距离不小于 0.8m，当位于车行道时，不宜小于 1m；直埋敷设于冻土地区时，宜埋入冻土层以下，无法深埋时，可在沿电缆全长的上、下紧邻侧铺以厚度不小于 100mm 的河砂层，再沿电缆全长覆盖混凝土保护板；有可能受到机械损伤的地方应穿内径不小于电缆外径 1.5 倍的热镀锌钢管；并列电缆的接头位置宜相互错开，且不小于0.5m 的净距；斜坡地形处的接头应呈水平状。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由于电缆沟开挖、堆土、加工安装的机械设备和施工人员活动，需一定宽度的施工作业带，作业带宽度须能满足车辆和施工机械作业要求，本工程直埋电缆施工作业带宽度严格控制在 10m 以内。一般情况下要求对作业带上的附着物进行清除，电缆沟开挖的土石方按表层熟土和沟槽开挖的深层土石方分层集中堆放于沟槽一侧并做好防护，待电缆敷设完毕后后回填并分层夯实。电缆采用汽车运输，放置在沟槽另一侧，采用人工结合机械牵引的方式敷设；作业带施工期限短，电缆敷设完毕、沟槽生土回填、上覆表土、场地平整后，作业带便可及时做恢复植被治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（5）道路工程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便道路面为简易土质碾压道路，多利用原地貌进行建设，不进行大面积挖填，局部坑沟就地整平即可；路面平整前剥离表层熟土集中堆放并防护，用于后期绿化覆土利用；路面平整采用人机结合方式平整；工程结束后及时回覆表土并恢复植被。</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3</w:t>
            </w:r>
            <w:r>
              <w:rPr>
                <w:rFonts w:hint="eastAsia" w:ascii="Times New Roman" w:hAnsi="Times New Roman" w:eastAsia="宋体" w:cs="Times New Roman"/>
                <w:b/>
                <w:bCs/>
                <w:color w:val="auto"/>
                <w:lang w:val="en-US" w:eastAsia="zh-CN"/>
              </w:rPr>
              <w:t>、土石方量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本期工程土石方工程量主要为临时施工检修道路的平整、场地平整、</w:t>
            </w:r>
            <w:r>
              <w:rPr>
                <w:rFonts w:hint="default" w:ascii="Times New Roman" w:hAnsi="Times New Roman" w:eastAsia="宋体" w:cs="Times New Roman"/>
                <w:color w:val="auto"/>
                <w:highlight w:val="none"/>
                <w:lang w:val="en-US" w:eastAsia="zh-CN"/>
              </w:rPr>
              <w:t>电缆沟开挖</w:t>
            </w:r>
            <w:r>
              <w:rPr>
                <w:rFonts w:hint="eastAsia" w:ascii="Times New Roman" w:hAnsi="Times New Roman" w:eastAsia="宋体" w:cs="Times New Roman"/>
                <w:color w:val="auto"/>
                <w:lang w:val="en-US" w:eastAsia="zh-CN"/>
              </w:rPr>
              <w:t>。场区施工过程中土石方开挖以及回填可以达到平衡，无土方外排，不需要设置弃土场。施工期间土方工程见表</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9。</w:t>
            </w:r>
          </w:p>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表2-9  光伏场区土石方工程量表（单位：</w:t>
            </w:r>
            <w:r>
              <w:rPr>
                <w:rFonts w:hint="eastAsia" w:ascii="Times New Roman" w:hAnsi="Times New Roman" w:eastAsia="宋体" w:cs="Times New Roman"/>
                <w:color w:val="auto"/>
                <w:highlight w:val="none"/>
                <w:lang w:val="en-US" w:eastAsia="zh-CN"/>
              </w:rPr>
              <w:t>万</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lang w:val="en-US" w:eastAsia="zh-CN"/>
              </w:rPr>
              <w:t>）</w:t>
            </w:r>
          </w:p>
          <w:tbl>
            <w:tblPr>
              <w:tblStyle w:val="13"/>
              <w:tblW w:w="4998" w:type="pct"/>
              <w:tblInd w:w="2"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700"/>
              <w:gridCol w:w="1614"/>
              <w:gridCol w:w="1201"/>
              <w:gridCol w:w="1484"/>
              <w:gridCol w:w="1250"/>
              <w:gridCol w:w="1099"/>
              <w:gridCol w:w="80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序号</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项目名称</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开</w:t>
                  </w:r>
                  <w:r>
                    <w:rPr>
                      <w:rFonts w:hint="default" w:ascii="Times New Roman" w:hAnsi="Times New Roman" w:eastAsia="宋体" w:cs="Times New Roman"/>
                      <w:color w:val="auto"/>
                      <w:highlight w:val="none"/>
                      <w:lang w:val="en-US" w:eastAsia="zh-CN"/>
                    </w:rPr>
                    <w:t>挖</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回填</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差方</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余方</w:t>
                  </w:r>
                </w:p>
              </w:tc>
              <w:tc>
                <w:tcPr>
                  <w:tcW w:w="49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备  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改造道路</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1.2</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1.3</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495"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 xml:space="preserve">余方全部用于 </w:t>
                  </w:r>
                </w:p>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道路施工填方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新建道路</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8.8</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9.</w:t>
                  </w:r>
                  <w:r>
                    <w:rPr>
                      <w:rFonts w:hint="eastAsia" w:ascii="Times New Roman" w:hAnsi="Times New Roman" w:eastAsia="宋体" w:cs="Times New Roman"/>
                      <w:color w:val="auto"/>
                      <w:highlight w:val="none"/>
                      <w:lang w:val="en-US" w:eastAsia="zh-CN"/>
                    </w:rPr>
                    <w:t>6</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0.8</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49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光伏</w:t>
                  </w:r>
                  <w:r>
                    <w:rPr>
                      <w:rFonts w:hint="default" w:ascii="Times New Roman" w:hAnsi="Times New Roman" w:eastAsia="宋体" w:cs="Times New Roman"/>
                      <w:color w:val="auto"/>
                      <w:highlight w:val="none"/>
                      <w:lang w:val="en-US" w:eastAsia="zh-CN"/>
                    </w:rPr>
                    <w:t>场区平整</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5.0</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4.6</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0.4</w:t>
                  </w:r>
                </w:p>
              </w:tc>
              <w:tc>
                <w:tcPr>
                  <w:tcW w:w="49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电缆沟开挖</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4.2</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3.7</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w:t>
                  </w:r>
                </w:p>
              </w:tc>
              <w:tc>
                <w:tcPr>
                  <w:tcW w:w="49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w:t>
                  </w:r>
                </w:p>
              </w:tc>
              <w:tc>
                <w:tcPr>
                  <w:tcW w:w="98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lang w:val="en-US" w:eastAsia="zh-CN"/>
                    </w:rPr>
                    <w:t>合 计</w:t>
                  </w:r>
                </w:p>
              </w:tc>
              <w:tc>
                <w:tcPr>
                  <w:tcW w:w="73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15.4</w:t>
                  </w:r>
                </w:p>
              </w:tc>
              <w:tc>
                <w:tcPr>
                  <w:tcW w:w="90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center"/>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highlight w:val="none"/>
                      <w:lang w:val="en-US" w:eastAsia="zh-CN"/>
                    </w:rPr>
                    <w:t>15.4</w:t>
                  </w:r>
                </w:p>
              </w:tc>
              <w:tc>
                <w:tcPr>
                  <w:tcW w:w="7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0.9</w:t>
                  </w:r>
                </w:p>
              </w:tc>
              <w:tc>
                <w:tcPr>
                  <w:tcW w:w="673"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0.9</w:t>
                  </w:r>
                </w:p>
              </w:tc>
              <w:tc>
                <w:tcPr>
                  <w:tcW w:w="49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r>
          </w:tbl>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6"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其他</w:t>
            </w:r>
          </w:p>
        </w:tc>
        <w:tc>
          <w:tcPr>
            <w:tcW w:w="8334" w:type="dxa"/>
            <w:noWrap w:val="0"/>
            <w:vAlign w:val="center"/>
          </w:tcPr>
          <w:p>
            <w:pPr>
              <w:adjustRightInd w:val="0"/>
              <w:snapToGrid w:val="0"/>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无</w:t>
            </w:r>
          </w:p>
        </w:tc>
      </w:tr>
    </w:tbl>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cs="Times New Roman"/>
          <w:snapToGrid w:val="0"/>
          <w:color w:val="auto"/>
          <w:sz w:val="30"/>
          <w:szCs w:val="30"/>
        </w:rPr>
      </w:pPr>
      <w:r>
        <w:rPr>
          <w:rFonts w:eastAsia="仿宋_GB2312"/>
          <w:b/>
          <w:bCs/>
          <w:color w:val="auto"/>
        </w:rPr>
        <w:br w:type="page"/>
      </w:r>
      <w:r>
        <w:rPr>
          <w:rFonts w:hint="eastAsia" w:ascii="黑体" w:hAnsi="黑体" w:eastAsia="黑体" w:cs="Times New Roman"/>
          <w:snapToGrid w:val="0"/>
          <w:color w:val="auto"/>
          <w:sz w:val="30"/>
          <w:szCs w:val="30"/>
        </w:rPr>
        <w:t>三、生态环境现状、保护目标及评价标准</w:t>
      </w:r>
    </w:p>
    <w:tbl>
      <w:tblPr>
        <w:tblStyle w:val="7"/>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8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2" w:hRule="atLeast"/>
          <w:jc w:val="center"/>
        </w:trPr>
        <w:tc>
          <w:tcPr>
            <w:tcW w:w="904"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生态环境现状</w:t>
            </w:r>
          </w:p>
        </w:tc>
        <w:tc>
          <w:tcPr>
            <w:tcW w:w="82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1、主体功能区划和生态功能区划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（1）山西省主体功能区划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国家级主体功能区是全省范围内能够达到国家战略高度，对全国整体空间结构具有重大影响的功能区域，是国家级主体功能区名录确定的范围，分为国家级重点开发区域、国家级限制开发的农产品主产区、国家级限制开发的重点生态功能区、国家级禁止开发区域四种类型。省级主体功能区是在综合评价全省国土空间的基础上，对未纳入国家级主体功能区的区域进行划分，实现省域国土空间的全覆盖，分为省级重点开发区域、省级限制开发的农产品主产区、省级限制开发的重点生态功能区、省级禁止开发区域四种类型。国家级及省级禁止开发区以自然或法定边界为基本单元；其他类型主体功能区域以县级行政单位为基本单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根据《山西省主体功能区规划》，平鲁区属于山西省省级限制开发区域（重点生态功能区）中的京津风沙源治理生态功能区。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京津风沙源治理生态功能区功能定位与综合评价：山西沙漠化严重区域，京津风沙源治理的主要区域之一。该区域沙漠化脆弱程度高，降水稀少，风沙危害重，土壤贫瘠，生态环境基础脆弱。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发展方向：营造防风固沙林、生态公益林、水土保持林，大幅提高森林植被覆盖率；转变畜牧业生产方式，加速生态畜牧经济区建设；在耕地条件好的地区，发展节水灌溉农业，扶持以小杂粮为特色的耐寒旱作物生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符合性分析：本项目是光伏发电项目，太阳能是一种清洁、无污染的可再生能源，开发利用太阳能资源是调整能源结构，实施能源可持续发展的有效途径，同时项目建设期要求进行施工期环境监理工作，对项目建设进行严格监管，项目建设不在县城总体规划范围内。评价要求对临时占地区域均采取乔灌、灌草混植的方式进行生态恢复治理，对原有占用草地区域增加了植被覆盖率，对区域植被量进行了增加，从生态环境的角度向有利的方向发展，因此本项目建设可以符合山西省省级限制开发区域功能区划要求。项目与山西省主体功能区划分图位置关系见</w:t>
            </w:r>
            <w:r>
              <w:rPr>
                <w:rFonts w:hint="eastAsia" w:ascii="Times New Roman" w:hAnsi="Times New Roman" w:eastAsia="宋体" w:cs="Times New Roman"/>
                <w:color w:val="auto"/>
                <w:highlight w:val="none"/>
                <w:lang w:val="en-US" w:eastAsia="zh-CN"/>
              </w:rPr>
              <w:t>附图6。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（2）平鲁区生态功能区划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山西省和朔州市生态功能区划的方案结果，平鲁区属于黑驼山山地丘陵生态畜牧生态功能区和朔平台地煤炭开发与生态保护及农牧业生态功能区，分属黑驼山北部水源涵养和水土保持生态功能亚区以及平鲁台地煤炭开发与生态功能亚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在山西省和朔州市生态功能区划的基础上，根据平鲁区的地形地貌图、行政区划、土地利用现状、生态系统服务功能、植被类型分布、矿产资源分布等将平鲁区划分为4个生态功能区，即北部黄土丘陵沙化控制生态功能区、西部土石山区水源涵养生态功能区、东部土石山区水源涵养生态功能区、中南部生态人居及采煤工业生态功能区。按区划规程，进一步细化为10个生态功能亚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根据《平鲁区生态功能区划》，本项目位于Ⅰ1北部黄土丘陵沙化控制封育生态功能亚区。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该生态功能亚区包括高石庄乡北部和中部以及凤凰城镇北部，地貌类型主要以山地和丘陵为主，现阶段土地利用情况主要为裸地、荒草地及部分耕地，总面积为：196.54km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该区的主要生态环境问题是：该生态功能亚区纬度相对较高，气温低，大风日数多，春夏常有旱象发生，生态环境脆弱；现状土地利用裸地和荒草地较多，植被稀疏，生长缓慢，生态系统容量低，潜在的沙化威胁大；降水少，水资源贫乏，且衰减严重；长期不合理的开发利用自然资源，是造成农业生产水平低而不稳，生态系统服务功能降低的主要原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主要生态系统服务功能是沙化控制、灾害性天气防护（大风）。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该区生态系统的保护措施与发展方向是：1.封育，可适当施行人工飞播灌草。按照因地制宜，因害设防，先易后难，由近及远，密切结合群众利益的建设方针，营造防风固沙的灌、草相结合的生态体系，防风沙侵袭以及风蚀造成的就地起沙，改善当地农业生态环境；2.退耕还林还草。加速陡坡地退耕还林、还草工程；以林牧为主，加速本亚区的生态恢复和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为光伏发电项目，充分利用当地的太阳能资源，无生产废气产生，不外排废水，箱变噪声不会对周围居民产生影响，施工结束后，及时进行土地整理和表土回填，然后采用人工种草和栽植树木重建植被。因此，本项目的建设不违背所在区域生态功能单元的保护措施、发展方向。本项目与平鲁区生态功能区划的相对位置图见</w:t>
            </w:r>
            <w:r>
              <w:rPr>
                <w:rFonts w:hint="eastAsia" w:ascii="Times New Roman" w:hAnsi="Times New Roman" w:eastAsia="宋体" w:cs="Times New Roman"/>
                <w:color w:val="auto"/>
                <w:highlight w:val="none"/>
                <w:lang w:val="en-US" w:eastAsia="zh-CN"/>
              </w:rPr>
              <w:t>附图7。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2、生态环境现状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次评价以2021年5月高分一号（GF-1）卫星影像数据为信息源，其包括全色和多光谱两种，全色空间分辨率为2.0m，多光谱波段空间分辨率为8m。另辅以MapQuest、天地图2021年5月间的高清遥感影像数据作为对照。利用3S技术对卫星数据进行大气校正、几何校正、波段组合、增强处理等预处理后，在Arcgis、Erdas软件支持下，采用人机交互目视判读解译方法对生态环境信息进行提取，并结合现场踏勘、植物样线调查以及其它高清数据对解译成果进行修正，最终得到评价区土地利用、植被分布、土壤侵蚀等现状评价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本项目生态环境质量现状如下：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（1）土地利用类型</w:t>
            </w:r>
          </w:p>
          <w:p>
            <w:pPr>
              <w:keepNext w:val="0"/>
              <w:keepLines w:val="0"/>
              <w:pageBreakBefore w:val="0"/>
              <w:widowControl w:val="0"/>
              <w:kinsoku/>
              <w:wordWrap/>
              <w:overflowPunct/>
              <w:topLinePunct w:val="0"/>
              <w:autoSpaceDE/>
              <w:autoSpaceDN/>
              <w:bidi w:val="0"/>
              <w:adjustRightInd/>
              <w:snapToGrid/>
              <w:spacing w:line="360" w:lineRule="auto"/>
              <w:ind w:firstLine="436" w:firstLineChars="200"/>
              <w:jc w:val="both"/>
              <w:textAlignment w:val="auto"/>
              <w:rPr>
                <w:rFonts w:hint="eastAsia" w:ascii="Times New Roman" w:hAnsi="Times New Roman" w:eastAsia="宋体" w:cs="Times New Roman"/>
                <w:color w:val="auto"/>
                <w:lang w:val="en-US" w:eastAsia="zh-CN"/>
              </w:rPr>
            </w:pPr>
            <w:r>
              <w:rPr>
                <w:rFonts w:ascii="Times New Roman" w:hAnsi="Times New Roman"/>
                <w:color w:val="auto"/>
                <w:spacing w:val="4"/>
                <w:highlight w:val="none"/>
              </w:rPr>
              <w:t>评价范围为场地占地及外扩500m范围，共</w:t>
            </w:r>
            <w:r>
              <w:rPr>
                <w:rFonts w:hint="eastAsia" w:ascii="Times New Roman" w:hAnsi="Times New Roman"/>
                <w:color w:val="auto"/>
                <w:spacing w:val="4"/>
                <w:highlight w:val="none"/>
                <w:lang w:val="en-US" w:eastAsia="zh-CN"/>
              </w:rPr>
              <w:t>24.53km</w:t>
            </w:r>
            <w:r>
              <w:rPr>
                <w:rFonts w:hint="eastAsia" w:ascii="Times New Roman" w:hAnsi="Times New Roman"/>
                <w:color w:val="auto"/>
                <w:spacing w:val="4"/>
                <w:highlight w:val="none"/>
                <w:vertAlign w:val="superscript"/>
                <w:lang w:val="en-US" w:eastAsia="zh-CN"/>
              </w:rPr>
              <w:t>2</w:t>
            </w:r>
            <w:r>
              <w:rPr>
                <w:rFonts w:hint="eastAsia" w:ascii="Times New Roman" w:hAnsi="Times New Roman"/>
                <w:color w:val="auto"/>
                <w:spacing w:val="4"/>
                <w:highlight w:val="none"/>
                <w:vertAlign w:val="baseline"/>
                <w:lang w:val="en-US" w:eastAsia="zh-CN"/>
              </w:rPr>
              <w:t>。</w:t>
            </w:r>
            <w:r>
              <w:rPr>
                <w:rFonts w:hint="eastAsia" w:ascii="Times New Roman" w:hAnsi="Times New Roman" w:eastAsia="宋体" w:cs="Times New Roman"/>
                <w:color w:val="auto"/>
                <w:lang w:val="en-US" w:eastAsia="zh-CN"/>
              </w:rPr>
              <w:t>本项目评价范围内土地利用特征共划分了8种土地利用类型，其中以其他草地与耕地为主，其他草地占66.62%，耕地占26.25%；项目场地范围内主要为其他草地，占99.68%。土地利用现状见表3-1和附图8。</w:t>
            </w:r>
          </w:p>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表3-1  土地利用现状情况</w:t>
            </w:r>
          </w:p>
          <w:tbl>
            <w:tblPr>
              <w:tblStyle w:val="7"/>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57" w:type="dxa"/>
                <w:left w:w="57" w:type="dxa"/>
                <w:bottom w:w="57" w:type="dxa"/>
                <w:right w:w="57" w:type="dxa"/>
              </w:tblCellMar>
            </w:tblPr>
            <w:tblGrid>
              <w:gridCol w:w="730"/>
              <w:gridCol w:w="1143"/>
              <w:gridCol w:w="765"/>
              <w:gridCol w:w="1246"/>
              <w:gridCol w:w="1133"/>
              <w:gridCol w:w="931"/>
              <w:gridCol w:w="1091"/>
              <w:gridCol w:w="99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1166"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一级类</w:t>
                  </w:r>
                </w:p>
              </w:tc>
              <w:tc>
                <w:tcPr>
                  <w:tcW w:w="1251"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二级类</w:t>
                  </w:r>
                </w:p>
              </w:tc>
              <w:tc>
                <w:tcPr>
                  <w:tcW w:w="1284"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场地</w:t>
                  </w:r>
                  <w:r>
                    <w:rPr>
                      <w:rFonts w:hint="default" w:ascii="Times New Roman" w:hAnsi="Times New Roman" w:eastAsia="宋体" w:cs="Times New Roman"/>
                      <w:color w:val="auto"/>
                      <w:highlight w:val="none"/>
                      <w:lang w:val="en-US" w:eastAsia="zh-CN"/>
                    </w:rPr>
                    <w:t>范围</w:t>
                  </w:r>
                </w:p>
              </w:tc>
              <w:tc>
                <w:tcPr>
                  <w:tcW w:w="1298"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评价范围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代码</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名称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代码</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名称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w:t>
                  </w:r>
                  <w:r>
                    <w:rPr>
                      <w:rFonts w:hint="eastAsia" w:ascii="Times New Roman" w:hAnsi="Times New Roman" w:eastAsia="宋体" w:cs="Times New Roman"/>
                      <w:color w:val="auto"/>
                      <w:highlight w:val="none"/>
                      <w:lang w:val="en-US" w:eastAsia="zh-CN"/>
                    </w:rPr>
                    <w:t>k</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w:t>
                  </w:r>
                  <w:r>
                    <w:rPr>
                      <w:rFonts w:hint="eastAsia" w:ascii="Times New Roman" w:hAnsi="Times New Roman" w:eastAsia="宋体" w:cs="Times New Roman"/>
                      <w:color w:val="auto"/>
                      <w:highlight w:val="none"/>
                      <w:lang w:val="en-US" w:eastAsia="zh-CN"/>
                    </w:rPr>
                    <w:t>k</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01</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耕地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0103</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旱地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6.4408</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26.25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03</w:t>
                  </w:r>
                </w:p>
              </w:tc>
              <w:tc>
                <w:tcPr>
                  <w:tcW w:w="710"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林地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0301</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乔木林地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0.6889</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2.81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p>
              </w:tc>
              <w:tc>
                <w:tcPr>
                  <w:tcW w:w="710"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0305</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灌木林地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0.5775</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p>
              </w:tc>
              <w:tc>
                <w:tcPr>
                  <w:tcW w:w="710"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0307</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其它林地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0.1164</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0.47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04</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草地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0404</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其它草地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174.98</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99.68</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16.3429</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66.62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06</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工矿用地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0601</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工业用地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0.0029</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07</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住宅用地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0702</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农村宅基地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0.1032</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0.42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w:t>
                  </w:r>
                </w:p>
              </w:tc>
              <w:tc>
                <w:tcPr>
                  <w:tcW w:w="710"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交通用地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1003</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公路用地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0.0433</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p>
              </w:tc>
              <w:tc>
                <w:tcPr>
                  <w:tcW w:w="710"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1006</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农村道路</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0.57</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0.32</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0.0114</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11</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水域</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1106</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内陆滩涂</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0.0641</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0.26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5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12</w:t>
                  </w:r>
                </w:p>
              </w:tc>
              <w:tc>
                <w:tcPr>
                  <w:tcW w:w="71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其他土地</w:t>
                  </w:r>
                </w:p>
              </w:tc>
              <w:tc>
                <w:tcPr>
                  <w:tcW w:w="47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1206</w:t>
                  </w:r>
                </w:p>
              </w:tc>
              <w:tc>
                <w:tcPr>
                  <w:tcW w:w="77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裸土地</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0.1419</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2417" w:type="pct"/>
                  <w:gridSpan w:val="4"/>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合</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计</w:t>
                  </w:r>
                </w:p>
              </w:tc>
              <w:tc>
                <w:tcPr>
                  <w:tcW w:w="70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175.55</w:t>
                  </w:r>
                </w:p>
              </w:tc>
              <w:tc>
                <w:tcPr>
                  <w:tcW w:w="57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24.5334</w:t>
                  </w:r>
                </w:p>
              </w:tc>
              <w:tc>
                <w:tcPr>
                  <w:tcW w:w="61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（2）植被类型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本项目评价范围内植被主要为禾本科及蒿类等杂草丛及玉米、谷等农作物，项目沿线区未发现有保护物种分布。评价区植被覆盖现状见表3-2及附图9。</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表3-2  植被类型现状情况</w:t>
            </w:r>
          </w:p>
          <w:tbl>
            <w:tblPr>
              <w:tblStyle w:val="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57" w:type="dxa"/>
                <w:left w:w="57" w:type="dxa"/>
                <w:bottom w:w="57" w:type="dxa"/>
                <w:right w:w="57" w:type="dxa"/>
              </w:tblCellMar>
            </w:tblPr>
            <w:tblGrid>
              <w:gridCol w:w="677"/>
              <w:gridCol w:w="2392"/>
              <w:gridCol w:w="1392"/>
              <w:gridCol w:w="1161"/>
              <w:gridCol w:w="1310"/>
              <w:gridCol w:w="110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序号</w:t>
                  </w:r>
                </w:p>
              </w:tc>
              <w:tc>
                <w:tcPr>
                  <w:tcW w:w="1488"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植被类型</w:t>
                  </w:r>
                </w:p>
              </w:tc>
              <w:tc>
                <w:tcPr>
                  <w:tcW w:w="1588"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场地</w:t>
                  </w:r>
                  <w:r>
                    <w:rPr>
                      <w:rFonts w:hint="default" w:ascii="Times New Roman" w:hAnsi="Times New Roman" w:eastAsia="宋体" w:cs="Times New Roman"/>
                      <w:color w:val="auto"/>
                      <w:highlight w:val="none"/>
                      <w:lang w:val="en-US" w:eastAsia="zh-CN"/>
                    </w:rPr>
                    <w:t>范围</w:t>
                  </w:r>
                </w:p>
              </w:tc>
              <w:tc>
                <w:tcPr>
                  <w:tcW w:w="1502"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评价范围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1488"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w:t>
                  </w:r>
                  <w:r>
                    <w:rPr>
                      <w:rFonts w:hint="eastAsia" w:ascii="Times New Roman" w:hAnsi="Times New Roman" w:eastAsia="宋体" w:cs="Times New Roman"/>
                      <w:color w:val="auto"/>
                      <w:highlight w:val="none"/>
                      <w:lang w:val="en-US" w:eastAsia="zh-CN"/>
                    </w:rPr>
                    <w:t>k</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面积(km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油松、侧柏等针叶林</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0.1912</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0.78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小叶杨等阔叶林</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0.6140</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沙棘、柠条等灌丛</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0.5775</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4</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禾本科及蒿类等杂草丛</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174.98</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99.68</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16.3429</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66.61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玉米、谷等农作物</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6.4408</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26.25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4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c>
                <w:tcPr>
                  <w:tcW w:w="1488"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无植被</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0.57</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0.32</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0.3669</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jc w:val="center"/>
              </w:trPr>
              <w:tc>
                <w:tcPr>
                  <w:tcW w:w="1909"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合</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计</w:t>
                  </w:r>
                </w:p>
              </w:tc>
              <w:tc>
                <w:tcPr>
                  <w:tcW w:w="866"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175.55</w:t>
                  </w:r>
                </w:p>
              </w:tc>
              <w:tc>
                <w:tcPr>
                  <w:tcW w:w="721"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c>
                <w:tcPr>
                  <w:tcW w:w="815"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24.5334</w:t>
                  </w:r>
                </w:p>
              </w:tc>
              <w:tc>
                <w:tcPr>
                  <w:tcW w:w="687"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（3）土壤侵蚀现状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评价范围内土壤以中度侵蚀为主，占评价区的49.3%。评价区土壤侵蚀情况见表3-3和附图10。</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表3-3 土壤侵蚀强度面积及比例</w:t>
            </w:r>
          </w:p>
          <w:tbl>
            <w:tblPr>
              <w:tblStyle w:val="7"/>
              <w:tblW w:w="5000"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57" w:type="dxa"/>
                <w:left w:w="57" w:type="dxa"/>
                <w:bottom w:w="57" w:type="dxa"/>
                <w:right w:w="57" w:type="dxa"/>
              </w:tblCellMar>
            </w:tblPr>
            <w:tblGrid>
              <w:gridCol w:w="1144"/>
              <w:gridCol w:w="1915"/>
              <w:gridCol w:w="1333"/>
              <w:gridCol w:w="1227"/>
              <w:gridCol w:w="1325"/>
              <w:gridCol w:w="109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序号</w:t>
                  </w:r>
                </w:p>
              </w:tc>
              <w:tc>
                <w:tcPr>
                  <w:tcW w:w="1190" w:type="pct"/>
                  <w:vMerge w:val="restar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土壤侵蚀程度</w:t>
                  </w:r>
                </w:p>
              </w:tc>
              <w:tc>
                <w:tcPr>
                  <w:tcW w:w="1592"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场地</w:t>
                  </w:r>
                  <w:r>
                    <w:rPr>
                      <w:rFonts w:hint="default" w:ascii="Times New Roman" w:hAnsi="Times New Roman" w:eastAsia="宋体" w:cs="Times New Roman"/>
                      <w:color w:val="auto"/>
                      <w:highlight w:val="none"/>
                      <w:lang w:val="en-US" w:eastAsia="zh-CN"/>
                    </w:rPr>
                    <w:t>范围</w:t>
                  </w:r>
                </w:p>
              </w:tc>
              <w:tc>
                <w:tcPr>
                  <w:tcW w:w="1504"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评价范围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1190" w:type="pct"/>
                  <w:vMerge w:val="continue"/>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w:t>
                  </w:r>
                  <w:r>
                    <w:rPr>
                      <w:rFonts w:hint="eastAsia" w:ascii="Times New Roman" w:hAnsi="Times New Roman" w:eastAsia="宋体" w:cs="Times New Roman"/>
                      <w:color w:val="auto"/>
                      <w:highlight w:val="none"/>
                      <w:lang w:val="en-US" w:eastAsia="zh-CN"/>
                    </w:rPr>
                    <w:t>k</w:t>
                  </w:r>
                  <w:r>
                    <w:rPr>
                      <w:rFonts w:hint="default" w:ascii="Times New Roman" w:hAnsi="Times New Roman" w:eastAsia="宋体" w:cs="Times New Roman"/>
                      <w:color w:val="auto"/>
                      <w:highlight w:val="none"/>
                      <w:lang w:val="en-US" w:eastAsia="zh-CN"/>
                    </w:rPr>
                    <w:t>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面积(km</w:t>
                  </w:r>
                  <w:r>
                    <w:rPr>
                      <w:rFonts w:hint="default" w:ascii="Times New Roman" w:hAnsi="Times New Roman" w:eastAsia="宋体" w:cs="Times New Roman"/>
                      <w:color w:val="auto"/>
                      <w:highlight w:val="none"/>
                      <w:vertAlign w:val="superscript"/>
                      <w:lang w:val="en-US" w:eastAsia="zh-CN"/>
                    </w:rPr>
                    <w:t>2</w:t>
                  </w:r>
                  <w:r>
                    <w:rPr>
                      <w:rFonts w:hint="default" w:ascii="Times New Roman" w:hAnsi="Times New Roman" w:eastAsia="宋体" w:cs="Times New Roman"/>
                      <w:color w:val="auto"/>
                      <w:highlight w:val="none"/>
                      <w:lang w:val="en-US" w:eastAsia="zh-CN"/>
                    </w:rPr>
                    <w:t>)</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比例(%)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119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微度侵蚀</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0.4988</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w:t>
                  </w:r>
                </w:p>
              </w:tc>
              <w:tc>
                <w:tcPr>
                  <w:tcW w:w="119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轻度侵蚀</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69.16</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39.39</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9.7013</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39.54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w:t>
                  </w:r>
                </w:p>
              </w:tc>
              <w:tc>
                <w:tcPr>
                  <w:tcW w:w="119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中度侵蚀</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100.33</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57.15</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12.0947</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49.30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4</w:t>
                  </w:r>
                </w:p>
              </w:tc>
              <w:tc>
                <w:tcPr>
                  <w:tcW w:w="119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强烈侵蚀</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4.93</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2.81</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2.0441</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71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w:t>
                  </w:r>
                </w:p>
              </w:tc>
              <w:tc>
                <w:tcPr>
                  <w:tcW w:w="1190"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极强烈侵蚀</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1.13</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0.65</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0.1946</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0.79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7" w:type="dxa"/>
                  <w:left w:w="57" w:type="dxa"/>
                  <w:bottom w:w="57" w:type="dxa"/>
                  <w:right w:w="57" w:type="dxa"/>
                </w:tblCellMar>
              </w:tblPrEx>
              <w:trPr>
                <w:trHeight w:val="340" w:hRule="atLeast"/>
              </w:trPr>
              <w:tc>
                <w:tcPr>
                  <w:tcW w:w="1903" w:type="pct"/>
                  <w:gridSpan w:val="2"/>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合</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计</w:t>
                  </w:r>
                </w:p>
              </w:tc>
              <w:tc>
                <w:tcPr>
                  <w:tcW w:w="82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175.55</w:t>
                  </w:r>
                </w:p>
              </w:tc>
              <w:tc>
                <w:tcPr>
                  <w:tcW w:w="762"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c>
                <w:tcPr>
                  <w:tcW w:w="824"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24.5334</w:t>
                  </w:r>
                </w:p>
              </w:tc>
              <w:tc>
                <w:tcPr>
                  <w:tcW w:w="679" w:type="pct"/>
                  <w:tcBorders>
                    <w:tl2br w:val="nil"/>
                    <w:tr2bl w:val="nil"/>
                  </w:tcBorders>
                  <w:noWrap w:val="0"/>
                  <w:vAlign w:val="center"/>
                </w:tcPr>
                <w:p>
                  <w:pPr>
                    <w:pStyle w:val="14"/>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（4）动物资源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GB" w:eastAsia="zh-CN"/>
              </w:rPr>
            </w:pPr>
            <w:r>
              <w:rPr>
                <w:rFonts w:hint="eastAsia" w:ascii="Times New Roman" w:hAnsi="Times New Roman" w:eastAsia="宋体" w:cs="Times New Roman"/>
                <w:color w:val="auto"/>
                <w:lang w:val="en-GB" w:eastAsia="zh-CN"/>
              </w:rPr>
              <w:t>根据现场调查，项目占地范围及评价范围内，主要动物鸟类有乌鸦、杜鹃、喜鹊、啄木鸟等；兽类有野兔、鼠、蛇等常见物种，昆虫有蝉、粉蝶、蚂蚱等。项目所在地无国家和山西省重点保护的野生动植物种类。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kern w:val="0"/>
                <w:szCs w:val="21"/>
                <w:lang w:eastAsia="zh-CN"/>
              </w:rPr>
            </w:pPr>
            <w:r>
              <w:rPr>
                <w:rFonts w:hint="eastAsia" w:ascii="Times New Roman" w:hAnsi="Times New Roman" w:eastAsia="宋体" w:cs="Times New Roman"/>
                <w:color w:val="auto"/>
                <w:lang w:val="en-US" w:eastAsia="zh-CN"/>
              </w:rPr>
              <w:t>根据现场调查及咨询，项目占地范围及评价范围内动物类型较为单一，且均为常见物种，多样性一般，没有国家和省级重点保护的珍稀濒危野生动物分布。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904" w:type="dxa"/>
            <w:noWrap w:val="0"/>
            <w:vAlign w:val="center"/>
          </w:tcPr>
          <w:p>
            <w:pPr>
              <w:adjustRightInd w:val="0"/>
              <w:snapToGrid w:val="0"/>
              <w:jc w:val="center"/>
              <w:rPr>
                <w:rFonts w:ascii="宋体" w:hAnsi="宋体" w:cs="宋体"/>
                <w:color w:val="auto"/>
                <w:kern w:val="0"/>
                <w:szCs w:val="21"/>
              </w:rPr>
            </w:pPr>
            <w:r>
              <w:rPr>
                <w:rFonts w:hint="eastAsia" w:ascii="宋体" w:hAnsi="宋体"/>
                <w:bCs/>
                <w:color w:val="auto"/>
                <w:szCs w:val="21"/>
              </w:rPr>
              <w:t>与项目有关的原有环境污染和生态破坏问题</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cs="宋体"/>
                <w:color w:val="auto"/>
                <w:kern w:val="0"/>
                <w:szCs w:val="21"/>
              </w:rPr>
            </w:pPr>
            <w:r>
              <w:rPr>
                <w:rFonts w:hint="eastAsia" w:ascii="Times New Roman" w:hAnsi="Times New Roman" w:eastAsia="宋体" w:cs="Times New Roman"/>
                <w:color w:val="auto"/>
                <w:lang w:val="en-US" w:eastAsia="zh-CN"/>
              </w:rPr>
              <w:t>本项目为新建项目，尚未开工建设，不存在原有生产和生态破坏问题。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904"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生态环境保护目标</w:t>
            </w:r>
          </w:p>
        </w:tc>
        <w:tc>
          <w:tcPr>
            <w:tcW w:w="8253" w:type="dxa"/>
            <w:noWrap w:val="0"/>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经调查，项目占地范围以及影响区域无文物古迹、自然保护区、风景名胜区、珍稀动物保护区等特殊保护对象。因此本项目环境保护目标主要是项目周边的生态环境。</w:t>
            </w:r>
          </w:p>
          <w:p>
            <w:pPr>
              <w:jc w:val="center"/>
              <w:rPr>
                <w:rFonts w:ascii="宋体" w:hAnsi="宋体" w:cs="宋体"/>
                <w:color w:val="auto"/>
                <w:kern w:val="0"/>
                <w:szCs w:val="21"/>
              </w:rPr>
            </w:pPr>
            <w:r>
              <w:rPr>
                <w:rFonts w:hint="eastAsia" w:ascii="Times New Roman" w:hAnsi="Times New Roman" w:eastAsia="宋体" w:cs="Times New Roman"/>
                <w:color w:val="auto"/>
                <w:lang w:val="en-US" w:eastAsia="zh-CN"/>
              </w:rPr>
              <w:t>表3-4  本项目主要环境保护目标</w:t>
            </w:r>
          </w:p>
          <w:tbl>
            <w:tblPr>
              <w:tblStyle w:val="8"/>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199"/>
              <w:gridCol w:w="1429"/>
              <w:gridCol w:w="680"/>
              <w:gridCol w:w="1043"/>
              <w:gridCol w:w="3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环境要素</w:t>
                  </w:r>
                </w:p>
              </w:tc>
              <w:tc>
                <w:tcPr>
                  <w:tcW w:w="746"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环境敏感点</w:t>
                  </w:r>
                </w:p>
              </w:tc>
              <w:tc>
                <w:tcPr>
                  <w:tcW w:w="889"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中心坐标</w:t>
                  </w:r>
                </w:p>
              </w:tc>
              <w:tc>
                <w:tcPr>
                  <w:tcW w:w="423" w:type="pct"/>
                  <w:tcBorders>
                    <w:tl2br w:val="nil"/>
                    <w:tr2bl w:val="nil"/>
                  </w:tcBorders>
                  <w:noWrap w:val="0"/>
                  <w:tcMar>
                    <w:top w:w="0" w:type="dxa"/>
                    <w:left w:w="57" w:type="dxa"/>
                    <w:bottom w:w="0" w:type="dxa"/>
                    <w:right w:w="57" w:type="dxa"/>
                  </w:tcMar>
                  <w:vAlign w:val="center"/>
                </w:tcPr>
                <w:p>
                  <w:pPr>
                    <w:pStyle w:val="14"/>
                    <w:bidi w:val="0"/>
                    <w:ind w:firstLine="0" w:firstLineChars="0"/>
                    <w:jc w:val="center"/>
                    <w:rPr>
                      <w:rFonts w:hint="default" w:ascii="Times New Roman" w:hAnsi="Times New Roman"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eastAsia="zh-CN"/>
                    </w:rPr>
                    <w:t>方位</w:t>
                  </w:r>
                </w:p>
              </w:tc>
              <w:tc>
                <w:tcPr>
                  <w:tcW w:w="649" w:type="pct"/>
                  <w:tcBorders>
                    <w:tl2br w:val="nil"/>
                    <w:tr2bl w:val="nil"/>
                  </w:tcBorders>
                  <w:noWrap w:val="0"/>
                  <w:tcMar>
                    <w:top w:w="0" w:type="dxa"/>
                    <w:left w:w="57" w:type="dxa"/>
                    <w:bottom w:w="0" w:type="dxa"/>
                    <w:right w:w="57" w:type="dxa"/>
                  </w:tcMar>
                  <w:vAlign w:val="center"/>
                </w:tcPr>
                <w:p>
                  <w:pPr>
                    <w:pStyle w:val="14"/>
                    <w:bidi w:val="0"/>
                    <w:ind w:firstLine="0" w:firstLineChars="0"/>
                    <w:jc w:val="center"/>
                    <w:rPr>
                      <w:rFonts w:hint="default" w:ascii="Times New Roman" w:hAnsi="Times New Roman" w:cs="Times New Roman"/>
                      <w:b/>
                      <w:bCs/>
                      <w:color w:val="auto"/>
                      <w:kern w:val="2"/>
                      <w:sz w:val="21"/>
                      <w:szCs w:val="21"/>
                      <w:highlight w:val="none"/>
                      <w:lang w:val="en-US" w:eastAsia="zh-CN" w:bidi="ar-SA"/>
                    </w:rPr>
                  </w:pPr>
                  <w:r>
                    <w:rPr>
                      <w:rFonts w:hint="default" w:ascii="Times New Roman" w:hAnsi="Times New Roman" w:cs="Times New Roman"/>
                      <w:b/>
                      <w:bCs/>
                      <w:color w:val="auto"/>
                      <w:sz w:val="21"/>
                      <w:szCs w:val="21"/>
                      <w:highlight w:val="none"/>
                      <w:lang w:eastAsia="zh-CN"/>
                    </w:rPr>
                    <w:t>距离（</w:t>
                  </w:r>
                  <w:r>
                    <w:rPr>
                      <w:rFonts w:hint="default" w:ascii="Times New Roman" w:hAnsi="Times New Roman" w:cs="Times New Roman"/>
                      <w:b/>
                      <w:bCs/>
                      <w:color w:val="auto"/>
                      <w:sz w:val="21"/>
                      <w:szCs w:val="21"/>
                      <w:highlight w:val="none"/>
                      <w:lang w:val="en-US" w:eastAsia="zh-CN"/>
                    </w:rPr>
                    <w:t>m</w:t>
                  </w:r>
                  <w:r>
                    <w:rPr>
                      <w:rFonts w:hint="default" w:ascii="Times New Roman" w:hAnsi="Times New Roman" w:cs="Times New Roman"/>
                      <w:b/>
                      <w:bCs/>
                      <w:color w:val="auto"/>
                      <w:sz w:val="21"/>
                      <w:szCs w:val="21"/>
                      <w:highlight w:val="none"/>
                      <w:lang w:eastAsia="zh-CN"/>
                    </w:rPr>
                    <w:t>）</w:t>
                  </w:r>
                </w:p>
              </w:tc>
              <w:tc>
                <w:tcPr>
                  <w:tcW w:w="1924"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 w:type="pct"/>
                  <w:vMerge w:val="restar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环境空气</w:t>
                  </w:r>
                </w:p>
              </w:tc>
              <w:tc>
                <w:tcPr>
                  <w:tcW w:w="746"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索家窑村</w:t>
                  </w:r>
                </w:p>
              </w:tc>
              <w:tc>
                <w:tcPr>
                  <w:tcW w:w="889"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112°7′44.19″</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eastAsia="zh-CN"/>
                    </w:rPr>
                    <w:t>39°54′27.7</w:t>
                  </w:r>
                  <w:r>
                    <w:rPr>
                      <w:rFonts w:hint="eastAsia"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eastAsia="zh-CN"/>
                    </w:rPr>
                    <w:t>″</w:t>
                  </w:r>
                </w:p>
              </w:tc>
              <w:tc>
                <w:tcPr>
                  <w:tcW w:w="423"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SE</w:t>
                  </w:r>
                </w:p>
              </w:tc>
              <w:tc>
                <w:tcPr>
                  <w:tcW w:w="649"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285</w:t>
                  </w:r>
                </w:p>
              </w:tc>
              <w:tc>
                <w:tcPr>
                  <w:tcW w:w="1924" w:type="pct"/>
                  <w:vMerge w:val="restar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《环境空气质量标准》（</w:t>
                  </w:r>
                  <w:r>
                    <w:rPr>
                      <w:rFonts w:hint="default" w:ascii="Times New Roman" w:hAnsi="Times New Roman" w:eastAsia="宋体" w:cs="Times New Roman"/>
                      <w:color w:val="auto"/>
                      <w:sz w:val="21"/>
                      <w:szCs w:val="21"/>
                      <w:highlight w:val="none"/>
                      <w:lang w:val="en-US" w:eastAsia="zh-CN"/>
                    </w:rPr>
                    <w:t>GB3095-2012</w:t>
                  </w:r>
                  <w:r>
                    <w:rPr>
                      <w:rFonts w:hint="eastAsia" w:ascii="Times New Roman" w:hAnsi="Times New Roman" w:eastAsia="宋体" w:cs="Times New Roman"/>
                      <w:color w:val="auto"/>
                      <w:sz w:val="21"/>
                      <w:szCs w:val="21"/>
                      <w:highlight w:val="none"/>
                      <w:lang w:val="en-US" w:eastAsia="zh-CN"/>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7" w:type="pct"/>
                  <w:vMerge w:val="continue"/>
                  <w:tcBorders>
                    <w:tl2br w:val="nil"/>
                    <w:tr2bl w:val="nil"/>
                  </w:tcBorders>
                  <w:noWrap w:val="0"/>
                  <w:tcMar>
                    <w:top w:w="0" w:type="dxa"/>
                    <w:left w:w="57" w:type="dxa"/>
                    <w:bottom w:w="0" w:type="dxa"/>
                    <w:right w:w="57" w:type="dxa"/>
                  </w:tcMar>
                  <w:vAlign w:val="center"/>
                </w:tcPr>
                <w:p>
                  <w:pPr>
                    <w:pStyle w:val="14"/>
                    <w:bidi w:val="0"/>
                    <w:jc w:val="center"/>
                    <w:rPr>
                      <w:rFonts w:hint="eastAsia" w:ascii="Times New Roman" w:hAnsi="Times New Roman" w:cs="Times New Roman"/>
                      <w:color w:val="auto"/>
                      <w:sz w:val="21"/>
                      <w:szCs w:val="21"/>
                      <w:highlight w:val="none"/>
                      <w:lang w:val="en-US" w:eastAsia="zh-CN"/>
                    </w:rPr>
                  </w:pPr>
                </w:p>
              </w:tc>
              <w:tc>
                <w:tcPr>
                  <w:tcW w:w="746" w:type="pct"/>
                  <w:tcBorders>
                    <w:tl2br w:val="nil"/>
                    <w:tr2bl w:val="nil"/>
                  </w:tcBorders>
                  <w:noWrap w:val="0"/>
                  <w:tcMar>
                    <w:top w:w="0" w:type="dxa"/>
                    <w:left w:w="57" w:type="dxa"/>
                    <w:bottom w:w="0" w:type="dxa"/>
                    <w:right w:w="57" w:type="dxa"/>
                  </w:tcMar>
                  <w:vAlign w:val="center"/>
                </w:tcPr>
                <w:p>
                  <w:pPr>
                    <w:pStyle w:val="14"/>
                    <w:bidi w:val="0"/>
                    <w:jc w:val="center"/>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蒋家坪村</w:t>
                  </w:r>
                </w:p>
              </w:tc>
              <w:tc>
                <w:tcPr>
                  <w:tcW w:w="889"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112°5′21.67″</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eastAsia="zh-CN"/>
                    </w:rPr>
                    <w:t>39°54′43.5</w:t>
                  </w: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eastAsia="zh-CN"/>
                    </w:rPr>
                    <w:t>″</w:t>
                  </w:r>
                </w:p>
              </w:tc>
              <w:tc>
                <w:tcPr>
                  <w:tcW w:w="423"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w:t>
                  </w:r>
                </w:p>
              </w:tc>
              <w:tc>
                <w:tcPr>
                  <w:tcW w:w="649"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309</w:t>
                  </w:r>
                </w:p>
              </w:tc>
              <w:tc>
                <w:tcPr>
                  <w:tcW w:w="1924" w:type="pct"/>
                  <w:vMerge w:val="continue"/>
                  <w:tcBorders>
                    <w:tl2br w:val="nil"/>
                    <w:tr2bl w:val="nil"/>
                  </w:tcBorders>
                  <w:noWrap w:val="0"/>
                  <w:tcMar>
                    <w:top w:w="0" w:type="dxa"/>
                    <w:left w:w="57" w:type="dxa"/>
                    <w:bottom w:w="0" w:type="dxa"/>
                    <w:right w:w="57" w:type="dxa"/>
                  </w:tcMar>
                  <w:vAlign w:val="center"/>
                </w:tcPr>
                <w:p>
                  <w:pPr>
                    <w:pStyle w:val="14"/>
                    <w:bidi w:val="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67" w:type="pct"/>
                  <w:tcBorders>
                    <w:tl2br w:val="nil"/>
                    <w:tr2bl w:val="nil"/>
                  </w:tcBorders>
                  <w:noWrap w:val="0"/>
                  <w:tcMar>
                    <w:top w:w="0" w:type="dxa"/>
                    <w:left w:w="57" w:type="dxa"/>
                    <w:bottom w:w="0" w:type="dxa"/>
                    <w:right w:w="57" w:type="dxa"/>
                  </w:tcMar>
                  <w:vAlign w:val="center"/>
                </w:tcPr>
                <w:p>
                  <w:pPr>
                    <w:pStyle w:val="14"/>
                    <w:bidi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生态环境</w:t>
                  </w:r>
                </w:p>
              </w:tc>
              <w:tc>
                <w:tcPr>
                  <w:tcW w:w="2707" w:type="pct"/>
                  <w:gridSpan w:val="4"/>
                  <w:tcBorders>
                    <w:tl2br w:val="nil"/>
                    <w:tr2bl w:val="nil"/>
                  </w:tcBorders>
                  <w:noWrap w:val="0"/>
                  <w:tcMar>
                    <w:top w:w="0" w:type="dxa"/>
                    <w:left w:w="57" w:type="dxa"/>
                    <w:bottom w:w="0" w:type="dxa"/>
                    <w:right w:w="57" w:type="dxa"/>
                  </w:tcMar>
                  <w:vAlign w:val="center"/>
                </w:tcPr>
                <w:p>
                  <w:pPr>
                    <w:pStyle w:val="14"/>
                    <w:bidi w:val="0"/>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光伏场区及周边的植被</w:t>
                  </w:r>
                </w:p>
              </w:tc>
              <w:tc>
                <w:tcPr>
                  <w:tcW w:w="1924" w:type="pct"/>
                  <w:tcBorders>
                    <w:tl2br w:val="nil"/>
                    <w:tr2bl w:val="nil"/>
                  </w:tcBorders>
                  <w:noWrap w:val="0"/>
                  <w:tcMar>
                    <w:top w:w="0" w:type="dxa"/>
                    <w:left w:w="57" w:type="dxa"/>
                    <w:bottom w:w="0" w:type="dxa"/>
                    <w:right w:w="57" w:type="dxa"/>
                  </w:tcMar>
                  <w:vAlign w:val="center"/>
                </w:tcPr>
                <w:p>
                  <w:pPr>
                    <w:keepNext w:val="0"/>
                    <w:keepLines w:val="0"/>
                    <w:widowControl/>
                    <w:suppressLineNumbers w:val="0"/>
                    <w:jc w:val="center"/>
                    <w:rPr>
                      <w:rFonts w:hint="default" w:ascii="Times New Roman" w:hAnsi="Times New Roman" w:cs="Times New Roman"/>
                      <w:color w:val="auto"/>
                      <w:sz w:val="21"/>
                      <w:szCs w:val="21"/>
                      <w:highlight w:val="none"/>
                      <w:lang w:val="en-US" w:eastAsia="zh-CN"/>
                    </w:rPr>
                  </w:pPr>
                  <w:r>
                    <w:rPr>
                      <w:rFonts w:hint="eastAsia" w:ascii="宋体" w:hAnsi="宋体" w:eastAsia="宋体" w:cs="宋体"/>
                      <w:color w:val="auto"/>
                      <w:kern w:val="0"/>
                      <w:sz w:val="21"/>
                      <w:szCs w:val="21"/>
                      <w:lang w:val="en-US" w:eastAsia="zh-CN" w:bidi="ar"/>
                    </w:rPr>
                    <w:t>恢复生态功能，防止施工过程中对植被造成破坏，防止区域植被多样性受到破坏</w:t>
                  </w:r>
                </w:p>
              </w:tc>
            </w:tr>
          </w:tbl>
          <w:p>
            <w:pPr>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noWrap w:val="0"/>
            <w:vAlign w:val="center"/>
          </w:tcPr>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评价</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标准</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1</w:t>
            </w:r>
            <w:r>
              <w:rPr>
                <w:rFonts w:hint="eastAsia" w:ascii="Times New Roman" w:hAnsi="Times New Roman" w:eastAsia="宋体" w:cs="Times New Roman"/>
                <w:b/>
                <w:bCs/>
                <w:color w:val="auto"/>
                <w:lang w:val="en-US" w:eastAsia="zh-CN"/>
              </w:rPr>
              <w:t xml:space="preserve">、环境质量标准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）环境空气：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本项目所在地环境空气质量属于二类功能区，环境空气评价执行《环境空气质量标准》（</w:t>
            </w:r>
            <w:r>
              <w:rPr>
                <w:rFonts w:hint="default" w:ascii="Times New Roman" w:hAnsi="Times New Roman" w:eastAsia="宋体" w:cs="Times New Roman"/>
                <w:color w:val="auto"/>
                <w:lang w:val="en-US" w:eastAsia="zh-CN"/>
              </w:rPr>
              <w:t>GB3095-2012</w:t>
            </w:r>
            <w:r>
              <w:rPr>
                <w:rFonts w:hint="eastAsia" w:ascii="Times New Roman" w:hAnsi="Times New Roman" w:eastAsia="宋体" w:cs="Times New Roman"/>
                <w:color w:val="auto"/>
                <w:lang w:val="en-US" w:eastAsia="zh-CN"/>
              </w:rPr>
              <w:t>）中二级标准。标准值见表</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5。</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表3-5  《环境空气质量标准》（GB3095-2012）及其修改单</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27"/>
              <w:gridCol w:w="3265"/>
              <w:gridCol w:w="1371"/>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年评价指标</w:t>
                  </w:r>
                </w:p>
              </w:tc>
              <w:tc>
                <w:tcPr>
                  <w:tcW w:w="853"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标准值</w:t>
                  </w:r>
                </w:p>
              </w:tc>
              <w:tc>
                <w:tcPr>
                  <w:tcW w:w="853"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浓度单位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SO</w:t>
                  </w:r>
                  <w:r>
                    <w:rPr>
                      <w:rFonts w:hint="default" w:ascii="Times New Roman" w:hAnsi="Times New Roman" w:cs="Times New Roman"/>
                      <w:color w:val="auto"/>
                      <w:sz w:val="21"/>
                      <w:szCs w:val="21"/>
                      <w:highlight w:val="none"/>
                      <w:vertAlign w:val="subscript"/>
                    </w:rPr>
                    <w:t>2</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年平均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24</w:t>
                  </w:r>
                  <w:r>
                    <w:rPr>
                      <w:rFonts w:hint="eastAsia" w:ascii="Times New Roman" w:hAnsi="Times New Roman" w:eastAsia="宋体" w:cs="Times New Roman"/>
                      <w:color w:val="auto"/>
                      <w:sz w:val="21"/>
                      <w:szCs w:val="21"/>
                      <w:highlight w:val="none"/>
                      <w:lang w:val="en-US" w:eastAsia="zh-CN"/>
                    </w:rPr>
                    <w:t>小时平均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150</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500</w:t>
                  </w:r>
                </w:p>
              </w:tc>
              <w:tc>
                <w:tcPr>
                  <w:tcW w:w="85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ind w:firstLine="0" w:firstLine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color w:val="auto"/>
                      <w:kern w:val="0"/>
                      <w:sz w:val="19"/>
                      <w:szCs w:val="19"/>
                      <w:lang w:val="en-US" w:eastAsia="zh-CN" w:bidi="ar"/>
                    </w:rPr>
                    <w:t>μg/m</w:t>
                  </w:r>
                  <w:r>
                    <w:rPr>
                      <w:rFonts w:hint="eastAsia" w:ascii="Times New Roman" w:hAnsi="Times New Roman" w:eastAsia="宋体" w:cs="Times New Roman"/>
                      <w:color w:val="auto"/>
                      <w:kern w:val="0"/>
                      <w:sz w:val="19"/>
                      <w:szCs w:val="19"/>
                      <w:vertAlign w:val="superscript"/>
                      <w:lang w:val="en-US" w:eastAsia="zh-CN"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NO</w:t>
                  </w:r>
                  <w:r>
                    <w:rPr>
                      <w:rFonts w:hint="default" w:ascii="Times New Roman" w:hAnsi="Times New Roman" w:cs="Times New Roman"/>
                      <w:color w:val="auto"/>
                      <w:sz w:val="21"/>
                      <w:szCs w:val="21"/>
                      <w:highlight w:val="none"/>
                      <w:vertAlign w:val="subscript"/>
                    </w:rPr>
                    <w:t>2</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年平均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24</w:t>
                  </w:r>
                  <w:r>
                    <w:rPr>
                      <w:rFonts w:hint="eastAsia" w:ascii="Times New Roman" w:hAnsi="Times New Roman" w:eastAsia="宋体" w:cs="Times New Roman"/>
                      <w:color w:val="auto"/>
                      <w:sz w:val="21"/>
                      <w:szCs w:val="21"/>
                      <w:highlight w:val="none"/>
                      <w:lang w:val="en-US" w:eastAsia="zh-CN"/>
                    </w:rPr>
                    <w:t>小时平均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40</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80</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200</w:t>
                  </w:r>
                </w:p>
              </w:tc>
              <w:tc>
                <w:tcPr>
                  <w:tcW w:w="853"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snapToGrid w:val="0"/>
                      <w:color w:val="auto"/>
                      <w:kern w:val="0"/>
                      <w:sz w:val="21"/>
                      <w:szCs w:val="21"/>
                      <w:highlight w:val="none"/>
                      <w:lang w:val="en-US" w:eastAsia="zh-CN" w:bidi="ar-SA"/>
                    </w:rPr>
                  </w:pPr>
                  <w:r>
                    <w:rPr>
                      <w:rFonts w:hint="default" w:ascii="Times New Roman" w:hAnsi="Times New Roman" w:cs="Times New Roman"/>
                      <w:color w:val="auto"/>
                      <w:sz w:val="21"/>
                      <w:szCs w:val="21"/>
                      <w:highlight w:val="none"/>
                    </w:rPr>
                    <w:t>O</w:t>
                  </w:r>
                  <w:r>
                    <w:rPr>
                      <w:rFonts w:hint="default" w:ascii="Times New Roman" w:hAnsi="Times New Roman" w:cs="Times New Roman"/>
                      <w:color w:val="auto"/>
                      <w:sz w:val="21"/>
                      <w:szCs w:val="21"/>
                      <w:highlight w:val="none"/>
                      <w:vertAlign w:val="subscript"/>
                    </w:rPr>
                    <w:t>3</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日最大</w:t>
                  </w:r>
                  <w:r>
                    <w:rPr>
                      <w:rFonts w:hint="default" w:ascii="Times New Roman" w:hAnsi="Times New Roman" w:cs="Times New Roman"/>
                      <w:color w:val="auto"/>
                      <w:sz w:val="21"/>
                      <w:szCs w:val="21"/>
                      <w:highlight w:val="none"/>
                    </w:rPr>
                    <w:t>8h平均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snapToGrid w:val="0"/>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keepNext w:val="0"/>
                    <w:keepLines w:val="0"/>
                    <w:pageBreakBefore w:val="0"/>
                    <w:tabs>
                      <w:tab w:val="left" w:pos="460"/>
                    </w:tabs>
                    <w:kinsoku/>
                    <w:wordWrap/>
                    <w:overflowPunct/>
                    <w:topLinePunct w:val="0"/>
                    <w:autoSpaceDE/>
                    <w:autoSpaceDN/>
                    <w:bidi w:val="0"/>
                    <w:spacing w:line="240" w:lineRule="auto"/>
                    <w:ind w:firstLine="0" w:firstLineChars="0"/>
                    <w:jc w:val="center"/>
                    <w:outlineLvl w:val="9"/>
                    <w:rPr>
                      <w:rFonts w:hint="default"/>
                      <w:color w:val="auto"/>
                    </w:rPr>
                  </w:pPr>
                  <w:r>
                    <w:rPr>
                      <w:rFonts w:hint="default"/>
                      <w:color w:val="auto"/>
                    </w:rPr>
                    <w:t>160</w:t>
                  </w:r>
                </w:p>
                <w:p>
                  <w:pPr>
                    <w:pStyle w:val="3"/>
                    <w:keepNext w:val="0"/>
                    <w:keepLines w:val="0"/>
                    <w:pageBreakBefore w:val="0"/>
                    <w:kinsoku/>
                    <w:wordWrap/>
                    <w:overflowPunct/>
                    <w:topLinePunct w:val="0"/>
                    <w:autoSpaceDE/>
                    <w:autoSpaceDN/>
                    <w:bidi w:val="0"/>
                    <w:ind w:firstLine="0" w:firstLineChars="0"/>
                    <w:jc w:val="center"/>
                    <w:rPr>
                      <w:rFonts w:hint="default" w:eastAsia="宋体"/>
                      <w:color w:val="auto"/>
                      <w:lang w:val="en-US" w:eastAsia="zh-CN"/>
                    </w:rPr>
                  </w:pPr>
                  <w:r>
                    <w:rPr>
                      <w:rFonts w:hint="eastAsia" w:ascii="Times New Roman" w:hAnsi="Times New Roman" w:cs="Times New Roman"/>
                      <w:color w:val="auto"/>
                      <w:sz w:val="21"/>
                      <w:szCs w:val="21"/>
                      <w:highlight w:val="none"/>
                      <w:lang w:val="en-US" w:eastAsia="zh-CN"/>
                    </w:rPr>
                    <w:t>200</w:t>
                  </w:r>
                </w:p>
              </w:tc>
              <w:tc>
                <w:tcPr>
                  <w:tcW w:w="853"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24"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10</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年平均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24</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keepNext w:val="0"/>
                    <w:keepLines w:val="0"/>
                    <w:pageBreakBefore w:val="0"/>
                    <w:tabs>
                      <w:tab w:val="left" w:pos="460"/>
                    </w:tabs>
                    <w:kinsoku/>
                    <w:wordWrap/>
                    <w:overflowPunct/>
                    <w:topLinePunct w:val="0"/>
                    <w:autoSpaceDE/>
                    <w:autoSpaceDN/>
                    <w:bidi w:val="0"/>
                    <w:spacing w:line="240" w:lineRule="auto"/>
                    <w:ind w:firstLine="0" w:firstLineChars="0"/>
                    <w:jc w:val="center"/>
                    <w:outlineLvl w:val="9"/>
                    <w:rPr>
                      <w:rFonts w:hint="default"/>
                      <w:color w:val="auto"/>
                    </w:rPr>
                  </w:pPr>
                  <w:r>
                    <w:rPr>
                      <w:rFonts w:hint="default"/>
                      <w:color w:val="auto"/>
                    </w:rPr>
                    <w:t>70</w:t>
                  </w:r>
                </w:p>
                <w:p>
                  <w:pPr>
                    <w:pStyle w:val="3"/>
                    <w:keepNext w:val="0"/>
                    <w:keepLines w:val="0"/>
                    <w:pageBreakBefore w:val="0"/>
                    <w:kinsoku/>
                    <w:wordWrap/>
                    <w:overflowPunct/>
                    <w:topLinePunct w:val="0"/>
                    <w:autoSpaceDE/>
                    <w:autoSpaceDN/>
                    <w:bidi w:val="0"/>
                    <w:ind w:firstLine="0" w:firstLineChars="0"/>
                    <w:jc w:val="center"/>
                    <w:rPr>
                      <w:rFonts w:hint="default" w:eastAsia="宋体"/>
                      <w:color w:val="auto"/>
                      <w:lang w:val="en-US" w:eastAsia="zh-CN"/>
                    </w:rPr>
                  </w:pPr>
                  <w:r>
                    <w:rPr>
                      <w:rFonts w:hint="eastAsia" w:ascii="Times New Roman" w:hAnsi="Times New Roman" w:cs="Times New Roman"/>
                      <w:color w:val="auto"/>
                      <w:sz w:val="21"/>
                      <w:szCs w:val="21"/>
                      <w:highlight w:val="none"/>
                      <w:lang w:val="en-US" w:eastAsia="zh-CN"/>
                    </w:rPr>
                    <w:t>150</w:t>
                  </w:r>
                </w:p>
              </w:tc>
              <w:tc>
                <w:tcPr>
                  <w:tcW w:w="853"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2.5</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年平均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24</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keepNext w:val="0"/>
                    <w:keepLines w:val="0"/>
                    <w:pageBreakBefore w:val="0"/>
                    <w:tabs>
                      <w:tab w:val="left" w:pos="460"/>
                    </w:tabs>
                    <w:kinsoku/>
                    <w:wordWrap/>
                    <w:overflowPunct/>
                    <w:topLinePunct w:val="0"/>
                    <w:autoSpaceDE/>
                    <w:autoSpaceDN/>
                    <w:bidi w:val="0"/>
                    <w:spacing w:line="240" w:lineRule="auto"/>
                    <w:ind w:firstLine="0" w:firstLineChars="0"/>
                    <w:jc w:val="center"/>
                    <w:outlineLvl w:val="9"/>
                    <w:rPr>
                      <w:rFonts w:hint="default"/>
                      <w:color w:val="auto"/>
                    </w:rPr>
                  </w:pPr>
                  <w:r>
                    <w:rPr>
                      <w:rFonts w:hint="default"/>
                      <w:color w:val="auto"/>
                    </w:rPr>
                    <w:t>35</w:t>
                  </w:r>
                </w:p>
                <w:p>
                  <w:pPr>
                    <w:pStyle w:val="3"/>
                    <w:keepNext w:val="0"/>
                    <w:keepLines w:val="0"/>
                    <w:pageBreakBefore w:val="0"/>
                    <w:kinsoku/>
                    <w:wordWrap/>
                    <w:overflowPunct/>
                    <w:topLinePunct w:val="0"/>
                    <w:autoSpaceDE/>
                    <w:autoSpaceDN/>
                    <w:bidi w:val="0"/>
                    <w:ind w:firstLine="0" w:firstLineChars="0"/>
                    <w:jc w:val="center"/>
                    <w:rPr>
                      <w:rFonts w:hint="default" w:eastAsia="宋体"/>
                      <w:color w:val="auto"/>
                      <w:lang w:val="en-US" w:eastAsia="zh-CN"/>
                    </w:rPr>
                  </w:pPr>
                  <w:r>
                    <w:rPr>
                      <w:rFonts w:hint="eastAsia" w:ascii="Times New Roman" w:hAnsi="Times New Roman" w:cs="Times New Roman"/>
                      <w:color w:val="auto"/>
                      <w:sz w:val="21"/>
                      <w:szCs w:val="21"/>
                      <w:highlight w:val="none"/>
                      <w:lang w:val="en-US" w:eastAsia="zh-CN"/>
                    </w:rPr>
                    <w:t>75</w:t>
                  </w:r>
                </w:p>
              </w:tc>
              <w:tc>
                <w:tcPr>
                  <w:tcW w:w="853"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auto"/>
                      <w:kern w:val="0"/>
                      <w:sz w:val="21"/>
                      <w:szCs w:val="21"/>
                      <w:highlight w:val="none"/>
                      <w:u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6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CO</w:t>
                  </w:r>
                  <w:r>
                    <w:rPr>
                      <w:rFonts w:hint="default" w:ascii="Times New Roman" w:hAnsi="Times New Roman" w:cs="Times New Roman"/>
                      <w:bCs/>
                      <w:color w:val="auto"/>
                      <w:sz w:val="21"/>
                      <w:szCs w:val="21"/>
                      <w:highlight w:val="none"/>
                    </w:rPr>
                    <w:t>（mg/m</w:t>
                  </w:r>
                  <w:r>
                    <w:rPr>
                      <w:rFonts w:hint="default" w:ascii="Times New Roman" w:hAnsi="Times New Roman" w:cs="Times New Roman"/>
                      <w:bCs/>
                      <w:color w:val="auto"/>
                      <w:sz w:val="21"/>
                      <w:szCs w:val="21"/>
                      <w:highlight w:val="none"/>
                      <w:vertAlign w:val="superscript"/>
                    </w:rPr>
                    <w:t>3</w:t>
                  </w:r>
                  <w:r>
                    <w:rPr>
                      <w:rFonts w:hint="default" w:ascii="Times New Roman" w:hAnsi="Times New Roman" w:cs="Times New Roman"/>
                      <w:bCs/>
                      <w:color w:val="auto"/>
                      <w:sz w:val="21"/>
                      <w:szCs w:val="21"/>
                      <w:highlight w:val="none"/>
                    </w:rPr>
                    <w:t>）</w:t>
                  </w:r>
                </w:p>
              </w:tc>
              <w:tc>
                <w:tcPr>
                  <w:tcW w:w="2031" w:type="pct"/>
                  <w:tcBorders>
                    <w:tl2br w:val="nil"/>
                    <w:tr2bl w:val="nil"/>
                  </w:tcBorders>
                  <w:noWrap w:val="0"/>
                  <w:vAlign w:val="center"/>
                </w:tcPr>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24</w:t>
                  </w:r>
                  <w:r>
                    <w:rPr>
                      <w:rFonts w:hint="eastAsia" w:ascii="Times New Roman" w:hAnsi="Times New Roman" w:eastAsia="宋体" w:cs="Times New Roman"/>
                      <w:color w:val="auto"/>
                      <w:sz w:val="21"/>
                      <w:szCs w:val="21"/>
                      <w:highlight w:val="none"/>
                      <w:lang w:val="en-US" w:eastAsia="zh-CN"/>
                    </w:rPr>
                    <w:t>小时平均</w:t>
                  </w:r>
                </w:p>
                <w:p>
                  <w:pPr>
                    <w:pStyle w:val="15"/>
                    <w:keepNext w:val="0"/>
                    <w:keepLines w:val="0"/>
                    <w:pageBreakBefore w:val="0"/>
                    <w:kinsoku/>
                    <w:wordWrap/>
                    <w:overflowPunct/>
                    <w:topLinePunct w:val="0"/>
                    <w:autoSpaceDE/>
                    <w:autoSpaceDN/>
                    <w:bidi w:val="0"/>
                    <w:spacing w:line="240" w:lineRule="auto"/>
                    <w:ind w:firstLine="0" w:firstLineChars="0"/>
                    <w:jc w:val="center"/>
                    <w:outlineLvl w:val="9"/>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小时平均</w:t>
                  </w:r>
                </w:p>
              </w:tc>
              <w:tc>
                <w:tcPr>
                  <w:tcW w:w="853" w:type="pct"/>
                  <w:tcBorders>
                    <w:tl2br w:val="nil"/>
                    <w:tr2bl w:val="nil"/>
                  </w:tcBorders>
                  <w:noWrap w:val="0"/>
                  <w:vAlign w:val="center"/>
                </w:tcPr>
                <w:p>
                  <w:pPr>
                    <w:keepNext w:val="0"/>
                    <w:keepLines w:val="0"/>
                    <w:pageBreakBefore w:val="0"/>
                    <w:tabs>
                      <w:tab w:val="left" w:pos="460"/>
                    </w:tabs>
                    <w:kinsoku/>
                    <w:wordWrap/>
                    <w:overflowPunct/>
                    <w:topLinePunct w:val="0"/>
                    <w:autoSpaceDE/>
                    <w:autoSpaceDN/>
                    <w:bidi w:val="0"/>
                    <w:spacing w:line="240" w:lineRule="auto"/>
                    <w:ind w:firstLine="0" w:firstLineChars="0"/>
                    <w:jc w:val="center"/>
                    <w:outlineLvl w:val="9"/>
                    <w:rPr>
                      <w:rFonts w:hint="default"/>
                      <w:color w:val="auto"/>
                    </w:rPr>
                  </w:pPr>
                  <w:r>
                    <w:rPr>
                      <w:rFonts w:hint="default"/>
                      <w:color w:val="auto"/>
                    </w:rPr>
                    <w:t>4</w:t>
                  </w:r>
                </w:p>
                <w:p>
                  <w:pPr>
                    <w:pStyle w:val="3"/>
                    <w:keepNext w:val="0"/>
                    <w:keepLines w:val="0"/>
                    <w:pageBreakBefore w:val="0"/>
                    <w:kinsoku/>
                    <w:wordWrap/>
                    <w:overflowPunct/>
                    <w:topLinePunct w:val="0"/>
                    <w:autoSpaceDE/>
                    <w:autoSpaceDN/>
                    <w:bidi w:val="0"/>
                    <w:ind w:firstLine="0" w:firstLineChars="0"/>
                    <w:jc w:val="center"/>
                    <w:rPr>
                      <w:rFonts w:hint="default" w:eastAsia="宋体"/>
                      <w:color w:val="auto"/>
                      <w:lang w:val="en-US" w:eastAsia="zh-CN"/>
                    </w:rPr>
                  </w:pPr>
                  <w:r>
                    <w:rPr>
                      <w:rFonts w:hint="eastAsia" w:ascii="Times New Roman" w:hAnsi="Times New Roman" w:cs="Times New Roman"/>
                      <w:color w:val="auto"/>
                      <w:sz w:val="21"/>
                      <w:szCs w:val="21"/>
                      <w:highlight w:val="none"/>
                      <w:lang w:val="en-US" w:eastAsia="zh-CN"/>
                    </w:rPr>
                    <w:t>10</w:t>
                  </w:r>
                </w:p>
              </w:tc>
              <w:tc>
                <w:tcPr>
                  <w:tcW w:w="85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ind w:firstLine="0" w:firstLine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color w:val="auto"/>
                      <w:kern w:val="0"/>
                      <w:sz w:val="19"/>
                      <w:szCs w:val="19"/>
                      <w:lang w:val="en-US" w:eastAsia="zh-CN" w:bidi="ar"/>
                    </w:rPr>
                    <w:t>mg/m</w:t>
                  </w:r>
                  <w:r>
                    <w:rPr>
                      <w:rFonts w:hint="eastAsia" w:ascii="Times New Roman" w:hAnsi="Times New Roman" w:eastAsia="宋体" w:cs="Times New Roman"/>
                      <w:color w:val="auto"/>
                      <w:kern w:val="0"/>
                      <w:sz w:val="19"/>
                      <w:szCs w:val="19"/>
                      <w:vertAlign w:val="superscript"/>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（2）地表水：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根据《山西省地表水环境功能区划》（DB14/67-2019），本项目所在区域地表水属源子河，</w:t>
            </w:r>
            <w:r>
              <w:rPr>
                <w:rFonts w:hint="eastAsia" w:ascii="Times New Roman" w:hAnsi="Times New Roman" w:eastAsia="宋体" w:cs="Times New Roman"/>
                <w:color w:val="auto"/>
                <w:lang w:val="en-US" w:eastAsia="zh-CN"/>
              </w:rPr>
              <w:t>执行《地表水环境质量标准》（GB3838-2002）中Ⅳ类标准。具体标准值见表3-6。</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表3-6   《地表水环境质量标准》（GB3838-2002）Ⅳ类  单位：mg/L</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288"/>
              <w:gridCol w:w="965"/>
              <w:gridCol w:w="1122"/>
              <w:gridCol w:w="1122"/>
              <w:gridCol w:w="22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4"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项目</w:t>
                  </w:r>
                </w:p>
              </w:tc>
              <w:tc>
                <w:tcPr>
                  <w:tcW w:w="801"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pH</w:t>
                  </w:r>
                </w:p>
              </w:tc>
              <w:tc>
                <w:tcPr>
                  <w:tcW w:w="600"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COD</w:t>
                  </w:r>
                </w:p>
              </w:tc>
              <w:tc>
                <w:tcPr>
                  <w:tcW w:w="698" w:type="pct"/>
                  <w:tcBorders>
                    <w:tl2br w:val="nil"/>
                    <w:tr2bl w:val="nil"/>
                  </w:tcBorders>
                  <w:noWrap w:val="0"/>
                  <w:vAlign w:val="center"/>
                </w:tcPr>
                <w:p>
                  <w:pPr>
                    <w:pStyle w:val="16"/>
                    <w:keepNext w:val="0"/>
                    <w:keepLines w:val="0"/>
                    <w:pageBreakBefore w:val="0"/>
                    <w:widowControl/>
                    <w:kinsoku/>
                    <w:wordWrap/>
                    <w:overflowPunct/>
                    <w:topLinePunct w:val="0"/>
                    <w:autoSpaceDE/>
                    <w:autoSpaceDN/>
                    <w:bidi w:val="0"/>
                    <w:adjustRightInd w:val="0"/>
                    <w:snapToGrid w:val="0"/>
                    <w:textAlignment w:val="baseline"/>
                    <w:outlineLvl w:val="9"/>
                    <w:rPr>
                      <w:color w:val="auto"/>
                      <w:highlight w:val="none"/>
                    </w:rPr>
                  </w:pPr>
                  <w:r>
                    <w:rPr>
                      <w:color w:val="auto"/>
                      <w:highlight w:val="none"/>
                    </w:rPr>
                    <w:t>BOD</w:t>
                  </w:r>
                  <w:r>
                    <w:rPr>
                      <w:color w:val="auto"/>
                      <w:highlight w:val="none"/>
                      <w:vertAlign w:val="subscript"/>
                    </w:rPr>
                    <w:t>5</w:t>
                  </w:r>
                </w:p>
              </w:tc>
              <w:tc>
                <w:tcPr>
                  <w:tcW w:w="698"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NH</w:t>
                  </w:r>
                  <w:r>
                    <w:rPr>
                      <w:color w:val="auto"/>
                      <w:highlight w:val="none"/>
                      <w:vertAlign w:val="subscript"/>
                    </w:rPr>
                    <w:t>3</w:t>
                  </w:r>
                  <w:r>
                    <w:rPr>
                      <w:color w:val="auto"/>
                      <w:highlight w:val="none"/>
                    </w:rPr>
                    <w:t>-N</w:t>
                  </w:r>
                </w:p>
              </w:tc>
              <w:tc>
                <w:tcPr>
                  <w:tcW w:w="1398"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总磷</w:t>
                  </w:r>
                </w:p>
                <w:p>
                  <w:pPr>
                    <w:pStyle w:val="16"/>
                    <w:pageBreakBefore w:val="0"/>
                    <w:kinsoku/>
                    <w:wordWrap/>
                    <w:topLinePunct w:val="0"/>
                    <w:bidi w:val="0"/>
                    <w:outlineLvl w:val="9"/>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4"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标准值</w:t>
                  </w:r>
                </w:p>
              </w:tc>
              <w:tc>
                <w:tcPr>
                  <w:tcW w:w="801"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6-9</w:t>
                  </w:r>
                </w:p>
              </w:tc>
              <w:tc>
                <w:tcPr>
                  <w:tcW w:w="600" w:type="pct"/>
                  <w:tcBorders>
                    <w:tl2br w:val="nil"/>
                    <w:tr2bl w:val="nil"/>
                  </w:tcBorders>
                  <w:noWrap w:val="0"/>
                  <w:vAlign w:val="center"/>
                </w:tcPr>
                <w:p>
                  <w:pPr>
                    <w:pStyle w:val="16"/>
                    <w:pageBreakBefore w:val="0"/>
                    <w:kinsoku/>
                    <w:wordWrap/>
                    <w:topLinePunct w:val="0"/>
                    <w:bidi w:val="0"/>
                    <w:outlineLvl w:val="9"/>
                    <w:rPr>
                      <w:rFonts w:hint="default"/>
                      <w:color w:val="auto"/>
                      <w:highlight w:val="none"/>
                      <w:lang w:val="en-US"/>
                    </w:rPr>
                  </w:pPr>
                  <w:r>
                    <w:rPr>
                      <w:color w:val="auto"/>
                      <w:highlight w:val="none"/>
                    </w:rPr>
                    <w:t>≤</w:t>
                  </w:r>
                  <w:r>
                    <w:rPr>
                      <w:rFonts w:hint="eastAsia"/>
                      <w:color w:val="auto"/>
                      <w:highlight w:val="none"/>
                      <w:lang w:val="en-US" w:eastAsia="zh-CN"/>
                    </w:rPr>
                    <w:t>30</w:t>
                  </w:r>
                </w:p>
              </w:tc>
              <w:tc>
                <w:tcPr>
                  <w:tcW w:w="698" w:type="pct"/>
                  <w:tcBorders>
                    <w:tl2br w:val="nil"/>
                    <w:tr2bl w:val="nil"/>
                  </w:tcBorders>
                  <w:noWrap w:val="0"/>
                  <w:vAlign w:val="center"/>
                </w:tcPr>
                <w:p>
                  <w:pPr>
                    <w:pStyle w:val="16"/>
                    <w:keepNext w:val="0"/>
                    <w:keepLines w:val="0"/>
                    <w:pageBreakBefore w:val="0"/>
                    <w:widowControl/>
                    <w:kinsoku/>
                    <w:wordWrap/>
                    <w:overflowPunct/>
                    <w:topLinePunct w:val="0"/>
                    <w:autoSpaceDE/>
                    <w:autoSpaceDN/>
                    <w:bidi w:val="0"/>
                    <w:adjustRightInd w:val="0"/>
                    <w:snapToGrid w:val="0"/>
                    <w:textAlignment w:val="baseline"/>
                    <w:outlineLvl w:val="9"/>
                    <w:rPr>
                      <w:rFonts w:hint="eastAsia" w:eastAsia="宋体"/>
                      <w:color w:val="auto"/>
                      <w:highlight w:val="none"/>
                      <w:lang w:eastAsia="zh-CN"/>
                    </w:rPr>
                  </w:pPr>
                  <w:r>
                    <w:rPr>
                      <w:color w:val="auto"/>
                      <w:highlight w:val="none"/>
                    </w:rPr>
                    <w:t>≤</w:t>
                  </w:r>
                  <w:r>
                    <w:rPr>
                      <w:rFonts w:hint="eastAsia"/>
                      <w:color w:val="auto"/>
                      <w:highlight w:val="none"/>
                      <w:lang w:val="en-US" w:eastAsia="zh-CN"/>
                    </w:rPr>
                    <w:t>6</w:t>
                  </w:r>
                </w:p>
              </w:tc>
              <w:tc>
                <w:tcPr>
                  <w:tcW w:w="698" w:type="pct"/>
                  <w:tcBorders>
                    <w:tl2br w:val="nil"/>
                    <w:tr2bl w:val="nil"/>
                  </w:tcBorders>
                  <w:noWrap w:val="0"/>
                  <w:vAlign w:val="center"/>
                </w:tcPr>
                <w:p>
                  <w:pPr>
                    <w:pStyle w:val="16"/>
                    <w:pageBreakBefore w:val="0"/>
                    <w:kinsoku/>
                    <w:wordWrap/>
                    <w:topLinePunct w:val="0"/>
                    <w:bidi w:val="0"/>
                    <w:outlineLvl w:val="9"/>
                    <w:rPr>
                      <w:rFonts w:hint="eastAsia" w:eastAsia="宋体"/>
                      <w:color w:val="auto"/>
                      <w:highlight w:val="none"/>
                      <w:lang w:eastAsia="zh-CN"/>
                    </w:rPr>
                  </w:pPr>
                  <w:r>
                    <w:rPr>
                      <w:color w:val="auto"/>
                      <w:highlight w:val="none"/>
                    </w:rPr>
                    <w:t>≤1.</w:t>
                  </w:r>
                  <w:r>
                    <w:rPr>
                      <w:rFonts w:hint="eastAsia"/>
                      <w:color w:val="auto"/>
                      <w:highlight w:val="none"/>
                      <w:lang w:val="en-US" w:eastAsia="zh-CN"/>
                    </w:rPr>
                    <w:t>5</w:t>
                  </w:r>
                </w:p>
              </w:tc>
              <w:tc>
                <w:tcPr>
                  <w:tcW w:w="1398" w:type="pct"/>
                  <w:tcBorders>
                    <w:tl2br w:val="nil"/>
                    <w:tr2bl w:val="nil"/>
                  </w:tcBorders>
                  <w:noWrap w:val="0"/>
                  <w:vAlign w:val="center"/>
                </w:tcPr>
                <w:p>
                  <w:pPr>
                    <w:pStyle w:val="16"/>
                    <w:pageBreakBefore w:val="0"/>
                    <w:kinsoku/>
                    <w:wordWrap/>
                    <w:topLinePunct w:val="0"/>
                    <w:bidi w:val="0"/>
                    <w:outlineLvl w:val="9"/>
                    <w:rPr>
                      <w:rFonts w:hint="eastAsia" w:eastAsia="宋体"/>
                      <w:color w:val="auto"/>
                      <w:highlight w:val="none"/>
                      <w:lang w:val="en-US" w:eastAsia="zh-CN"/>
                    </w:rPr>
                  </w:pPr>
                  <w:r>
                    <w:rPr>
                      <w:color w:val="auto"/>
                      <w:highlight w:val="none"/>
                    </w:rPr>
                    <w:t>≤0.</w:t>
                  </w:r>
                  <w:r>
                    <w:rPr>
                      <w:rFonts w:hint="eastAsia"/>
                      <w:color w:val="auto"/>
                      <w:highlight w:val="none"/>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4"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项目</w:t>
                  </w:r>
                </w:p>
              </w:tc>
              <w:tc>
                <w:tcPr>
                  <w:tcW w:w="801" w:type="pct"/>
                  <w:tcBorders>
                    <w:tl2br w:val="nil"/>
                    <w:tr2bl w:val="nil"/>
                  </w:tcBorders>
                  <w:noWrap w:val="0"/>
                  <w:vAlign w:val="center"/>
                </w:tcPr>
                <w:p>
                  <w:pPr>
                    <w:pStyle w:val="16"/>
                    <w:pageBreakBefore w:val="0"/>
                    <w:kinsoku/>
                    <w:wordWrap/>
                    <w:topLinePunct w:val="0"/>
                    <w:bidi w:val="0"/>
                    <w:outlineLvl w:val="9"/>
                    <w:rPr>
                      <w:rFonts w:ascii="Times New Roman" w:hAnsi="Times New Roman" w:eastAsia="宋体" w:cs="Times New Roman"/>
                      <w:snapToGrid w:val="0"/>
                      <w:color w:val="auto"/>
                      <w:kern w:val="0"/>
                      <w:sz w:val="21"/>
                      <w:szCs w:val="20"/>
                      <w:highlight w:val="none"/>
                      <w:lang w:val="en-US" w:eastAsia="zh-CN" w:bidi="ar-SA"/>
                    </w:rPr>
                  </w:pPr>
                  <w:r>
                    <w:rPr>
                      <w:color w:val="auto"/>
                      <w:highlight w:val="none"/>
                    </w:rPr>
                    <w:t>总氮</w:t>
                  </w:r>
                </w:p>
              </w:tc>
              <w:tc>
                <w:tcPr>
                  <w:tcW w:w="600" w:type="pct"/>
                  <w:tcBorders>
                    <w:tl2br w:val="nil"/>
                    <w:tr2bl w:val="nil"/>
                  </w:tcBorders>
                  <w:noWrap w:val="0"/>
                  <w:vAlign w:val="center"/>
                </w:tcPr>
                <w:p>
                  <w:pPr>
                    <w:pStyle w:val="16"/>
                    <w:pageBreakBefore w:val="0"/>
                    <w:kinsoku/>
                    <w:wordWrap/>
                    <w:topLinePunct w:val="0"/>
                    <w:bidi w:val="0"/>
                    <w:outlineLvl w:val="9"/>
                    <w:rPr>
                      <w:rFonts w:ascii="Times New Roman" w:hAnsi="Times New Roman" w:eastAsia="宋体" w:cs="Times New Roman"/>
                      <w:snapToGrid w:val="0"/>
                      <w:color w:val="auto"/>
                      <w:kern w:val="0"/>
                      <w:sz w:val="21"/>
                      <w:szCs w:val="20"/>
                      <w:highlight w:val="none"/>
                      <w:lang w:val="en-US" w:eastAsia="zh-CN" w:bidi="ar-SA"/>
                    </w:rPr>
                  </w:pPr>
                  <w:r>
                    <w:rPr>
                      <w:color w:val="auto"/>
                      <w:highlight w:val="none"/>
                    </w:rPr>
                    <w:t>氟化物</w:t>
                  </w:r>
                </w:p>
              </w:tc>
              <w:tc>
                <w:tcPr>
                  <w:tcW w:w="698" w:type="pct"/>
                  <w:tcBorders>
                    <w:tl2br w:val="nil"/>
                    <w:tr2bl w:val="nil"/>
                  </w:tcBorders>
                  <w:noWrap w:val="0"/>
                  <w:vAlign w:val="center"/>
                </w:tcPr>
                <w:p>
                  <w:pPr>
                    <w:pStyle w:val="16"/>
                    <w:keepNext w:val="0"/>
                    <w:keepLines w:val="0"/>
                    <w:pageBreakBefore w:val="0"/>
                    <w:widowControl/>
                    <w:kinsoku/>
                    <w:wordWrap/>
                    <w:overflowPunct/>
                    <w:topLinePunct w:val="0"/>
                    <w:autoSpaceDE/>
                    <w:autoSpaceDN/>
                    <w:bidi w:val="0"/>
                    <w:adjustRightInd w:val="0"/>
                    <w:snapToGrid w:val="0"/>
                    <w:textAlignment w:val="baseline"/>
                    <w:outlineLvl w:val="9"/>
                    <w:rPr>
                      <w:rFonts w:ascii="Times New Roman" w:hAnsi="Times New Roman" w:eastAsia="宋体" w:cs="Times New Roman"/>
                      <w:snapToGrid w:val="0"/>
                      <w:color w:val="auto"/>
                      <w:kern w:val="0"/>
                      <w:sz w:val="21"/>
                      <w:szCs w:val="20"/>
                      <w:highlight w:val="none"/>
                      <w:lang w:val="en-US" w:eastAsia="zh-CN" w:bidi="ar-SA"/>
                    </w:rPr>
                  </w:pPr>
                  <w:r>
                    <w:rPr>
                      <w:color w:val="auto"/>
                      <w:highlight w:val="none"/>
                    </w:rPr>
                    <w:t>挥发酚</w:t>
                  </w:r>
                </w:p>
              </w:tc>
              <w:tc>
                <w:tcPr>
                  <w:tcW w:w="698" w:type="pct"/>
                  <w:tcBorders>
                    <w:tl2br w:val="nil"/>
                    <w:tr2bl w:val="nil"/>
                  </w:tcBorders>
                  <w:noWrap w:val="0"/>
                  <w:vAlign w:val="center"/>
                </w:tcPr>
                <w:p>
                  <w:pPr>
                    <w:pStyle w:val="16"/>
                    <w:pageBreakBefore w:val="0"/>
                    <w:kinsoku/>
                    <w:wordWrap/>
                    <w:topLinePunct w:val="0"/>
                    <w:bidi w:val="0"/>
                    <w:outlineLvl w:val="9"/>
                    <w:rPr>
                      <w:rFonts w:ascii="Times New Roman" w:hAnsi="Times New Roman" w:eastAsia="宋体" w:cs="Times New Roman"/>
                      <w:snapToGrid w:val="0"/>
                      <w:color w:val="auto"/>
                      <w:kern w:val="0"/>
                      <w:sz w:val="21"/>
                      <w:szCs w:val="20"/>
                      <w:highlight w:val="none"/>
                      <w:lang w:val="en-US" w:eastAsia="zh-CN" w:bidi="ar-SA"/>
                    </w:rPr>
                  </w:pPr>
                  <w:r>
                    <w:rPr>
                      <w:color w:val="auto"/>
                      <w:highlight w:val="none"/>
                    </w:rPr>
                    <w:t>石油类</w:t>
                  </w:r>
                </w:p>
              </w:tc>
              <w:tc>
                <w:tcPr>
                  <w:tcW w:w="1398" w:type="pct"/>
                  <w:tcBorders>
                    <w:tl2br w:val="nil"/>
                    <w:tr2bl w:val="nil"/>
                  </w:tcBorders>
                  <w:noWrap w:val="0"/>
                  <w:vAlign w:val="center"/>
                </w:tcPr>
                <w:p>
                  <w:pPr>
                    <w:pStyle w:val="16"/>
                    <w:pageBreakBefore w:val="0"/>
                    <w:kinsoku/>
                    <w:wordWrap/>
                    <w:topLinePunct w:val="0"/>
                    <w:bidi w:val="0"/>
                    <w:outlineLvl w:val="9"/>
                    <w:rPr>
                      <w:rFonts w:ascii="Times New Roman" w:hAnsi="Times New Roman" w:eastAsia="宋体" w:cs="Times New Roman"/>
                      <w:snapToGrid w:val="0"/>
                      <w:color w:val="auto"/>
                      <w:kern w:val="0"/>
                      <w:sz w:val="21"/>
                      <w:szCs w:val="20"/>
                      <w:highlight w:val="none"/>
                      <w:lang w:val="en-US" w:eastAsia="zh-CN" w:bidi="ar-SA"/>
                    </w:rPr>
                  </w:pPr>
                  <w:r>
                    <w:rPr>
                      <w:color w:val="auto"/>
                      <w:highlight w:val="none"/>
                    </w:rPr>
                    <w:t>硫化物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804" w:type="pct"/>
                  <w:tcBorders>
                    <w:tl2br w:val="nil"/>
                    <w:tr2bl w:val="nil"/>
                  </w:tcBorders>
                  <w:noWrap w:val="0"/>
                  <w:vAlign w:val="center"/>
                </w:tcPr>
                <w:p>
                  <w:pPr>
                    <w:pStyle w:val="16"/>
                    <w:pageBreakBefore w:val="0"/>
                    <w:kinsoku/>
                    <w:wordWrap/>
                    <w:topLinePunct w:val="0"/>
                    <w:bidi w:val="0"/>
                    <w:outlineLvl w:val="9"/>
                    <w:rPr>
                      <w:color w:val="auto"/>
                      <w:highlight w:val="none"/>
                    </w:rPr>
                  </w:pPr>
                  <w:r>
                    <w:rPr>
                      <w:color w:val="auto"/>
                      <w:highlight w:val="none"/>
                    </w:rPr>
                    <w:t>标准值</w:t>
                  </w:r>
                </w:p>
              </w:tc>
              <w:tc>
                <w:tcPr>
                  <w:tcW w:w="801" w:type="pct"/>
                  <w:tcBorders>
                    <w:tl2br w:val="nil"/>
                    <w:tr2bl w:val="nil"/>
                  </w:tcBorders>
                  <w:noWrap w:val="0"/>
                  <w:vAlign w:val="center"/>
                </w:tcPr>
                <w:p>
                  <w:pPr>
                    <w:pStyle w:val="16"/>
                    <w:pageBreakBefore w:val="0"/>
                    <w:kinsoku/>
                    <w:wordWrap/>
                    <w:topLinePunct w:val="0"/>
                    <w:bidi w:val="0"/>
                    <w:outlineLvl w:val="9"/>
                    <w:rPr>
                      <w:rFonts w:hint="default" w:ascii="Times New Roman" w:hAnsi="Times New Roman" w:eastAsia="宋体" w:cs="Times New Roman"/>
                      <w:snapToGrid w:val="0"/>
                      <w:color w:val="auto"/>
                      <w:kern w:val="0"/>
                      <w:sz w:val="21"/>
                      <w:szCs w:val="20"/>
                      <w:highlight w:val="none"/>
                      <w:lang w:val="en-US" w:eastAsia="zh-CN" w:bidi="ar-SA"/>
                    </w:rPr>
                  </w:pPr>
                  <w:r>
                    <w:rPr>
                      <w:color w:val="auto"/>
                      <w:highlight w:val="none"/>
                    </w:rPr>
                    <w:t>≤</w:t>
                  </w:r>
                  <w:r>
                    <w:rPr>
                      <w:rFonts w:hint="eastAsia"/>
                      <w:color w:val="auto"/>
                      <w:highlight w:val="none"/>
                      <w:lang w:val="en-US" w:eastAsia="zh-CN"/>
                    </w:rPr>
                    <w:t>1.5</w:t>
                  </w:r>
                </w:p>
              </w:tc>
              <w:tc>
                <w:tcPr>
                  <w:tcW w:w="600" w:type="pct"/>
                  <w:tcBorders>
                    <w:tl2br w:val="nil"/>
                    <w:tr2bl w:val="nil"/>
                  </w:tcBorders>
                  <w:noWrap w:val="0"/>
                  <w:vAlign w:val="center"/>
                </w:tcPr>
                <w:p>
                  <w:pPr>
                    <w:pStyle w:val="16"/>
                    <w:pageBreakBefore w:val="0"/>
                    <w:kinsoku/>
                    <w:wordWrap/>
                    <w:topLinePunct w:val="0"/>
                    <w:bidi w:val="0"/>
                    <w:outlineLvl w:val="9"/>
                    <w:rPr>
                      <w:rFonts w:hint="default" w:ascii="Times New Roman" w:hAnsi="Times New Roman" w:eastAsia="宋体" w:cs="Times New Roman"/>
                      <w:snapToGrid w:val="0"/>
                      <w:color w:val="auto"/>
                      <w:kern w:val="0"/>
                      <w:sz w:val="21"/>
                      <w:szCs w:val="20"/>
                      <w:highlight w:val="none"/>
                      <w:lang w:val="en-US" w:eastAsia="zh-CN" w:bidi="ar-SA"/>
                    </w:rPr>
                  </w:pPr>
                  <w:r>
                    <w:rPr>
                      <w:color w:val="auto"/>
                      <w:highlight w:val="none"/>
                    </w:rPr>
                    <w:t>≤</w:t>
                  </w:r>
                  <w:r>
                    <w:rPr>
                      <w:rFonts w:hint="eastAsia"/>
                      <w:color w:val="auto"/>
                      <w:highlight w:val="none"/>
                      <w:lang w:val="en-US" w:eastAsia="zh-CN"/>
                    </w:rPr>
                    <w:t>1.0</w:t>
                  </w:r>
                </w:p>
              </w:tc>
              <w:tc>
                <w:tcPr>
                  <w:tcW w:w="698" w:type="pct"/>
                  <w:tcBorders>
                    <w:tl2br w:val="nil"/>
                    <w:tr2bl w:val="nil"/>
                  </w:tcBorders>
                  <w:noWrap w:val="0"/>
                  <w:vAlign w:val="center"/>
                </w:tcPr>
                <w:p>
                  <w:pPr>
                    <w:pStyle w:val="16"/>
                    <w:keepNext w:val="0"/>
                    <w:keepLines w:val="0"/>
                    <w:pageBreakBefore w:val="0"/>
                    <w:widowControl/>
                    <w:kinsoku/>
                    <w:wordWrap/>
                    <w:overflowPunct/>
                    <w:topLinePunct w:val="0"/>
                    <w:autoSpaceDE/>
                    <w:autoSpaceDN/>
                    <w:bidi w:val="0"/>
                    <w:adjustRightInd w:val="0"/>
                    <w:snapToGrid w:val="0"/>
                    <w:textAlignment w:val="baseline"/>
                    <w:outlineLvl w:val="9"/>
                    <w:rPr>
                      <w:rFonts w:hint="eastAsia" w:ascii="Times New Roman" w:hAnsi="Times New Roman" w:eastAsia="宋体" w:cs="Times New Roman"/>
                      <w:snapToGrid w:val="0"/>
                      <w:color w:val="auto"/>
                      <w:kern w:val="0"/>
                      <w:sz w:val="21"/>
                      <w:szCs w:val="20"/>
                      <w:highlight w:val="none"/>
                      <w:lang w:val="en-US" w:eastAsia="zh-CN" w:bidi="ar-SA"/>
                    </w:rPr>
                  </w:pPr>
                  <w:r>
                    <w:rPr>
                      <w:color w:val="auto"/>
                      <w:highlight w:val="none"/>
                    </w:rPr>
                    <w:t>≤0.0</w:t>
                  </w:r>
                  <w:r>
                    <w:rPr>
                      <w:rFonts w:hint="eastAsia"/>
                      <w:color w:val="auto"/>
                      <w:highlight w:val="none"/>
                      <w:lang w:val="en-US" w:eastAsia="zh-CN"/>
                    </w:rPr>
                    <w:t>1</w:t>
                  </w:r>
                </w:p>
              </w:tc>
              <w:tc>
                <w:tcPr>
                  <w:tcW w:w="698" w:type="pct"/>
                  <w:tcBorders>
                    <w:tl2br w:val="nil"/>
                    <w:tr2bl w:val="nil"/>
                  </w:tcBorders>
                  <w:noWrap w:val="0"/>
                  <w:vAlign w:val="center"/>
                </w:tcPr>
                <w:p>
                  <w:pPr>
                    <w:pStyle w:val="16"/>
                    <w:pageBreakBefore w:val="0"/>
                    <w:kinsoku/>
                    <w:wordWrap/>
                    <w:topLinePunct w:val="0"/>
                    <w:bidi w:val="0"/>
                    <w:outlineLvl w:val="9"/>
                    <w:rPr>
                      <w:rFonts w:hint="eastAsia" w:ascii="Times New Roman" w:hAnsi="Times New Roman" w:eastAsia="宋体" w:cs="Times New Roman"/>
                      <w:snapToGrid w:val="0"/>
                      <w:color w:val="auto"/>
                      <w:kern w:val="0"/>
                      <w:sz w:val="21"/>
                      <w:szCs w:val="20"/>
                      <w:highlight w:val="none"/>
                      <w:lang w:val="en-US" w:eastAsia="zh-CN" w:bidi="ar-SA"/>
                    </w:rPr>
                  </w:pPr>
                  <w:r>
                    <w:rPr>
                      <w:color w:val="auto"/>
                      <w:highlight w:val="none"/>
                    </w:rPr>
                    <w:t>≤0.5</w:t>
                  </w:r>
                </w:p>
              </w:tc>
              <w:tc>
                <w:tcPr>
                  <w:tcW w:w="1398" w:type="pct"/>
                  <w:tcBorders>
                    <w:tl2br w:val="nil"/>
                    <w:tr2bl w:val="nil"/>
                  </w:tcBorders>
                  <w:noWrap w:val="0"/>
                  <w:vAlign w:val="center"/>
                </w:tcPr>
                <w:p>
                  <w:pPr>
                    <w:pStyle w:val="16"/>
                    <w:pageBreakBefore w:val="0"/>
                    <w:kinsoku/>
                    <w:wordWrap/>
                    <w:topLinePunct w:val="0"/>
                    <w:bidi w:val="0"/>
                    <w:outlineLvl w:val="9"/>
                    <w:rPr>
                      <w:rFonts w:hint="eastAsia" w:ascii="Times New Roman" w:hAnsi="Times New Roman" w:eastAsia="宋体" w:cs="Times New Roman"/>
                      <w:snapToGrid w:val="0"/>
                      <w:color w:val="auto"/>
                      <w:kern w:val="0"/>
                      <w:sz w:val="21"/>
                      <w:szCs w:val="20"/>
                      <w:highlight w:val="none"/>
                      <w:lang w:val="en-US" w:eastAsia="zh-CN" w:bidi="ar-SA"/>
                    </w:rPr>
                  </w:pPr>
                  <w:r>
                    <w:rPr>
                      <w:color w:val="auto"/>
                      <w:highlight w:val="none"/>
                    </w:rPr>
                    <w:t>≤0.</w:t>
                  </w:r>
                  <w:r>
                    <w:rPr>
                      <w:rFonts w:hint="eastAsia"/>
                      <w:color w:val="auto"/>
                      <w:highlight w:val="none"/>
                      <w:lang w:val="en-US" w:eastAsia="zh-CN"/>
                    </w:rPr>
                    <w:t>5</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（3）地下水：根据《地下水质量标准》（GB/T14848-2017），项目所在区域地下水主要适用于集中式生活饮用水水源及工、农业用水的地下水，执行Ⅲ类标准，见表3-7。</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表3-7   《地下水质量标准》（GB/T14848-2017）Ⅲ类  单位：mg/L</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868"/>
              <w:gridCol w:w="1005"/>
              <w:gridCol w:w="849"/>
              <w:gridCol w:w="2031"/>
              <w:gridCol w:w="15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pacing w:val="-12"/>
                      <w:sz w:val="21"/>
                      <w:szCs w:val="18"/>
                      <w:highlight w:val="none"/>
                    </w:rPr>
                  </w:pPr>
                  <w:r>
                    <w:rPr>
                      <w:color w:val="auto"/>
                      <w:spacing w:val="-12"/>
                      <w:sz w:val="21"/>
                      <w:szCs w:val="18"/>
                      <w:highlight w:val="none"/>
                    </w:rPr>
                    <w:t>序号</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污染物</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标准值</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pacing w:val="-12"/>
                      <w:sz w:val="21"/>
                      <w:szCs w:val="18"/>
                      <w:highlight w:val="none"/>
                    </w:rPr>
                    <w:t>序号</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污染物</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pH值</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6.5-8.5</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12</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硝酸盐(</w:t>
                  </w:r>
                  <w:r>
                    <w:rPr>
                      <w:rFonts w:hint="eastAsia" w:eastAsia="宋体"/>
                      <w:color w:val="auto"/>
                      <w:sz w:val="21"/>
                      <w:szCs w:val="18"/>
                      <w:highlight w:val="none"/>
                      <w:lang w:eastAsia="zh-CN"/>
                    </w:rPr>
                    <w:t>mg/L</w:t>
                  </w:r>
                  <w:r>
                    <w:rPr>
                      <w:color w:val="auto"/>
                      <w:sz w:val="21"/>
                      <w:szCs w:val="18"/>
                      <w:highlight w:val="none"/>
                    </w:rPr>
                    <w:t>)</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总硬度(</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≤450</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13</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亚硝酸盐(</w:t>
                  </w:r>
                  <w:r>
                    <w:rPr>
                      <w:rFonts w:hint="eastAsia" w:eastAsia="宋体"/>
                      <w:color w:val="auto"/>
                      <w:sz w:val="21"/>
                      <w:szCs w:val="18"/>
                      <w:highlight w:val="none"/>
                      <w:lang w:eastAsia="zh-CN"/>
                    </w:rPr>
                    <w:t>mg/L</w:t>
                  </w:r>
                  <w:r>
                    <w:rPr>
                      <w:color w:val="auto"/>
                      <w:sz w:val="21"/>
                      <w:szCs w:val="18"/>
                      <w:highlight w:val="none"/>
                    </w:rPr>
                    <w:t>)</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3</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氨氮(</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≤0.50</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14</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氯化物(</w:t>
                  </w:r>
                  <w:r>
                    <w:rPr>
                      <w:rFonts w:hint="eastAsia" w:eastAsia="宋体"/>
                      <w:color w:val="auto"/>
                      <w:sz w:val="21"/>
                      <w:szCs w:val="18"/>
                      <w:highlight w:val="none"/>
                      <w:lang w:eastAsia="zh-CN"/>
                    </w:rPr>
                    <w:t>mg/L</w:t>
                  </w:r>
                  <w:r>
                    <w:rPr>
                      <w:color w:val="auto"/>
                      <w:sz w:val="21"/>
                      <w:szCs w:val="18"/>
                      <w:highlight w:val="none"/>
                    </w:rPr>
                    <w:t>)</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4</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挥发酚(</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≤0.002</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15</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氟化物(</w:t>
                  </w:r>
                  <w:r>
                    <w:rPr>
                      <w:rFonts w:hint="eastAsia" w:eastAsia="宋体"/>
                      <w:color w:val="auto"/>
                      <w:sz w:val="21"/>
                      <w:szCs w:val="18"/>
                      <w:highlight w:val="none"/>
                      <w:lang w:eastAsia="zh-CN"/>
                    </w:rPr>
                    <w:t>mg/L</w:t>
                  </w:r>
                  <w:r>
                    <w:rPr>
                      <w:color w:val="auto"/>
                      <w:sz w:val="21"/>
                      <w:szCs w:val="18"/>
                      <w:highlight w:val="none"/>
                    </w:rPr>
                    <w:t>)</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5</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砷(</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≤0.01</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16</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硫酸盐(</w:t>
                  </w:r>
                  <w:r>
                    <w:rPr>
                      <w:rFonts w:hint="eastAsia" w:eastAsia="宋体"/>
                      <w:color w:val="auto"/>
                      <w:sz w:val="21"/>
                      <w:szCs w:val="18"/>
                      <w:highlight w:val="none"/>
                      <w:lang w:eastAsia="zh-CN"/>
                    </w:rPr>
                    <w:t>mg/L</w:t>
                  </w:r>
                  <w:r>
                    <w:rPr>
                      <w:color w:val="auto"/>
                      <w:sz w:val="21"/>
                      <w:szCs w:val="18"/>
                      <w:highlight w:val="none"/>
                    </w:rPr>
                    <w:t>)</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6</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铅(</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≤0.01</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17</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菌落总数(CFU/mL)</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7</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镉(</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≤0.005</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18</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总大肠菌群(CFU/ 100mL)</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8</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铬（六价）(</w:t>
                  </w:r>
                  <w:r>
                    <w:rPr>
                      <w:rFonts w:hint="eastAsia" w:eastAsia="宋体"/>
                      <w:color w:val="auto"/>
                      <w:sz w:val="21"/>
                      <w:szCs w:val="18"/>
                      <w:highlight w:val="none"/>
                      <w:lang w:eastAsia="zh-CN"/>
                    </w:rPr>
                    <w:t>mg/L</w:t>
                  </w:r>
                  <w:r>
                    <w:rPr>
                      <w:color w:val="auto"/>
                      <w:sz w:val="21"/>
                      <w:szCs w:val="18"/>
                      <w:highlight w:val="none"/>
                    </w:rPr>
                    <w:t>)</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≤0.05</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19</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氰化物</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9</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铁</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≤0.3</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20</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锰</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10</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溶解性总固体</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≤1000</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21</w:t>
                  </w: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耗氧量</w:t>
                  </w: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7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11</w:t>
                  </w:r>
                </w:p>
              </w:tc>
              <w:tc>
                <w:tcPr>
                  <w:tcW w:w="1162"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汞</w:t>
                  </w:r>
                </w:p>
              </w:tc>
              <w:tc>
                <w:tcPr>
                  <w:tcW w:w="625"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r>
                    <w:rPr>
                      <w:color w:val="auto"/>
                      <w:sz w:val="21"/>
                      <w:szCs w:val="18"/>
                      <w:highlight w:val="none"/>
                    </w:rPr>
                    <w:t>≤0.001</w:t>
                  </w:r>
                </w:p>
              </w:tc>
              <w:tc>
                <w:tcPr>
                  <w:tcW w:w="52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p>
              </w:tc>
              <w:tc>
                <w:tcPr>
                  <w:tcW w:w="1263"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p>
              </w:tc>
              <w:tc>
                <w:tcPr>
                  <w:tcW w:w="948" w:type="pct"/>
                  <w:tcBorders>
                    <w:tl2br w:val="nil"/>
                    <w:tr2bl w:val="nil"/>
                  </w:tcBorders>
                  <w:noWrap w:val="0"/>
                  <w:vAlign w:val="center"/>
                </w:tcPr>
                <w:p>
                  <w:pPr>
                    <w:pageBreakBefore w:val="0"/>
                    <w:kinsoku/>
                    <w:wordWrap/>
                    <w:topLinePunct w:val="0"/>
                    <w:bidi w:val="0"/>
                    <w:spacing w:line="240" w:lineRule="exact"/>
                    <w:jc w:val="center"/>
                    <w:outlineLvl w:val="9"/>
                    <w:rPr>
                      <w:color w:val="auto"/>
                      <w:sz w:val="21"/>
                      <w:szCs w:val="18"/>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（4）声环境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根据《声环境质量标准》（GB3096-2008），本项目所在区域执行1类标准。见表3-8。</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表3-8  《声环境质量标准》（GB3096-2008）单位：dB（A）</w:t>
            </w:r>
          </w:p>
          <w:tbl>
            <w:tblPr>
              <w:tblStyle w:val="7"/>
              <w:tblW w:w="4999" w:type="pct"/>
              <w:tblInd w:w="15"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08"/>
              <w:gridCol w:w="2969"/>
              <w:gridCol w:w="305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trPr>
              <w:tc>
                <w:tcPr>
                  <w:tcW w:w="1249"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ascii="Times New Roman" w:hAnsi="Times New Roman" w:cs="Times New Roman"/>
                      <w:color w:val="auto"/>
                      <w:highlight w:val="none"/>
                    </w:rPr>
                  </w:pPr>
                  <w:r>
                    <w:rPr>
                      <w:rFonts w:ascii="Times New Roman" w:hAnsi="Times New Roman" w:cs="Times New Roman"/>
                      <w:color w:val="auto"/>
                      <w:highlight w:val="none"/>
                    </w:rPr>
                    <w:t>类别</w:t>
                  </w:r>
                </w:p>
              </w:tc>
              <w:tc>
                <w:tcPr>
                  <w:tcW w:w="1847"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ascii="Times New Roman" w:hAnsi="Times New Roman" w:cs="Times New Roman"/>
                      <w:color w:val="auto"/>
                      <w:highlight w:val="none"/>
                    </w:rPr>
                  </w:pPr>
                  <w:r>
                    <w:rPr>
                      <w:rFonts w:ascii="Times New Roman" w:hAnsi="Times New Roman" w:cs="Times New Roman"/>
                      <w:color w:val="auto"/>
                      <w:highlight w:val="none"/>
                    </w:rPr>
                    <w:t>昼间dB(A)</w:t>
                  </w:r>
                </w:p>
              </w:tc>
              <w:tc>
                <w:tcPr>
                  <w:tcW w:w="1902"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ascii="Times New Roman" w:hAnsi="Times New Roman" w:cs="Times New Roman"/>
                      <w:color w:val="auto"/>
                      <w:highlight w:val="none"/>
                    </w:rPr>
                  </w:pPr>
                  <w:r>
                    <w:rPr>
                      <w:rFonts w:ascii="Times New Roman" w:hAnsi="Times New Roman" w:cs="Times New Roman"/>
                      <w:color w:val="auto"/>
                      <w:highlight w:val="none"/>
                    </w:rPr>
                    <w:t>夜间dB(A)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49"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1</w:t>
                  </w:r>
                  <w:r>
                    <w:rPr>
                      <w:rFonts w:ascii="Times New Roman" w:hAnsi="Times New Roman" w:cs="Times New Roman"/>
                      <w:color w:val="auto"/>
                      <w:highlight w:val="none"/>
                    </w:rPr>
                    <w:t>类</w:t>
                  </w:r>
                </w:p>
              </w:tc>
              <w:tc>
                <w:tcPr>
                  <w:tcW w:w="1847"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55</w:t>
                  </w:r>
                </w:p>
              </w:tc>
              <w:tc>
                <w:tcPr>
                  <w:tcW w:w="1902" w:type="pct"/>
                  <w:tcBorders>
                    <w:tl2br w:val="nil"/>
                    <w:tr2bl w:val="nil"/>
                  </w:tcBorders>
                  <w:noWrap w:val="0"/>
                  <w:vAlign w:val="center"/>
                </w:tcPr>
                <w:p>
                  <w:pPr>
                    <w:pStyle w:val="4"/>
                    <w:pageBreakBefore w:val="0"/>
                    <w:tabs>
                      <w:tab w:val="left" w:pos="1365"/>
                    </w:tabs>
                    <w:kinsoku/>
                    <w:wordWrap/>
                    <w:topLinePunct w:val="0"/>
                    <w:bidi w:val="0"/>
                    <w:spacing w:line="360" w:lineRule="exact"/>
                    <w:jc w:val="center"/>
                    <w:outlineLvl w:val="9"/>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45</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2</w:t>
            </w:r>
            <w:r>
              <w:rPr>
                <w:rFonts w:hint="eastAsia" w:ascii="Times New Roman" w:hAnsi="Times New Roman" w:eastAsia="宋体" w:cs="Times New Roman"/>
                <w:b/>
                <w:bCs/>
                <w:color w:val="auto"/>
                <w:lang w:val="en-US" w:eastAsia="zh-CN"/>
              </w:rPr>
              <w:t xml:space="preserve">、污染物排放标准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）废气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备用柴油发电机废气排放执行《非道路移动机械用柴油机排气污染物排放限值及测量方法</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中国第三、四阶段</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GB 20891-2014</w:t>
            </w:r>
            <w:r>
              <w:rPr>
                <w:rFonts w:hint="eastAsia" w:ascii="Times New Roman" w:hAnsi="Times New Roman" w:eastAsia="宋体" w:cs="Times New Roman"/>
                <w:color w:val="auto"/>
                <w:lang w:val="en-US" w:eastAsia="zh-CN"/>
              </w:rPr>
              <w:t xml:space="preserve">）中表 </w:t>
            </w:r>
            <w:r>
              <w:rPr>
                <w:rFonts w:hint="default" w:ascii="Times New Roman" w:hAnsi="Times New Roman" w:eastAsia="宋体" w:cs="Times New Roman"/>
                <w:color w:val="auto"/>
                <w:lang w:val="en-US" w:eastAsia="zh-CN"/>
              </w:rPr>
              <w:t xml:space="preserve">2 </w:t>
            </w:r>
            <w:r>
              <w:rPr>
                <w:rFonts w:hint="eastAsia" w:ascii="Times New Roman" w:hAnsi="Times New Roman" w:eastAsia="宋体" w:cs="Times New Roman"/>
                <w:color w:val="auto"/>
                <w:lang w:val="en-US" w:eastAsia="zh-CN"/>
              </w:rPr>
              <w:t>标准限值要求。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（2）噪声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施工噪声排放标准：本项目建设施工厂界噪声排放标准执行《建筑施工场界环境噪声排放标准》（GB12523-2011），标准值详见表3-9。</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表3-9  《建筑施工场界环境噪声排放标准》</w:t>
            </w:r>
          </w:p>
          <w:tbl>
            <w:tblPr>
              <w:tblStyle w:val="7"/>
              <w:tblW w:w="4999"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017"/>
              <w:gridCol w:w="401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500" w:type="pct"/>
                  <w:tcBorders>
                    <w:tl2br w:val="nil"/>
                    <w:tr2bl w:val="nil"/>
                  </w:tcBorders>
                  <w:noWrap w:val="0"/>
                  <w:vAlign w:val="center"/>
                </w:tcPr>
                <w:p>
                  <w:pPr>
                    <w:pageBreakBefore w:val="0"/>
                    <w:tabs>
                      <w:tab w:val="left" w:pos="3165"/>
                    </w:tabs>
                    <w:kinsoku/>
                    <w:wordWrap/>
                    <w:topLinePunct w:val="0"/>
                    <w:bidi w:val="0"/>
                    <w:spacing w:line="360" w:lineRule="exact"/>
                    <w:jc w:val="center"/>
                    <w:outlineLvl w:val="9"/>
                    <w:rPr>
                      <w:color w:val="auto"/>
                      <w:sz w:val="21"/>
                      <w:szCs w:val="21"/>
                      <w:highlight w:val="none"/>
                    </w:rPr>
                  </w:pPr>
                  <w:r>
                    <w:rPr>
                      <w:color w:val="auto"/>
                      <w:sz w:val="21"/>
                      <w:szCs w:val="21"/>
                      <w:highlight w:val="none"/>
                    </w:rPr>
                    <w:t>昼间</w:t>
                  </w:r>
                </w:p>
              </w:tc>
              <w:tc>
                <w:tcPr>
                  <w:tcW w:w="2500" w:type="pct"/>
                  <w:tcBorders>
                    <w:tl2br w:val="nil"/>
                    <w:tr2bl w:val="nil"/>
                  </w:tcBorders>
                  <w:noWrap w:val="0"/>
                  <w:vAlign w:val="center"/>
                </w:tcPr>
                <w:p>
                  <w:pPr>
                    <w:pageBreakBefore w:val="0"/>
                    <w:kinsoku/>
                    <w:wordWrap/>
                    <w:topLinePunct w:val="0"/>
                    <w:bidi w:val="0"/>
                    <w:spacing w:line="360" w:lineRule="exact"/>
                    <w:jc w:val="center"/>
                    <w:outlineLvl w:val="9"/>
                    <w:rPr>
                      <w:color w:val="auto"/>
                      <w:sz w:val="21"/>
                      <w:szCs w:val="21"/>
                      <w:highlight w:val="none"/>
                    </w:rPr>
                  </w:pPr>
                  <w:r>
                    <w:rPr>
                      <w:color w:val="auto"/>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500" w:type="pct"/>
                  <w:tcBorders>
                    <w:tl2br w:val="nil"/>
                    <w:tr2bl w:val="nil"/>
                  </w:tcBorders>
                  <w:noWrap w:val="0"/>
                  <w:vAlign w:val="center"/>
                </w:tcPr>
                <w:p>
                  <w:pPr>
                    <w:pageBreakBefore w:val="0"/>
                    <w:kinsoku/>
                    <w:wordWrap/>
                    <w:topLinePunct w:val="0"/>
                    <w:bidi w:val="0"/>
                    <w:spacing w:line="360" w:lineRule="exact"/>
                    <w:jc w:val="center"/>
                    <w:outlineLvl w:val="9"/>
                    <w:rPr>
                      <w:color w:val="auto"/>
                      <w:sz w:val="21"/>
                      <w:szCs w:val="21"/>
                      <w:highlight w:val="none"/>
                    </w:rPr>
                  </w:pPr>
                  <w:r>
                    <w:rPr>
                      <w:color w:val="auto"/>
                      <w:sz w:val="21"/>
                      <w:szCs w:val="21"/>
                      <w:highlight w:val="none"/>
                    </w:rPr>
                    <w:t>70</w:t>
                  </w:r>
                </w:p>
              </w:tc>
              <w:tc>
                <w:tcPr>
                  <w:tcW w:w="2500" w:type="pct"/>
                  <w:tcBorders>
                    <w:tl2br w:val="nil"/>
                    <w:tr2bl w:val="nil"/>
                  </w:tcBorders>
                  <w:noWrap w:val="0"/>
                  <w:vAlign w:val="center"/>
                </w:tcPr>
                <w:p>
                  <w:pPr>
                    <w:pageBreakBefore w:val="0"/>
                    <w:kinsoku/>
                    <w:wordWrap/>
                    <w:topLinePunct w:val="0"/>
                    <w:bidi w:val="0"/>
                    <w:spacing w:line="360" w:lineRule="exact"/>
                    <w:jc w:val="center"/>
                    <w:outlineLvl w:val="9"/>
                    <w:rPr>
                      <w:color w:val="auto"/>
                      <w:sz w:val="21"/>
                      <w:szCs w:val="21"/>
                      <w:highlight w:val="none"/>
                    </w:rPr>
                  </w:pPr>
                  <w:r>
                    <w:rPr>
                      <w:color w:val="auto"/>
                      <w:sz w:val="21"/>
                      <w:szCs w:val="21"/>
                      <w:highlight w:val="none"/>
                    </w:rPr>
                    <w:t>55</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 xml:space="preserve">）固体废物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①一般固体废物执行《一般工业固体废物贮存和填埋污染控制标准》（</w:t>
            </w:r>
            <w:r>
              <w:rPr>
                <w:rFonts w:hint="default" w:ascii="Times New Roman" w:hAnsi="Times New Roman" w:eastAsia="宋体" w:cs="Times New Roman"/>
                <w:color w:val="auto"/>
                <w:lang w:val="en-US" w:eastAsia="zh-CN"/>
              </w:rPr>
              <w:t>GB18599-2020</w:t>
            </w:r>
            <w:r>
              <w:rPr>
                <w:rFonts w:hint="eastAsia" w:ascii="Times New Roman" w:hAnsi="Times New Roman" w:eastAsia="宋体" w:cs="Times New Roman"/>
                <w:color w:val="auto"/>
                <w:lang w:val="en-US" w:eastAsia="zh-CN"/>
              </w:rPr>
              <w:t>）中相关规定。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kern w:val="0"/>
                <w:szCs w:val="21"/>
                <w:lang w:val="en-US" w:eastAsia="zh-CN"/>
              </w:rPr>
            </w:pPr>
            <w:r>
              <w:rPr>
                <w:rFonts w:hint="eastAsia" w:ascii="Times New Roman" w:hAnsi="Times New Roman" w:eastAsia="宋体" w:cs="Times New Roman"/>
                <w:color w:val="auto"/>
                <w:lang w:val="en-US" w:eastAsia="zh-CN"/>
              </w:rPr>
              <w:t>②危险废物执行《危险废物贮存污染控制标准》（</w:t>
            </w:r>
            <w:r>
              <w:rPr>
                <w:rFonts w:hint="default" w:ascii="Times New Roman" w:hAnsi="Times New Roman" w:eastAsia="宋体" w:cs="Times New Roman"/>
                <w:color w:val="auto"/>
                <w:lang w:val="en-US" w:eastAsia="zh-CN"/>
              </w:rPr>
              <w:t>GB18597-2001</w:t>
            </w:r>
            <w:r>
              <w:rPr>
                <w:rFonts w:hint="eastAsia" w:ascii="Times New Roman" w:hAnsi="Times New Roman" w:eastAsia="宋体" w:cs="Times New Roman"/>
                <w:color w:val="auto"/>
                <w:lang w:val="en-US" w:eastAsia="zh-CN"/>
              </w:rPr>
              <w:t>）及标准修改单。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84" w:hRule="atLeast"/>
          <w:jc w:val="center"/>
        </w:trPr>
        <w:tc>
          <w:tcPr>
            <w:tcW w:w="904" w:type="dxa"/>
            <w:noWrap w:val="0"/>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其他</w:t>
            </w:r>
          </w:p>
        </w:tc>
        <w:tc>
          <w:tcPr>
            <w:tcW w:w="82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根据晋环发</w:t>
            </w:r>
            <w:r>
              <w:rPr>
                <w:rFonts w:hint="default" w:ascii="Times New Roman" w:hAnsi="Times New Roman" w:eastAsia="宋体" w:cs="Times New Roman"/>
                <w:color w:val="auto"/>
                <w:lang w:val="en-US" w:eastAsia="zh-CN"/>
              </w:rPr>
              <w:t>[2015]25</w:t>
            </w:r>
            <w:r>
              <w:rPr>
                <w:rFonts w:hint="eastAsia" w:ascii="Times New Roman" w:hAnsi="Times New Roman" w:eastAsia="宋体" w:cs="Times New Roman"/>
                <w:color w:val="auto"/>
                <w:lang w:val="en-US" w:eastAsia="zh-CN"/>
              </w:rPr>
              <w:t>号山西省环境保护厅关于印发《山西省环境保护厅建设项目主要污染物排放总量核定办法》的通知第三条规定：属于环境统计重点工业源调查行业范围内（《国民经济行业分类》（</w:t>
            </w:r>
            <w:r>
              <w:rPr>
                <w:rFonts w:hint="default" w:ascii="Times New Roman" w:hAnsi="Times New Roman" w:eastAsia="宋体" w:cs="Times New Roman"/>
                <w:color w:val="auto"/>
                <w:lang w:val="en-US" w:eastAsia="zh-CN"/>
              </w:rPr>
              <w:t>GB/T4754-2017</w:t>
            </w:r>
            <w:r>
              <w:rPr>
                <w:rFonts w:hint="eastAsia" w:ascii="Times New Roman" w:hAnsi="Times New Roman" w:eastAsia="宋体" w:cs="Times New Roman"/>
                <w:color w:val="auto"/>
                <w:lang w:val="en-US" w:eastAsia="zh-CN"/>
              </w:rPr>
              <w:t>）中采矿业、制造业，电力、燃气及水的生产和供应业，</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个门类</w:t>
            </w:r>
            <w:r>
              <w:rPr>
                <w:rFonts w:hint="default" w:ascii="Times New Roman" w:hAnsi="Times New Roman" w:eastAsia="宋体" w:cs="Times New Roman"/>
                <w:color w:val="auto"/>
                <w:lang w:val="en-US" w:eastAsia="zh-CN"/>
              </w:rPr>
              <w:t>39</w:t>
            </w:r>
            <w:r>
              <w:rPr>
                <w:rFonts w:hint="eastAsia" w:ascii="Times New Roman" w:hAnsi="Times New Roman" w:eastAsia="宋体" w:cs="Times New Roman"/>
                <w:color w:val="auto"/>
                <w:lang w:val="en-US" w:eastAsia="zh-CN"/>
              </w:rPr>
              <w:t xml:space="preserve">个行业的企业）新增主要污染物排放总量的建设项目，在环境影响评价文件审批前，由建设单位按本办法规定向环境保护主管部门申请核定主要污染物排放总量指标。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cs="宋体"/>
                <w:color w:val="auto"/>
                <w:kern w:val="0"/>
                <w:szCs w:val="21"/>
              </w:rPr>
            </w:pPr>
            <w:r>
              <w:rPr>
                <w:rFonts w:hint="eastAsia" w:ascii="Times New Roman" w:hAnsi="Times New Roman" w:eastAsia="宋体" w:cs="Times New Roman"/>
                <w:color w:val="auto"/>
                <w:lang w:val="en-US" w:eastAsia="zh-CN"/>
              </w:rPr>
              <w:t>本项目不涉及总量控制指标。</w:t>
            </w:r>
          </w:p>
        </w:tc>
      </w:tr>
    </w:tbl>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cs="Times New Roman"/>
          <w:snapToGrid w:val="0"/>
          <w:color w:val="auto"/>
          <w:sz w:val="30"/>
          <w:szCs w:val="30"/>
        </w:rPr>
      </w:pPr>
      <w:r>
        <w:rPr>
          <w:rFonts w:hint="eastAsia" w:ascii="黑体" w:hAnsi="黑体" w:eastAsia="黑体" w:cs="Times New Roman"/>
          <w:snapToGrid w:val="0"/>
          <w:color w:val="auto"/>
          <w:sz w:val="30"/>
          <w:szCs w:val="30"/>
        </w:rPr>
        <w:t>四、生态环境影响分析</w:t>
      </w:r>
    </w:p>
    <w:tbl>
      <w:tblPr>
        <w:tblStyle w:val="7"/>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77" w:hRule="atLeast"/>
          <w:jc w:val="center"/>
        </w:trPr>
        <w:tc>
          <w:tcPr>
            <w:tcW w:w="879" w:type="dxa"/>
            <w:noWrap w:val="0"/>
            <w:tcMar>
              <w:left w:w="28" w:type="dxa"/>
              <w:right w:w="28" w:type="dxa"/>
            </w:tcMar>
            <w:vAlign w:val="center"/>
          </w:tcPr>
          <w:p>
            <w:pPr>
              <w:pStyle w:val="6"/>
              <w:adjustRightInd w:val="0"/>
              <w:snapToGrid w:val="0"/>
              <w:spacing w:before="0" w:beforeAutospacing="0" w:after="0" w:afterAutospacing="0"/>
              <w:jc w:val="center"/>
              <w:rPr>
                <w:rFonts w:cs="宋体"/>
                <w:bCs/>
                <w:color w:val="auto"/>
                <w:kern w:val="2"/>
                <w:sz w:val="21"/>
                <w:szCs w:val="21"/>
              </w:rPr>
            </w:pPr>
            <w:bookmarkStart w:id="11" w:name="_Hlk49796138"/>
            <w:r>
              <w:rPr>
                <w:rFonts w:hint="eastAsia" w:cs="宋体"/>
                <w:bCs/>
                <w:color w:val="auto"/>
                <w:spacing w:val="10"/>
                <w:kern w:val="2"/>
                <w:sz w:val="21"/>
                <w:szCs w:val="21"/>
              </w:rPr>
              <w:t>施工期生态环境影响分析</w:t>
            </w:r>
            <w:bookmarkEnd w:id="11"/>
          </w:p>
        </w:tc>
        <w:tc>
          <w:tcPr>
            <w:tcW w:w="836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施工期对环境影响主耍表现在施工扬尘、施工噪声、施工期固体废弃物、施工废水及生态环境影响等方面。由于本项目施工作业主要在项目区范围内进行，所以施工期噪声、施工废弃物、扬尘的影响在时空的作用上均很有限，施工结束后，此类影响即消失。施工期的环境影响是短期的、轻微的和小范围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color w:val="auto"/>
                <w:lang w:val="en-US" w:eastAsia="zh-CN"/>
              </w:rPr>
              <w:t>1、施工期大气环境影响分析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期间对环境空气影响最大的是施工扬尘，主要来源有：现场道路扬尘、细颗粒材料露天堆放扬尘、土方、砂石扬尘、施工机械排放的尾气等。其中场地清理、建筑材料装卸运输等工序产生量较大，堆存、设备安装等产生量较小或不产生扬尘。由于污染源为间歇性并且扬尘点低，只会在近距离内形成局部污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运输扬尘：施工期扬尘主要为运输车辆行驶产生的扬尘。在同样路面清洁程度条件下，车速越快，扬尘量越大；而在同样车速情况下，路面越脏，则扬尘量越大。因此，施工期间限速行驶及保持路面的清洁是减少运输扬尘的有效手段。在施工期间对行驶车辆的路面实施洒水抑尘，每天洒水4-5次可有效</w:t>
            </w:r>
            <w:r>
              <w:rPr>
                <w:color w:val="auto"/>
              </w:rPr>
              <w:t>地控制</w:t>
            </w:r>
            <w:r>
              <w:rPr>
                <w:rFonts w:hint="eastAsia"/>
                <w:color w:val="auto"/>
                <w:lang w:val="en-US" w:eastAsia="zh-CN"/>
              </w:rPr>
              <w:t>施工</w:t>
            </w:r>
            <w:r>
              <w:rPr>
                <w:color w:val="auto"/>
              </w:rPr>
              <w:t>扬尘</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裸露场地扬尘：由于施工需要，开挖后的路面在气候干燥且有风的情况下，会产生大量的扬尘。起尘风速与粒径和含水量有关，因此，减少裸露地面和保证一定的含水量是减少风力起尘的有效手段。粉尘在空气中的扩散稀释与风速等气象条件有关，也与粉尘本身的沉降速度有关。主要影响范围在扬尘点下风向近距离范围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施工机械尾气：施工机械排放的尾气主要有</w:t>
            </w:r>
            <w:r>
              <w:rPr>
                <w:rFonts w:hint="default"/>
                <w:color w:val="auto"/>
                <w:lang w:val="en-US" w:eastAsia="zh-CN"/>
              </w:rPr>
              <w:t>CO</w:t>
            </w:r>
            <w:r>
              <w:rPr>
                <w:rFonts w:hint="eastAsia"/>
                <w:color w:val="auto"/>
                <w:lang w:val="en-US" w:eastAsia="zh-CN"/>
              </w:rPr>
              <w:t>、</w:t>
            </w:r>
            <w:r>
              <w:rPr>
                <w:rFonts w:hint="default"/>
                <w:color w:val="auto"/>
                <w:lang w:val="en-US" w:eastAsia="zh-CN"/>
              </w:rPr>
              <w:t>NOx</w:t>
            </w:r>
            <w:r>
              <w:rPr>
                <w:rFonts w:hint="eastAsia"/>
                <w:color w:val="auto"/>
                <w:lang w:val="en-US" w:eastAsia="zh-CN"/>
              </w:rPr>
              <w:t>、</w:t>
            </w:r>
            <w:r>
              <w:rPr>
                <w:rFonts w:hint="default"/>
                <w:color w:val="auto"/>
                <w:lang w:val="en-US" w:eastAsia="zh-CN"/>
              </w:rPr>
              <w:t>THC</w:t>
            </w:r>
            <w:r>
              <w:rPr>
                <w:rFonts w:hint="eastAsia"/>
                <w:color w:val="auto"/>
                <w:lang w:val="en-US" w:eastAsia="zh-CN"/>
              </w:rPr>
              <w:t>等大气污染物；由于工程施工量较小，施工机械数量有限，尾气排放量较小，施工机械设备施工作业时对环境空气的影响范围主要局限于施工区内。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施工过程中产生的扬尘，属无组织排放，在时间和空间上较零散，难以定量计算，本项目施工量较小，产生的施工扬尘和机械尾气较少，预计工程施工作业时对局地区域环境空气影响范围仅限于下风向</w:t>
            </w:r>
            <w:r>
              <w:rPr>
                <w:rFonts w:hint="default"/>
                <w:color w:val="auto"/>
                <w:lang w:val="en-US" w:eastAsia="zh-CN"/>
              </w:rPr>
              <w:t>20~30m</w:t>
            </w:r>
            <w:r>
              <w:rPr>
                <w:rFonts w:hint="eastAsia"/>
                <w:color w:val="auto"/>
                <w:lang w:val="en-US" w:eastAsia="zh-CN"/>
              </w:rPr>
              <w:t xml:space="preserve">范围内，影响时间短，随施工的完成而消失。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color w:val="auto"/>
                <w:lang w:val="en-US" w:eastAsia="zh-CN"/>
              </w:rPr>
              <w:t xml:space="preserve">2、施工期水环境影响分析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施工期废水主要为施工人员的生活污水及施工废水。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期废水和生活污水来自施工用水和施工人员生活用水的排水。施工用水主要为设备冲洗以及场地的降尘洒水等。对施工废水设沉淀池，沉淀后循环利用，基本没有废水外排。施工期设旱厕，施工人员盥洗废水收集沉淀处理后可用于洒水抑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施工废水主要为车辆冲洗废水，环评要求将冲洗废水收集后进行沉淀处理，处理后的上清液可作为施工场地洒水抑尘，从而减轻对周围水环境的影响。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综上所述，施工期产生的废水对周围环境影响很小。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color w:val="auto"/>
                <w:lang w:val="en-US" w:eastAsia="zh-CN"/>
              </w:rPr>
              <w:t>3、施工期声环境影响分析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施工期噪声主要源自施工机械和运输车辆。主要产生噪声的施工机械有起重机、挖掘机、推土机、装载机、压实机、振捣器、空气压缩机等。这些噪声源的噪声级分别在95</w:t>
            </w:r>
            <w:r>
              <w:rPr>
                <w:rFonts w:hint="default"/>
                <w:color w:val="auto"/>
                <w:lang w:val="en-US" w:eastAsia="zh-CN"/>
              </w:rPr>
              <w:t>dB</w:t>
            </w:r>
            <w:r>
              <w:rPr>
                <w:rFonts w:hint="eastAsia"/>
                <w:color w:val="auto"/>
                <w:lang w:val="en-US" w:eastAsia="zh-CN"/>
              </w:rPr>
              <w:t>（</w:t>
            </w:r>
            <w:r>
              <w:rPr>
                <w:rFonts w:hint="default"/>
                <w:color w:val="auto"/>
                <w:lang w:val="en-US" w:eastAsia="zh-CN"/>
              </w:rPr>
              <w:t>A</w:t>
            </w:r>
            <w:r>
              <w:rPr>
                <w:rFonts w:hint="eastAsia"/>
                <w:color w:val="auto"/>
                <w:lang w:val="en-US" w:eastAsia="zh-CN"/>
              </w:rPr>
              <w:t>）～10</w:t>
            </w:r>
            <w:r>
              <w:rPr>
                <w:rFonts w:hint="default"/>
                <w:color w:val="auto"/>
                <w:lang w:val="en-US" w:eastAsia="zh-CN"/>
              </w:rPr>
              <w:t>5dB</w:t>
            </w:r>
            <w:r>
              <w:rPr>
                <w:rFonts w:hint="eastAsia"/>
                <w:color w:val="auto"/>
                <w:lang w:val="en-US" w:eastAsia="zh-CN"/>
              </w:rPr>
              <w:t>（</w:t>
            </w:r>
            <w:r>
              <w:rPr>
                <w:rFonts w:hint="default"/>
                <w:color w:val="auto"/>
                <w:lang w:val="en-US" w:eastAsia="zh-CN"/>
              </w:rPr>
              <w:t>A</w:t>
            </w:r>
            <w:r>
              <w:rPr>
                <w:rFonts w:hint="eastAsia"/>
                <w:color w:val="auto"/>
                <w:lang w:val="en-US" w:eastAsia="zh-CN"/>
              </w:rPr>
              <w:t>）之间。施工噪声源可近似为点源，根据点声源衰减模式，可计算出各施工机械的施工场地达标边界距离。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Lp(r)=Lp0-20Log</w:t>
            </w:r>
            <w:r>
              <w:rPr>
                <w:rFonts w:hint="eastAsia"/>
                <w:color w:val="auto"/>
                <w:lang w:val="en-US" w:eastAsia="zh-CN"/>
              </w:rPr>
              <w:t>（</w:t>
            </w:r>
            <w:r>
              <w:rPr>
                <w:rFonts w:hint="default"/>
                <w:color w:val="auto"/>
                <w:lang w:val="en-US" w:eastAsia="zh-CN"/>
              </w:rPr>
              <w:t>r/r0</w:t>
            </w:r>
            <w:r>
              <w:rPr>
                <w:rFonts w:hint="eastAsia"/>
                <w:color w:val="auto"/>
                <w:lang w:val="en-US" w:eastAsia="zh-CN"/>
              </w:rPr>
              <w:t>）</w:t>
            </w:r>
            <w:r>
              <w:rPr>
                <w:rFonts w:hint="default"/>
                <w:color w:val="auto"/>
                <w:lang w:val="en-US" w:eastAsia="zh-CN"/>
              </w:rPr>
              <w:t>-</w:t>
            </w:r>
            <w:r>
              <w:rPr>
                <w:rFonts w:hint="eastAsia"/>
                <w:color w:val="auto"/>
                <w:lang w:val="en-US" w:eastAsia="zh-CN"/>
              </w:rPr>
              <w:t>△</w:t>
            </w:r>
            <w:r>
              <w:rPr>
                <w:rFonts w:hint="default"/>
                <w:color w:val="auto"/>
                <w:lang w:val="en-US" w:eastAsia="zh-CN"/>
              </w:rPr>
              <w:t xml:space="preserve">L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式中：</w:t>
            </w:r>
            <w:r>
              <w:rPr>
                <w:rFonts w:hint="default"/>
                <w:color w:val="auto"/>
                <w:lang w:val="en-US" w:eastAsia="zh-CN"/>
              </w:rPr>
              <w:t>Lp</w:t>
            </w:r>
            <w:r>
              <w:rPr>
                <w:rFonts w:hint="eastAsia"/>
                <w:color w:val="auto"/>
                <w:lang w:val="en-US" w:eastAsia="zh-CN"/>
              </w:rPr>
              <w:t>－距声源</w:t>
            </w:r>
            <w:r>
              <w:rPr>
                <w:rFonts w:hint="default"/>
                <w:color w:val="auto"/>
                <w:lang w:val="en-US" w:eastAsia="zh-CN"/>
              </w:rPr>
              <w:t>r</w:t>
            </w:r>
            <w:r>
              <w:rPr>
                <w:rFonts w:hint="eastAsia"/>
                <w:color w:val="auto"/>
                <w:lang w:val="en-US" w:eastAsia="zh-CN"/>
              </w:rPr>
              <w:t>处声压级，</w:t>
            </w:r>
            <w:r>
              <w:rPr>
                <w:rFonts w:hint="default"/>
                <w:color w:val="auto"/>
                <w:lang w:val="en-US" w:eastAsia="zh-CN"/>
              </w:rPr>
              <w:t>dB</w:t>
            </w:r>
            <w:r>
              <w:rPr>
                <w:rFonts w:hint="eastAsia"/>
                <w:color w:val="auto"/>
                <w:lang w:val="en-US" w:eastAsia="zh-CN"/>
              </w:rPr>
              <w:t>（</w:t>
            </w:r>
            <w:r>
              <w:rPr>
                <w:rFonts w:hint="default"/>
                <w:color w:val="auto"/>
                <w:lang w:val="en-US" w:eastAsia="zh-CN"/>
              </w:rPr>
              <w:t>A</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Lp0</w:t>
            </w:r>
            <w:r>
              <w:rPr>
                <w:rFonts w:hint="eastAsia"/>
                <w:color w:val="auto"/>
                <w:lang w:val="en-US" w:eastAsia="zh-CN"/>
              </w:rPr>
              <w:t>－距声源</w:t>
            </w:r>
            <w:r>
              <w:rPr>
                <w:rFonts w:hint="default"/>
                <w:color w:val="auto"/>
                <w:lang w:val="en-US" w:eastAsia="zh-CN"/>
              </w:rPr>
              <w:t>r0</w:t>
            </w:r>
            <w:r>
              <w:rPr>
                <w:rFonts w:hint="eastAsia"/>
                <w:color w:val="auto"/>
                <w:lang w:val="en-US" w:eastAsia="zh-CN"/>
              </w:rPr>
              <w:t>处声压级，</w:t>
            </w:r>
            <w:r>
              <w:rPr>
                <w:rFonts w:hint="default"/>
                <w:color w:val="auto"/>
                <w:lang w:val="en-US" w:eastAsia="zh-CN"/>
              </w:rPr>
              <w:t>dB</w:t>
            </w:r>
            <w:r>
              <w:rPr>
                <w:rFonts w:hint="eastAsia"/>
                <w:color w:val="auto"/>
                <w:lang w:val="en-US" w:eastAsia="zh-CN"/>
              </w:rPr>
              <w:t>（</w:t>
            </w:r>
            <w:r>
              <w:rPr>
                <w:rFonts w:hint="default"/>
                <w:color w:val="auto"/>
                <w:lang w:val="en-US" w:eastAsia="zh-CN"/>
              </w:rPr>
              <w:t>A</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L</w:t>
            </w:r>
            <w:r>
              <w:rPr>
                <w:rFonts w:hint="eastAsia"/>
                <w:color w:val="auto"/>
                <w:lang w:val="en-US" w:eastAsia="zh-CN"/>
              </w:rPr>
              <w:t>－各种衰减量（除发散衰减量外），</w:t>
            </w:r>
            <w:r>
              <w:rPr>
                <w:rFonts w:hint="default"/>
                <w:color w:val="auto"/>
                <w:lang w:val="en-US" w:eastAsia="zh-CN"/>
              </w:rPr>
              <w:t>dB</w:t>
            </w:r>
            <w:r>
              <w:rPr>
                <w:rFonts w:hint="eastAsia"/>
                <w:color w:val="auto"/>
                <w:lang w:val="en-US" w:eastAsia="zh-CN"/>
              </w:rPr>
              <w:t>（</w:t>
            </w:r>
            <w:r>
              <w:rPr>
                <w:rFonts w:hint="default"/>
                <w:color w:val="auto"/>
                <w:lang w:val="en-US" w:eastAsia="zh-CN"/>
              </w:rPr>
              <w:t>A</w:t>
            </w:r>
            <w:r>
              <w:rPr>
                <w:rFonts w:hint="eastAsia"/>
                <w:color w:val="auto"/>
                <w:lang w:val="en-US" w:eastAsia="zh-CN"/>
              </w:rPr>
              <w:t>）。室外噪声源△</w:t>
            </w:r>
            <w:r>
              <w:rPr>
                <w:rFonts w:hint="default"/>
                <w:color w:val="auto"/>
                <w:lang w:val="en-US" w:eastAsia="zh-CN"/>
              </w:rPr>
              <w:t>L</w:t>
            </w:r>
            <w:r>
              <w:rPr>
                <w:rFonts w:hint="eastAsia"/>
                <w:color w:val="auto"/>
                <w:lang w:val="en-US" w:eastAsia="zh-CN"/>
              </w:rPr>
              <w:t>取为零。计算时，</w:t>
            </w:r>
            <w:r>
              <w:rPr>
                <w:rFonts w:hint="default"/>
                <w:color w:val="auto"/>
                <w:lang w:val="en-US" w:eastAsia="zh-CN"/>
              </w:rPr>
              <w:t>Lp</w:t>
            </w:r>
            <w:r>
              <w:rPr>
                <w:rFonts w:hint="eastAsia"/>
                <w:color w:val="auto"/>
                <w:lang w:val="en-US" w:eastAsia="zh-CN"/>
              </w:rPr>
              <w:t>为符合</w:t>
            </w:r>
            <w:r>
              <w:rPr>
                <w:rFonts w:hint="default"/>
                <w:color w:val="auto"/>
                <w:lang w:val="en-US" w:eastAsia="zh-CN"/>
              </w:rPr>
              <w:t>GB12523-2011</w:t>
            </w:r>
            <w:r>
              <w:rPr>
                <w:rFonts w:hint="eastAsia"/>
                <w:color w:val="auto"/>
                <w:lang w:val="en-US" w:eastAsia="zh-CN"/>
              </w:rPr>
              <w:t>规定的施工场界噪声限值，</w:t>
            </w:r>
            <w:r>
              <w:rPr>
                <w:rFonts w:hint="default"/>
                <w:color w:val="auto"/>
                <w:lang w:val="en-US" w:eastAsia="zh-CN"/>
              </w:rPr>
              <w:t>Lp0</w:t>
            </w:r>
            <w:r>
              <w:rPr>
                <w:rFonts w:hint="eastAsia"/>
                <w:color w:val="auto"/>
                <w:lang w:val="en-US" w:eastAsia="zh-CN"/>
              </w:rPr>
              <w:t>为施工机械设备的噪声值，计算出的各施工机械达标边界距离列于表</w:t>
            </w:r>
            <w:r>
              <w:rPr>
                <w:rFonts w:hint="default"/>
                <w:color w:val="auto"/>
                <w:lang w:val="en-US" w:eastAsia="zh-CN"/>
              </w:rPr>
              <w:t>4-1</w:t>
            </w:r>
            <w:r>
              <w:rPr>
                <w:rFonts w:hint="eastAsia"/>
                <w:color w:val="auto"/>
                <w:lang w:val="en-US" w:eastAsia="zh-CN"/>
              </w:rPr>
              <w:t xml:space="preserve">。 </w:t>
            </w:r>
          </w:p>
          <w:p>
            <w:pPr>
              <w:pStyle w:val="17"/>
              <w:keepNext w:val="0"/>
              <w:keepLines w:val="0"/>
              <w:widowControl w:val="0"/>
              <w:shd w:val="clear" w:color="auto" w:fill="auto"/>
              <w:tabs>
                <w:tab w:val="left" w:pos="749"/>
              </w:tabs>
              <w:bidi w:val="0"/>
              <w:spacing w:before="0" w:after="0" w:line="240" w:lineRule="auto"/>
              <w:ind w:left="0" w:right="0" w:firstLine="0"/>
              <w:jc w:val="center"/>
              <w:rPr>
                <w:rFonts w:hint="eastAsia"/>
                <w:color w:val="auto"/>
                <w:lang w:val="en-US" w:eastAsia="zh-CN"/>
              </w:rPr>
            </w:pPr>
            <w:r>
              <w:rPr>
                <w:color w:val="auto"/>
              </w:rPr>
              <w:t>表</w:t>
            </w:r>
            <w:r>
              <w:rPr>
                <w:rFonts w:hint="eastAsia"/>
                <w:color w:val="auto"/>
                <w:lang w:val="en-US" w:eastAsia="zh-CN"/>
              </w:rPr>
              <w:t xml:space="preserve">4-1  </w:t>
            </w:r>
            <w:r>
              <w:rPr>
                <w:color w:val="auto"/>
              </w:rPr>
              <w:t>主要机械设备噪声值及达标距离</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876"/>
              <w:gridCol w:w="920"/>
              <w:gridCol w:w="821"/>
              <w:gridCol w:w="779"/>
              <w:gridCol w:w="779"/>
              <w:gridCol w:w="833"/>
              <w:gridCol w:w="836"/>
              <w:gridCol w:w="1207"/>
              <w:gridCol w:w="10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82" w:hRule="exact"/>
                <w:jc w:val="center"/>
              </w:trPr>
              <w:tc>
                <w:tcPr>
                  <w:tcW w:w="538" w:type="pct"/>
                  <w:vMerge w:val="restar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声源</w:t>
                  </w:r>
                </w:p>
              </w:tc>
              <w:tc>
                <w:tcPr>
                  <w:tcW w:w="565" w:type="pct"/>
                  <w:vMerge w:val="restar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声功率级</w:t>
                  </w:r>
                  <w:r>
                    <w:rPr>
                      <w:color w:val="auto"/>
                      <w:lang w:val="en-US" w:eastAsia="en-US"/>
                    </w:rPr>
                    <w:t>dB(A)</w:t>
                  </w:r>
                </w:p>
              </w:tc>
              <w:tc>
                <w:tcPr>
                  <w:tcW w:w="2484" w:type="pct"/>
                  <w:gridSpan w:val="5"/>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各声源衰减预测值</w:t>
                  </w:r>
                  <w:r>
                    <w:rPr>
                      <w:color w:val="auto"/>
                      <w:lang w:val="en-US" w:eastAsia="en-US"/>
                    </w:rPr>
                    <w:t>(dB(A))</w:t>
                  </w:r>
                </w:p>
              </w:tc>
              <w:tc>
                <w:tcPr>
                  <w:tcW w:w="1412" w:type="pct"/>
                  <w:gridSpan w:val="2"/>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达标距离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742" w:hRule="exact"/>
                <w:jc w:val="center"/>
              </w:trPr>
              <w:tc>
                <w:tcPr>
                  <w:tcW w:w="538" w:type="pct"/>
                  <w:vMerge w:val="continue"/>
                  <w:tcBorders>
                    <w:tl2br w:val="nil"/>
                    <w:tr2bl w:val="nil"/>
                  </w:tcBorders>
                  <w:noWrap w:val="0"/>
                  <w:vAlign w:val="center"/>
                </w:tcPr>
                <w:p>
                  <w:pPr>
                    <w:pageBreakBefore w:val="0"/>
                    <w:kinsoku/>
                    <w:wordWrap/>
                    <w:topLinePunct w:val="0"/>
                    <w:bidi w:val="0"/>
                    <w:spacing w:line="360" w:lineRule="exact"/>
                    <w:jc w:val="center"/>
                    <w:outlineLvl w:val="9"/>
                    <w:rPr>
                      <w:color w:val="auto"/>
                    </w:rPr>
                  </w:pPr>
                </w:p>
              </w:tc>
              <w:tc>
                <w:tcPr>
                  <w:tcW w:w="565" w:type="pct"/>
                  <w:vMerge w:val="continue"/>
                  <w:tcBorders>
                    <w:tl2br w:val="nil"/>
                    <w:tr2bl w:val="nil"/>
                  </w:tcBorders>
                  <w:noWrap w:val="0"/>
                  <w:vAlign w:val="center"/>
                </w:tcPr>
                <w:p>
                  <w:pPr>
                    <w:pageBreakBefore w:val="0"/>
                    <w:kinsoku/>
                    <w:wordWrap/>
                    <w:topLinePunct w:val="0"/>
                    <w:bidi w:val="0"/>
                    <w:spacing w:line="360" w:lineRule="exact"/>
                    <w:jc w:val="center"/>
                    <w:outlineLvl w:val="9"/>
                    <w:rPr>
                      <w:color w:val="auto"/>
                    </w:rPr>
                  </w:pP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rFonts w:hint="eastAsia"/>
                      <w:color w:val="auto"/>
                      <w:lang w:eastAsia="zh-CN"/>
                    </w:rPr>
                  </w:pPr>
                  <w:r>
                    <w:rPr>
                      <w:rFonts w:hint="eastAsia"/>
                      <w:color w:val="auto"/>
                      <w:lang w:val="en-US" w:eastAsia="zh-CN"/>
                    </w:rPr>
                    <w:t>1</w:t>
                  </w:r>
                  <w:r>
                    <w:rPr>
                      <w:color w:val="auto"/>
                    </w:rPr>
                    <w:t>00</w:t>
                  </w:r>
                  <w:r>
                    <w:rPr>
                      <w:rFonts w:hint="eastAsia"/>
                      <w:color w:val="auto"/>
                      <w:lang w:val="en-US" w:eastAsia="zh-CN"/>
                    </w:rPr>
                    <w:t>m</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200m</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300</w:t>
                  </w:r>
                  <w:r>
                    <w:rPr>
                      <w:rFonts w:hint="eastAsia"/>
                      <w:color w:val="auto"/>
                      <w:lang w:val="en-US" w:eastAsia="zh-CN"/>
                    </w:rPr>
                    <w:t>m</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400m</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500</w:t>
                  </w:r>
                  <w:r>
                    <w:rPr>
                      <w:rFonts w:hint="eastAsia"/>
                      <w:color w:val="auto"/>
                      <w:lang w:val="en-US" w:eastAsia="zh-CN"/>
                    </w:rPr>
                    <w:t>m</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昼间标准</w:t>
                  </w:r>
                </w:p>
                <w:p>
                  <w:pPr>
                    <w:pageBreakBefore w:val="0"/>
                    <w:kinsoku/>
                    <w:wordWrap/>
                    <w:topLinePunct w:val="0"/>
                    <w:bidi w:val="0"/>
                    <w:spacing w:line="360" w:lineRule="exact"/>
                    <w:jc w:val="center"/>
                    <w:outlineLvl w:val="9"/>
                    <w:rPr>
                      <w:color w:val="auto"/>
                    </w:rPr>
                  </w:pPr>
                  <w:r>
                    <w:rPr>
                      <w:color w:val="auto"/>
                      <w:lang w:val="en-US" w:eastAsia="en-US"/>
                    </w:rPr>
                    <w:t>70dB (A)</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夜间标准</w:t>
                  </w:r>
                </w:p>
                <w:p>
                  <w:pPr>
                    <w:pageBreakBefore w:val="0"/>
                    <w:kinsoku/>
                    <w:wordWrap/>
                    <w:topLinePunct w:val="0"/>
                    <w:bidi w:val="0"/>
                    <w:spacing w:line="360" w:lineRule="exact"/>
                    <w:jc w:val="center"/>
                    <w:outlineLvl w:val="9"/>
                    <w:rPr>
                      <w:color w:val="auto"/>
                    </w:rPr>
                  </w:pPr>
                  <w:r>
                    <w:rPr>
                      <w:color w:val="auto"/>
                      <w:lang w:val="en-US" w:eastAsia="en-US"/>
                    </w:rPr>
                    <w:t>55dB (A)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起重机</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105</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57.0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51.0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47.5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45.0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43.0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23m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127m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82"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挖土机</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105</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57.0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51.0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47.5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45.0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43.0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rFonts w:hint="eastAsia"/>
                      <w:color w:val="auto"/>
                      <w:lang w:eastAsia="zh-CN"/>
                    </w:rPr>
                  </w:pPr>
                  <w:r>
                    <w:rPr>
                      <w:color w:val="auto"/>
                    </w:rPr>
                    <w:t>23</w:t>
                  </w:r>
                  <w:r>
                    <w:rPr>
                      <w:rFonts w:hint="eastAsia"/>
                      <w:color w:val="auto"/>
                      <w:lang w:val="en-US" w:eastAsia="zh-CN"/>
                    </w:rPr>
                    <w:t>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127m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7"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推土机</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100</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52.0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46.0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42.5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40.0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38.0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 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71m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82"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装载机</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rFonts w:hint="eastAsia"/>
                      <w:color w:val="auto"/>
                      <w:lang w:val="en-US" w:eastAsia="zh-CN"/>
                    </w:rPr>
                  </w:pPr>
                  <w:r>
                    <w:rPr>
                      <w:color w:val="auto"/>
                    </w:rPr>
                    <w:t>10</w:t>
                  </w:r>
                  <w:r>
                    <w:rPr>
                      <w:rFonts w:hint="eastAsia"/>
                      <w:color w:val="auto"/>
                      <w:lang w:val="en-US" w:eastAsia="zh-CN"/>
                    </w:rPr>
                    <w:t>0</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52.</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46.0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42.5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40.0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38.0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13m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71m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67"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压实机</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95</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47.0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41.0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37.5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35.0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33.0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7m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40</w:t>
                  </w:r>
                  <w:r>
                    <w:rPr>
                      <w:rFonts w:hint="eastAsia"/>
                      <w:color w:val="auto"/>
                      <w:lang w:val="en-US" w:eastAsia="zh-CN"/>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403" w:hRule="exact"/>
                <w:jc w:val="center"/>
              </w:trPr>
              <w:tc>
                <w:tcPr>
                  <w:tcW w:w="53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振捣棒</w:t>
                  </w:r>
                </w:p>
              </w:tc>
              <w:tc>
                <w:tcPr>
                  <w:tcW w:w="565"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rPr>
                    <w:t>95</w:t>
                  </w:r>
                </w:p>
              </w:tc>
              <w:tc>
                <w:tcPr>
                  <w:tcW w:w="504"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47.0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41.0</w:t>
                  </w:r>
                </w:p>
              </w:tc>
              <w:tc>
                <w:tcPr>
                  <w:tcW w:w="478"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37.5</w:t>
                  </w:r>
                </w:p>
              </w:tc>
              <w:tc>
                <w:tcPr>
                  <w:tcW w:w="51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35.0</w:t>
                  </w:r>
                </w:p>
              </w:tc>
              <w:tc>
                <w:tcPr>
                  <w:tcW w:w="512"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33.0</w:t>
                  </w:r>
                </w:p>
              </w:tc>
              <w:tc>
                <w:tcPr>
                  <w:tcW w:w="741"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7m</w:t>
                  </w:r>
                </w:p>
              </w:tc>
              <w:tc>
                <w:tcPr>
                  <w:tcW w:w="670" w:type="pct"/>
                  <w:tcBorders>
                    <w:tl2br w:val="nil"/>
                    <w:tr2bl w:val="nil"/>
                  </w:tcBorders>
                  <w:noWrap w:val="0"/>
                  <w:vAlign w:val="center"/>
                </w:tcPr>
                <w:p>
                  <w:pPr>
                    <w:pageBreakBefore w:val="0"/>
                    <w:kinsoku/>
                    <w:wordWrap/>
                    <w:topLinePunct w:val="0"/>
                    <w:bidi w:val="0"/>
                    <w:spacing w:line="360" w:lineRule="exact"/>
                    <w:jc w:val="center"/>
                    <w:outlineLvl w:val="9"/>
                    <w:rPr>
                      <w:color w:val="auto"/>
                    </w:rPr>
                  </w:pPr>
                  <w:r>
                    <w:rPr>
                      <w:color w:val="auto"/>
                      <w:lang w:val="en-US" w:eastAsia="en-US"/>
                    </w:rPr>
                    <w:t>40</w:t>
                  </w:r>
                  <w:r>
                    <w:rPr>
                      <w:rFonts w:hint="eastAsia"/>
                      <w:color w:val="auto"/>
                      <w:lang w:val="en-US" w:eastAsia="zh-CN"/>
                    </w:rPr>
                    <w:t>m</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表 </w:t>
            </w:r>
            <w:r>
              <w:rPr>
                <w:rFonts w:hint="default"/>
                <w:color w:val="auto"/>
                <w:lang w:val="en-US" w:eastAsia="zh-CN"/>
              </w:rPr>
              <w:t xml:space="preserve">4-1 </w:t>
            </w:r>
            <w:r>
              <w:rPr>
                <w:rFonts w:hint="eastAsia"/>
                <w:color w:val="auto"/>
                <w:lang w:val="en-US" w:eastAsia="zh-CN"/>
              </w:rPr>
              <w:t xml:space="preserve">可知，距声源 </w:t>
            </w:r>
            <w:r>
              <w:rPr>
                <w:rFonts w:hint="default"/>
                <w:color w:val="auto"/>
                <w:lang w:val="en-US" w:eastAsia="zh-CN"/>
              </w:rPr>
              <w:t xml:space="preserve">200m </w:t>
            </w:r>
            <w:r>
              <w:rPr>
                <w:rFonts w:hint="eastAsia"/>
                <w:color w:val="auto"/>
                <w:lang w:val="en-US" w:eastAsia="zh-CN"/>
              </w:rPr>
              <w:t xml:space="preserve">处噪声排放值最大为 </w:t>
            </w:r>
            <w:r>
              <w:rPr>
                <w:rFonts w:hint="default"/>
                <w:color w:val="auto"/>
                <w:lang w:val="en-US" w:eastAsia="zh-CN"/>
              </w:rPr>
              <w:t>51.0dB</w:t>
            </w:r>
            <w:r>
              <w:rPr>
                <w:rFonts w:hint="eastAsia"/>
                <w:color w:val="auto"/>
                <w:lang w:val="en-US" w:eastAsia="zh-CN"/>
              </w:rPr>
              <w:t>（</w:t>
            </w:r>
            <w:r>
              <w:rPr>
                <w:rFonts w:hint="default"/>
                <w:color w:val="auto"/>
                <w:lang w:val="en-US" w:eastAsia="zh-CN"/>
              </w:rPr>
              <w:t>A</w:t>
            </w:r>
            <w:r>
              <w:rPr>
                <w:rFonts w:hint="eastAsia"/>
                <w:color w:val="auto"/>
                <w:lang w:val="en-US" w:eastAsia="zh-CN"/>
              </w:rPr>
              <w:t>），低于《声环境质量标准》（</w:t>
            </w:r>
            <w:r>
              <w:rPr>
                <w:rFonts w:hint="default"/>
                <w:color w:val="auto"/>
                <w:lang w:val="en-US" w:eastAsia="zh-CN"/>
              </w:rPr>
              <w:t>GB3096-2008</w:t>
            </w:r>
            <w:r>
              <w:rPr>
                <w:rFonts w:hint="eastAsia"/>
                <w:color w:val="auto"/>
                <w:lang w:val="en-US" w:eastAsia="zh-CN"/>
              </w:rPr>
              <w:t>）</w:t>
            </w:r>
            <w:r>
              <w:rPr>
                <w:rFonts w:hint="default"/>
                <w:color w:val="auto"/>
                <w:lang w:val="en-US" w:eastAsia="zh-CN"/>
              </w:rPr>
              <w:t xml:space="preserve">1 </w:t>
            </w:r>
            <w:r>
              <w:rPr>
                <w:rFonts w:hint="eastAsia"/>
                <w:color w:val="auto"/>
                <w:lang w:val="en-US" w:eastAsia="zh-CN"/>
              </w:rPr>
              <w:t>类昼间标准（</w:t>
            </w:r>
            <w:r>
              <w:rPr>
                <w:rFonts w:hint="default"/>
                <w:color w:val="auto"/>
                <w:lang w:val="en-US" w:eastAsia="zh-CN"/>
              </w:rPr>
              <w:t>55dB</w:t>
            </w:r>
            <w:r>
              <w:rPr>
                <w:rFonts w:hint="eastAsia"/>
                <w:color w:val="auto"/>
                <w:lang w:val="en-US" w:eastAsia="zh-CN"/>
              </w:rPr>
              <w:t>（</w:t>
            </w:r>
            <w:r>
              <w:rPr>
                <w:rFonts w:hint="default"/>
                <w:color w:val="auto"/>
                <w:lang w:val="en-US" w:eastAsia="zh-CN"/>
              </w:rPr>
              <w:t>A</w:t>
            </w:r>
            <w:r>
              <w:rPr>
                <w:rFonts w:hint="eastAsia"/>
                <w:color w:val="auto"/>
                <w:lang w:val="en-US" w:eastAsia="zh-CN"/>
              </w:rPr>
              <w:t>））；本项目只在昼间施工，夜间不施工，距离光伏厂区施工区最近的村庄为店湾村，距离约为18</w:t>
            </w:r>
            <w:r>
              <w:rPr>
                <w:rFonts w:hint="default"/>
                <w:color w:val="auto"/>
                <w:lang w:val="en-US" w:eastAsia="zh-CN"/>
              </w:rPr>
              <w:t>0m</w:t>
            </w:r>
            <w:r>
              <w:rPr>
                <w:rFonts w:hint="eastAsia"/>
                <w:color w:val="auto"/>
                <w:lang w:val="en-US" w:eastAsia="zh-CN"/>
              </w:rPr>
              <w:t>，施工过程不会对店湾村村民产生影响。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color w:val="auto"/>
                <w:lang w:val="en-US" w:eastAsia="zh-CN"/>
              </w:rPr>
              <w:t xml:space="preserve">4、施工期固体废物影响分析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施工期产生的固废主要包括施工过程中产生的建筑垃圾及施工人员生活垃圾等。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场地平整及基础施工开挖时剩余土方可用于道路基础及绿化用体等，</w:t>
            </w:r>
            <w:r>
              <w:rPr>
                <w:rFonts w:hint="default"/>
                <w:color w:val="auto"/>
                <w:lang w:eastAsia="zh-CN"/>
              </w:rPr>
              <w:t>可做到土方平衡，</w:t>
            </w:r>
            <w:r>
              <w:rPr>
                <w:rFonts w:hint="eastAsia"/>
                <w:color w:val="auto"/>
                <w:lang w:val="en-US" w:eastAsia="zh-CN"/>
              </w:rPr>
              <w:t>不外排；建筑垃圾主要为灰浆、废材料等，可综合利用作为地面硬化基础，剩余部分送物料回收公司进行处置；生活垃圾用垃圾桶集中收集后由当地环卫部门清运处置。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本次工程施工期较短，工程量较小，产生的固废经合理处置后不会对周边环境造成不良影响。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en-US" w:eastAsia="zh-CN"/>
              </w:rPr>
            </w:pPr>
            <w:r>
              <w:rPr>
                <w:rFonts w:hint="eastAsia"/>
                <w:color w:val="auto"/>
                <w:lang w:val="en-US" w:eastAsia="zh-CN"/>
              </w:rPr>
              <w:t>5、施工期生态环境影响分析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根据光伏项目的建设特性，光伏阵列安装基础、箱变基础、检修道路等作为永久占地改变区域内原有土地性质以及生态环境，光伏板中间空地区域、临时施工用地等作为临时占地，在施工期间会临时改变其土地性质和生态环境，建设过程中对光伏片区占地区域范围内的生态环境会造成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（1）对植被的影响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1</w:t>
            </w:r>
            <w:r>
              <w:rPr>
                <w:rFonts w:hint="eastAsia"/>
                <w:color w:val="auto"/>
                <w:lang w:val="en-US" w:eastAsia="zh-CN"/>
              </w:rPr>
              <w:t>）植被面积与植被数量损失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建设内容主要包括施工检修道路、光伏片区安装建设等占用土地，使占地范围内的灌草丛等遭受砍伐、铲除、掩埋等一系列人为干扰活动，使永久占地内的植被全部消失，周边的植被面积减少，生物量及生态服务功能下降。受本项目建设影响而损失的自然植被主要为草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本项目总占地面积为175.60</w:t>
            </w:r>
            <w:r>
              <w:rPr>
                <w:rFonts w:hint="default"/>
                <w:color w:val="auto"/>
                <w:lang w:val="en-US" w:eastAsia="zh-CN"/>
              </w:rPr>
              <w:t>hm</w:t>
            </w:r>
            <w:r>
              <w:rPr>
                <w:rFonts w:hint="default"/>
                <w:color w:val="auto"/>
                <w:vertAlign w:val="superscript"/>
                <w:lang w:val="en-US" w:eastAsia="zh-CN"/>
              </w:rPr>
              <w:t>2</w:t>
            </w:r>
            <w:r>
              <w:rPr>
                <w:rFonts w:hint="eastAsia"/>
                <w:color w:val="auto"/>
                <w:lang w:val="en-US" w:eastAsia="zh-CN"/>
              </w:rPr>
              <w:t>。工程占地分为永久占地和临时占地，永久占地包括光伏板基础、箱变基础、检修道路等；临时占地主要为光伏电池方阵占地和临时施工用地。其中永久占地4.15</w:t>
            </w:r>
            <w:r>
              <w:rPr>
                <w:rFonts w:hint="default"/>
                <w:color w:val="auto"/>
                <w:lang w:val="en-US" w:eastAsia="zh-CN"/>
              </w:rPr>
              <w:t>hm</w:t>
            </w:r>
            <w:r>
              <w:rPr>
                <w:rFonts w:hint="default"/>
                <w:color w:val="auto"/>
                <w:vertAlign w:val="superscript"/>
                <w:lang w:val="en-US" w:eastAsia="zh-CN"/>
              </w:rPr>
              <w:t>2</w:t>
            </w:r>
            <w:r>
              <w:rPr>
                <w:rFonts w:hint="eastAsia"/>
                <w:color w:val="auto"/>
                <w:lang w:val="en-US" w:eastAsia="zh-CN"/>
              </w:rPr>
              <w:t>（其中光伏板区基础、箱变基础永久占地</w:t>
            </w:r>
            <w:r>
              <w:rPr>
                <w:rFonts w:hint="default"/>
                <w:color w:val="auto"/>
                <w:lang w:val="en-US" w:eastAsia="zh-CN"/>
              </w:rPr>
              <w:t>0.</w:t>
            </w:r>
            <w:r>
              <w:rPr>
                <w:rFonts w:hint="eastAsia"/>
                <w:color w:val="auto"/>
                <w:lang w:val="en-US" w:eastAsia="zh-CN"/>
              </w:rPr>
              <w:t>15</w:t>
            </w:r>
            <w:r>
              <w:rPr>
                <w:rFonts w:hint="default"/>
                <w:color w:val="auto"/>
                <w:lang w:val="en-US" w:eastAsia="zh-CN"/>
              </w:rPr>
              <w:t>hm</w:t>
            </w:r>
            <w:r>
              <w:rPr>
                <w:rFonts w:hint="default"/>
                <w:color w:val="auto"/>
                <w:vertAlign w:val="superscript"/>
                <w:lang w:val="en-US" w:eastAsia="zh-CN"/>
              </w:rPr>
              <w:t>2</w:t>
            </w:r>
            <w:r>
              <w:rPr>
                <w:rFonts w:hint="eastAsia"/>
                <w:color w:val="auto"/>
                <w:lang w:val="en-US" w:eastAsia="zh-CN"/>
              </w:rPr>
              <w:t>；检修道路永久占地3</w:t>
            </w:r>
            <w:r>
              <w:rPr>
                <w:rFonts w:hint="default"/>
                <w:color w:val="auto"/>
                <w:lang w:val="en-US" w:eastAsia="zh-CN"/>
              </w:rPr>
              <w:t>hm</w:t>
            </w:r>
            <w:r>
              <w:rPr>
                <w:rFonts w:hint="default"/>
                <w:color w:val="auto"/>
                <w:vertAlign w:val="superscript"/>
                <w:lang w:val="en-US" w:eastAsia="zh-CN"/>
              </w:rPr>
              <w:t>2</w:t>
            </w:r>
            <w:r>
              <w:rPr>
                <w:rFonts w:hint="eastAsia"/>
                <w:color w:val="auto"/>
                <w:lang w:val="en-US" w:eastAsia="zh-CN"/>
              </w:rPr>
              <w:t>），其余全部为临时占地171.45</w:t>
            </w:r>
            <w:r>
              <w:rPr>
                <w:rFonts w:hint="default"/>
                <w:color w:val="auto"/>
                <w:lang w:val="en-US" w:eastAsia="zh-CN"/>
              </w:rPr>
              <w:t>hm</w:t>
            </w:r>
            <w:r>
              <w:rPr>
                <w:rFonts w:hint="default"/>
                <w:color w:val="auto"/>
                <w:vertAlign w:val="superscript"/>
                <w:lang w:val="en-US" w:eastAsia="zh-CN"/>
              </w:rPr>
              <w:t>2</w:t>
            </w:r>
            <w:r>
              <w:rPr>
                <w:rFonts w:hint="eastAsia"/>
                <w:color w:val="auto"/>
                <w:lang w:val="en-US" w:eastAsia="zh-CN"/>
              </w:rPr>
              <w:t>。光伏片区工程范围内没有珍稀的植物，因此本项目的建设对当地植物的总体影响并不大。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2</w:t>
            </w:r>
            <w:r>
              <w:rPr>
                <w:rFonts w:hint="eastAsia"/>
                <w:color w:val="auto"/>
                <w:lang w:val="en-US" w:eastAsia="zh-CN"/>
              </w:rPr>
              <w:t>）对植物种类（多样性）及分布的影响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工程永久占用土地完全损毁了原有的植被类型，其上生活着的植物全部被清除，施工区临近区域的植被也受到了一定程度的损毁。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评价区域内自然植物群落结构较为简单，植被的自然恢复能力较强。随着项目的建成，施工临时占地将进行有效地植被恢复，集电线路施工完成后进行恢复，减轻对植被的影响，项目建设对植物种群的影响大大减轻。因此，项目的建设对场内植物种类及分布均不会造成太大的影响，对区域植物的物种多样性的影响较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此外，施工期间，因施工产生的粉尘会附着在周围植物的叶面上，影响其生长，但项目建成后，随着雨季的来临，这种影响将会减轻。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从植被现状调查结果可知，拟建项目评价范围内未发现国家和山西省重点野生保护植物和名树古木分布，项目建设对区域重点野生保护植物和名树古木没有影响。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2</w:t>
            </w:r>
            <w:r>
              <w:rPr>
                <w:rFonts w:hint="eastAsia"/>
                <w:color w:val="auto"/>
                <w:lang w:val="en-US" w:eastAsia="zh-CN"/>
              </w:rPr>
              <w:t>）对动物的影响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施工期对区内动物的影响主要是对野生动物栖息地的影响。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施工期施工机械噪声和人员活动噪声是对野生动物的主要影响因素。各种施工机械，如运输车辆、推土机、挖掘机、打桩机、工程钻机、振捣棒等均可产生较强烈的噪声，虽然这些施工噪声属非连续排放，但由于噪声源相对集中，多为裸露声源，故其噪声辐射范围及影响相对较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在施工期，本区的野生动物都将产生规避反应，远离这一地区，特别是鸟类，其栖息环境需要相对安静，因此本区的鸟类将受较大影响，而本区内无大型野生动物，主要有野鸡、野兔、鼠类等小型动物，施工期间，动物受施工影响，将迁往附近同类环境，动物迁徙能力强，且同类生境易于在附近找寻，故物种种群与数量不会受到明显影响。且施工场地相对于该区域建设基地面积较小，项目的建设只是在小范围内暂时改变了部分动物的栖息环境，不会引起物种消失和生物多样性的减少，可见，施工期对野生动物的影响较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3</w:t>
            </w:r>
            <w:r>
              <w:rPr>
                <w:rFonts w:hint="eastAsia"/>
                <w:color w:val="auto"/>
                <w:lang w:val="en-US" w:eastAsia="zh-CN"/>
              </w:rPr>
              <w:t xml:space="preserve">）临时占地对生态环境的影响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1</w:t>
            </w:r>
            <w:r>
              <w:rPr>
                <w:rFonts w:hint="eastAsia"/>
                <w:color w:val="auto"/>
                <w:lang w:val="en-US" w:eastAsia="zh-CN"/>
              </w:rPr>
              <w:t xml:space="preserve">）土石方平衡分析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土石方主要来自于土建工程，场区施工过程中土石方开挖以及回填可以达到平衡，无土方外排，不需要设置弃土场。在开挖、回填过程中一定要采取表土和生土分层开挖、分层堆放、分层回填并夯实，尽量不改变其原有的土壤结构。项目临时堆土场应在施工检修道路占地范围内堆存，严格控制占地范围，严禁乱堆乱弃，施工结束后立即清理现场，应按照规划地表功能要求及时恢复开挖的地段及地表植被，全部用于各自区域施工结束后覆土绿化。土石方转运过程要求运输车辆</w:t>
            </w:r>
            <w:r>
              <w:rPr>
                <w:rFonts w:hint="eastAsia"/>
                <w:color w:val="auto"/>
                <w:sz w:val="21"/>
                <w:lang w:eastAsia="zh-CN"/>
              </w:rPr>
              <w:t>采用密闭车斗，保证物料不遗撒外漏。</w:t>
            </w:r>
            <w:r>
              <w:rPr>
                <w:rFonts w:hint="eastAsia"/>
                <w:color w:val="auto"/>
                <w:lang w:val="en-US" w:eastAsia="zh-CN"/>
              </w:rPr>
              <w:t xml:space="preserve">本项目土石方挖填量基本平衡，不设置取土场和弃土场，不产生新的生态问题。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2</w:t>
            </w:r>
            <w:r>
              <w:rPr>
                <w:rFonts w:hint="eastAsia"/>
                <w:color w:val="auto"/>
                <w:lang w:val="en-US" w:eastAsia="zh-CN"/>
              </w:rPr>
              <w:t xml:space="preserve">）临时占地分析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本项目的施工临时工程主要包括光伏板安装、集电线路敷设和施工营地。施工结束后立即清理现场，应按照规划地表功能要求及时恢复开挖的地段及地表植被，全部用于各自区域施工结束后覆土绿化。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（4）道路施工对生态环境的影响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1</w:t>
            </w:r>
            <w:r>
              <w:rPr>
                <w:rFonts w:hint="eastAsia"/>
                <w:color w:val="auto"/>
                <w:lang w:val="en-US" w:eastAsia="zh-CN"/>
              </w:rPr>
              <w:t>）道路工程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道路工程在施工期对植被的影响主要在于永久占地范围内的草本将遭受铲除、掩埋等一系列人为干扰活动，使永久占地内的植被全部消失，周边的植被面积减少，生物量及生态服务功能下降。受本项目建设影响而损失的自然植被绝大多数为荒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default"/>
                <w:color w:val="auto"/>
                <w:lang w:val="en-US" w:eastAsia="zh-CN"/>
              </w:rPr>
              <w:t>2</w:t>
            </w:r>
            <w:r>
              <w:rPr>
                <w:rFonts w:hint="eastAsia"/>
                <w:color w:val="auto"/>
                <w:lang w:val="en-US" w:eastAsia="zh-CN"/>
              </w:rPr>
              <w:t>）道路建设对生态环境的影响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①植被面积损失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道路工程在施工期对植被的影响主要在于永久占地范围内的草地等将遭受铲除、掩埋等一系列人为干扰活动，使永久占地内的植被全部消失，周边的植被面积减少，生物量及生态服务功能下降。受本项目建设影响而损失的自然植被绝大多数为灌草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本期项目道路工程施工道路主要为依托既有村村通道路，根据各光伏片区的排布方案，道路施工运输和检修考虑永临结合，道路路基宽4.5m，路面宽4.0m，采用20cm山皮石面层。新建道路长度为12.0km。新建施工检修道路两侧临时占用的植被在施工结束后就地恢复。工程范围内植被类型主要为蒿类草丛，没有较珍稀的植物，因此本项目的建设对当地植物的总体影响并不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②道路建设对植物种类（多样性）及分布的影响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道路工程永久和临时占用土地完全损毁了原有的植被类型，其上生活着的植物全部被清除，施工区临近区域的植被也受到了一定程度的损毁。根据植被现状调查结果表明，本期新建道路涉及范围内植被主要是蒿类草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拟建道路区域内自然植物群落结构较为简单，以当地乡土蒿类草丛植被为主，无国家重点保护的珍稀植物集中分布。项目建成后，施工临时占地将进行有效的植被恢复，项目建设对植物种群的影响大大减轻。因此，采取植被恢复措施后，项目的建设对场内植物种类及分布均不会造成太大的影响，对区域植物的物种多样性的影响较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此外，施工期间，因施工产生的粉尘会附着在周围植物的叶面上，影响其生长，但项目建成后，随着降雨来临，这种影响将会减轻。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③道路建设对动物的影响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施工期环境的迅速改变，噪声、植被破坏、密集的人为活动等均会对施工区域及附近的动物正常栖息、繁殖产生直接或间接的不利影响，这些影响是短暂的。但受影响的动物受扰动后将暂时离开寻找相似的栖息地。项目所在区为人为活动较少的土石山区，生境相似程度高，受惊扰的动物较易在附近找到新的栖息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道路建成后，两侧进行绿化和植被恢复。运营期检修道路通行车辆很少，道路对环境的影响范围降低，在区域内动物对新环境逐渐适应后，区域内的鸟类、兽类等动物的种类、数量、分布也将得到逐渐恢复，原有生态格局又将重新建立，道路对区域的不利影响将逐渐减轻并达到新的平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可见，道路的建设对野生动物的影响程度是可以接受的。</w:t>
            </w:r>
          </w:p>
          <w:p>
            <w:pPr>
              <w:pStyle w:val="2"/>
              <w:rPr>
                <w:rFonts w:hint="eastAsia"/>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879" w:type="dxa"/>
            <w:noWrap w:val="0"/>
            <w:tcMar>
              <w:left w:w="28" w:type="dxa"/>
              <w:right w:w="28" w:type="dxa"/>
            </w:tcMar>
            <w:vAlign w:val="center"/>
          </w:tcPr>
          <w:p>
            <w:pPr>
              <w:pStyle w:val="6"/>
              <w:adjustRightInd w:val="0"/>
              <w:snapToGrid w:val="0"/>
              <w:spacing w:before="0" w:beforeAutospacing="0" w:after="0" w:afterAutospacing="0"/>
              <w:jc w:val="center"/>
              <w:rPr>
                <w:rFonts w:cs="宋体"/>
                <w:bCs/>
                <w:color w:val="auto"/>
                <w:kern w:val="2"/>
                <w:sz w:val="21"/>
                <w:szCs w:val="21"/>
              </w:rPr>
            </w:pPr>
            <w:r>
              <w:rPr>
                <w:rFonts w:hint="eastAsia" w:cs="宋体"/>
                <w:bCs/>
                <w:color w:val="auto"/>
                <w:spacing w:val="10"/>
                <w:kern w:val="2"/>
                <w:sz w:val="21"/>
                <w:szCs w:val="21"/>
              </w:rPr>
              <w:t>运营期生态环境影响分析</w:t>
            </w:r>
          </w:p>
        </w:tc>
        <w:tc>
          <w:tcPr>
            <w:tcW w:w="836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白天有日照时，通过太阳能电池方阵发电子系统将光能转化为电能，经汇流后通过组串逆变器将直流电转换为交流电，每个子系统连接</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座箱式变压器，组成子系统</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箱式变单元接线，该单元接线将子系统逆变组件输出的电压升至</w:t>
            </w:r>
            <w:r>
              <w:rPr>
                <w:rFonts w:hint="default" w:ascii="Times New Roman" w:hAnsi="Times New Roman" w:eastAsia="宋体" w:cs="Times New Roman"/>
                <w:color w:val="auto"/>
                <w:lang w:val="en-US" w:eastAsia="zh-CN"/>
              </w:rPr>
              <w:t>35kV</w:t>
            </w:r>
            <w:r>
              <w:rPr>
                <w:rFonts w:hint="eastAsia" w:ascii="Times New Roman" w:hAnsi="Times New Roman" w:eastAsia="宋体" w:cs="Times New Roman"/>
                <w:color w:val="auto"/>
                <w:lang w:val="en-US" w:eastAsia="zh-CN"/>
              </w:rPr>
              <w:t>；将箱式变压器经</w:t>
            </w:r>
            <w:r>
              <w:rPr>
                <w:rFonts w:hint="default" w:ascii="Times New Roman" w:hAnsi="Times New Roman" w:eastAsia="宋体" w:cs="Times New Roman"/>
                <w:color w:val="auto"/>
                <w:lang w:val="en-US" w:eastAsia="zh-CN"/>
              </w:rPr>
              <w:t>35kV</w:t>
            </w:r>
            <w:r>
              <w:rPr>
                <w:rFonts w:hint="eastAsia" w:ascii="Times New Roman" w:hAnsi="Times New Roman" w:eastAsia="宋体" w:cs="Times New Roman"/>
                <w:color w:val="auto"/>
                <w:lang w:val="en-US" w:eastAsia="zh-CN"/>
              </w:rPr>
              <w:t>电缆集电线路并联后，通过高压开关柜接入</w:t>
            </w:r>
            <w:r>
              <w:rPr>
                <w:rFonts w:hint="default" w:ascii="Times New Roman" w:hAnsi="Times New Roman" w:eastAsia="宋体" w:cs="Times New Roman"/>
                <w:color w:val="auto"/>
                <w:lang w:val="en-US" w:eastAsia="zh-CN"/>
              </w:rPr>
              <w:t>35kV</w:t>
            </w:r>
            <w:r>
              <w:rPr>
                <w:rFonts w:hint="eastAsia" w:ascii="Times New Roman" w:hAnsi="Times New Roman" w:eastAsia="宋体" w:cs="Times New Roman"/>
                <w:color w:val="auto"/>
                <w:lang w:val="en-US" w:eastAsia="zh-CN"/>
              </w:rPr>
              <w:t>配电室</w:t>
            </w:r>
            <w:r>
              <w:rPr>
                <w:rFonts w:hint="default" w:ascii="Times New Roman" w:hAnsi="Times New Roman" w:eastAsia="宋体" w:cs="Times New Roman"/>
                <w:color w:val="auto"/>
                <w:lang w:val="en-US" w:eastAsia="zh-CN"/>
              </w:rPr>
              <w:t xml:space="preserve">35kV </w:t>
            </w:r>
            <w:r>
              <w:rPr>
                <w:rFonts w:hint="eastAsia" w:ascii="Times New Roman" w:hAnsi="Times New Roman" w:eastAsia="宋体" w:cs="Times New Roman"/>
                <w:color w:val="auto"/>
                <w:lang w:val="en-US" w:eastAsia="zh-CN"/>
              </w:rPr>
              <w:t>母线上，送至</w:t>
            </w:r>
            <w:r>
              <w:rPr>
                <w:rFonts w:hint="default" w:ascii="Times New Roman" w:hAnsi="Times New Roman" w:eastAsia="宋体" w:cs="Times New Roman"/>
                <w:color w:val="auto"/>
                <w:lang w:val="en-US" w:eastAsia="zh-CN"/>
              </w:rPr>
              <w:t>220kV</w:t>
            </w:r>
            <w:r>
              <w:rPr>
                <w:rFonts w:hint="eastAsia" w:ascii="Times New Roman" w:hAnsi="Times New Roman" w:eastAsia="宋体" w:cs="Times New Roman"/>
                <w:color w:val="auto"/>
                <w:lang w:val="en-US" w:eastAsia="zh-CN"/>
              </w:rPr>
              <w:t>升压站。</w:t>
            </w:r>
          </w:p>
          <w:p>
            <w:pPr>
              <w:adjustRightInd w:val="0"/>
              <w:snapToGrid w:val="0"/>
              <w:rPr>
                <w:color w:val="auto"/>
              </w:rPr>
            </w:pP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4119880</wp:posOffset>
                      </wp:positionH>
                      <wp:positionV relativeFrom="paragraph">
                        <wp:posOffset>89535</wp:posOffset>
                      </wp:positionV>
                      <wp:extent cx="414655" cy="431165"/>
                      <wp:effectExtent l="5080" t="4445" r="6985" b="6350"/>
                      <wp:wrapNone/>
                      <wp:docPr id="14" name="矩形 14"/>
                      <wp:cNvGraphicFramePr/>
                      <a:graphic xmlns:a="http://schemas.openxmlformats.org/drawingml/2006/main">
                        <a:graphicData uri="http://schemas.microsoft.com/office/word/2010/wordprocessingShape">
                          <wps:wsp>
                            <wps:cNvSpPr/>
                            <wps:spPr>
                              <a:xfrm>
                                <a:off x="0" y="0"/>
                                <a:ext cx="414655" cy="431165"/>
                              </a:xfrm>
                              <a:prstGeom prst="rect">
                                <a:avLst/>
                              </a:prstGeom>
                              <a:solidFill>
                                <a:srgbClr val="FFFFFF"/>
                              </a:solidFill>
                              <a:ln w="9525" cap="flat" cmpd="sng">
                                <a:solidFill>
                                  <a:srgbClr val="000000">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24.4pt;margin-top:7.05pt;height:33.95pt;width:32.65pt;z-index:251667456;mso-width-relative:page;mso-height-relative:page;" fillcolor="#FFFFFF" filled="t" stroked="t" coordsize="21600,21600" o:gfxdata="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n34TPYAAAACQEAAA8AAAAAAAAAAQAgAAAAIgAA&#10;AGRycy9kb3ducmV2LnhtbFBLAQIUABQAAAAIAIdO4kCVQrwnCAIAADwEAAAOAAAAAAAAAAEAIAAA&#10;ACcBAABkcnMvZTJvRG9jLnhtbFBLBQYAAAAABgAGAFkBAAChBQAAAAA=&#10;">
                      <v:fill on="t" focussize="0,0"/>
                      <v:stroke color="#000000" opacity="0f" joinstyle="miter"/>
                      <v:imagedata o:title=""/>
                      <o:lock v:ext="edit" aspectratio="f"/>
                    </v:rect>
                  </w:pict>
                </mc:Fallback>
              </mc:AlternateContent>
            </w:r>
            <w:r>
              <w:rPr>
                <w:color w:val="auto"/>
                <w:sz w:val="21"/>
              </w:rPr>
              <mc:AlternateContent>
                <mc:Choice Requires="wps">
                  <w:drawing>
                    <wp:anchor distT="0" distB="0" distL="114300" distR="114300" simplePos="0" relativeHeight="251666432" behindDoc="0" locked="0" layoutInCell="1" allowOverlap="1">
                      <wp:simplePos x="0" y="0"/>
                      <wp:positionH relativeFrom="column">
                        <wp:posOffset>1536700</wp:posOffset>
                      </wp:positionH>
                      <wp:positionV relativeFrom="paragraph">
                        <wp:posOffset>1052830</wp:posOffset>
                      </wp:positionV>
                      <wp:extent cx="852170" cy="492760"/>
                      <wp:effectExtent l="4445" t="4445" r="12065" b="5715"/>
                      <wp:wrapNone/>
                      <wp:docPr id="15" name="矩形 15"/>
                      <wp:cNvGraphicFramePr/>
                      <a:graphic xmlns:a="http://schemas.openxmlformats.org/drawingml/2006/main">
                        <a:graphicData uri="http://schemas.microsoft.com/office/word/2010/wordprocessingShape">
                          <wps:wsp>
                            <wps:cNvSpPr/>
                            <wps:spPr>
                              <a:xfrm>
                                <a:off x="0" y="0"/>
                                <a:ext cx="852170" cy="492760"/>
                              </a:xfrm>
                              <a:prstGeom prst="rect">
                                <a:avLst/>
                              </a:prstGeom>
                              <a:solidFill>
                                <a:srgbClr val="FFFFFF"/>
                              </a:solidFill>
                              <a:ln w="9525" cap="flat" cmpd="sng">
                                <a:solidFill>
                                  <a:srgbClr val="000000">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1pt;margin-top:82.9pt;height:38.8pt;width:67.1pt;z-index:251666432;mso-width-relative:page;mso-height-relative:page;" fillcolor="#FFFFFF" filled="t" stroked="t" coordsize="21600,21600" o:gfxdata="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y1Qa2gAAAAsBAAAPAAAAAAAAAAEAIAAAACIA&#10;AABkcnMvZG93bnJldi54bWxQSwECFAAUAAAACACHTuJASizR1gcCAAA8BAAADgAAAAAAAAABACAA&#10;AAApAQAAZHJzL2Uyb0RvYy54bWxQSwUGAAAAAAYABgBZAQAAogUAAAAA&#10;">
                      <v:fill on="t" focussize="0,0"/>
                      <v:stroke color="#000000" opacity="0f" joinstyle="miter"/>
                      <v:imagedata o:title=""/>
                      <o:lock v:ext="edit" aspectratio="f"/>
                    </v:rect>
                  </w:pict>
                </mc:Fallback>
              </mc:AlternateContent>
            </w:r>
            <w:r>
              <w:rPr>
                <w:color w:val="auto"/>
              </w:rPr>
              <w:drawing>
                <wp:inline distT="0" distB="0" distL="114300" distR="114300">
                  <wp:extent cx="5153025" cy="1933575"/>
                  <wp:effectExtent l="0" t="0" r="13335" b="190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6"/>
                          <a:stretch>
                            <a:fillRect/>
                          </a:stretch>
                        </pic:blipFill>
                        <pic:spPr>
                          <a:xfrm>
                            <a:off x="0" y="0"/>
                            <a:ext cx="5153025" cy="1933575"/>
                          </a:xfrm>
                          <a:prstGeom prst="rect">
                            <a:avLst/>
                          </a:prstGeom>
                          <a:noFill/>
                          <a:ln>
                            <a:noFill/>
                          </a:ln>
                        </pic:spPr>
                      </pic:pic>
                    </a:graphicData>
                  </a:graphic>
                </wp:inline>
              </w:drawing>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图</w:t>
            </w:r>
            <w:r>
              <w:rPr>
                <w:rFonts w:hint="default" w:ascii="Times New Roman" w:hAnsi="Times New Roman" w:eastAsia="宋体" w:cs="Times New Roman"/>
                <w:color w:val="auto"/>
                <w:lang w:val="en-US" w:eastAsia="zh-CN"/>
              </w:rPr>
              <w:t xml:space="preserve">4-1 </w:t>
            </w:r>
            <w:r>
              <w:rPr>
                <w:rFonts w:hint="eastAsia" w:ascii="Times New Roman" w:hAnsi="Times New Roman" w:eastAsia="宋体" w:cs="Times New Roman"/>
                <w:color w:val="auto"/>
                <w:lang w:val="en-US" w:eastAsia="zh-CN"/>
              </w:rPr>
              <w:t xml:space="preserve"> 项目运营期工艺流程及排污节点示意图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1、运营期环境空气影响分析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本项目运营期无废气排放。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 xml:space="preserve">2、运营期水环境影响分析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（1）地表水环境影响分析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根据光伏电站运行特点，电场设计为无人值守，定期巡查，本项目不单独设办公区。项目运营期间产生的废水主要是光伏组件的清洗废水。本项目废水主要为电场光伏板冲洗废水。光伏组件冲洗水不加任何洗涤剂，废水水质成分简单，主要为 </w:t>
            </w:r>
            <w:r>
              <w:rPr>
                <w:rFonts w:hint="default" w:ascii="Times New Roman" w:hAnsi="Times New Roman" w:eastAsia="宋体" w:cs="Times New Roman"/>
                <w:color w:val="auto"/>
                <w:lang w:val="en-US" w:eastAsia="zh-CN"/>
              </w:rPr>
              <w:t>SS</w:t>
            </w:r>
            <w:r>
              <w:rPr>
                <w:rFonts w:hint="eastAsia" w:ascii="Times New Roman" w:hAnsi="Times New Roman" w:eastAsia="宋体" w:cs="Times New Roman"/>
                <w:color w:val="auto"/>
                <w:lang w:val="en-US" w:eastAsia="zh-CN"/>
              </w:rPr>
              <w:t>，年产生量为 2068</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3</w:t>
            </w:r>
            <w:r>
              <w:rPr>
                <w:rFonts w:hint="eastAsia"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en-US"/>
              </w:rPr>
              <w:t>直接流入周边草丛吸收和蒸发。</w:t>
            </w:r>
            <w:r>
              <w:rPr>
                <w:rFonts w:hint="eastAsia" w:ascii="Times New Roman" w:hAnsi="Times New Roman" w:eastAsia="宋体" w:cs="Times New Roman"/>
                <w:color w:val="auto"/>
                <w:lang w:val="en-US" w:eastAsia="zh-CN"/>
              </w:rPr>
              <w:t xml:space="preserve">无废水外排，因此不会对周边地表水环境造成影响。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（2）地下水环境影响分析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本项目属于“34、其他能源发电——太阳能热发电”，不会对地下水环境造成影响。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3、噪声影响分析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运营期噪声源主要是箱式变压器的运行噪声，来源于变压器内部的铁心振动，参照《</w:t>
            </w:r>
            <w:r>
              <w:rPr>
                <w:rFonts w:hint="default" w:ascii="Times New Roman" w:hAnsi="Times New Roman" w:eastAsia="宋体" w:cs="Times New Roman"/>
                <w:color w:val="auto"/>
                <w:lang w:val="en-US" w:eastAsia="zh-CN"/>
              </w:rPr>
              <w:t xml:space="preserve">6kV~1000kV </w:t>
            </w:r>
            <w:r>
              <w:rPr>
                <w:rFonts w:hint="eastAsia" w:ascii="Times New Roman" w:hAnsi="Times New Roman" w:eastAsia="宋体" w:cs="Times New Roman"/>
                <w:color w:val="auto"/>
                <w:lang w:val="en-US" w:eastAsia="zh-CN"/>
              </w:rPr>
              <w:t>级电力变压器声级》（</w:t>
            </w:r>
            <w:r>
              <w:rPr>
                <w:rFonts w:hint="default" w:ascii="Times New Roman" w:hAnsi="Times New Roman" w:eastAsia="宋体" w:cs="Times New Roman"/>
                <w:color w:val="auto"/>
                <w:lang w:val="en-US" w:eastAsia="zh-CN"/>
              </w:rPr>
              <w:t>JB/T10088-2016</w:t>
            </w:r>
            <w:r>
              <w:rPr>
                <w:rFonts w:hint="eastAsia" w:ascii="Times New Roman" w:hAnsi="Times New Roman" w:eastAsia="宋体" w:cs="Times New Roman"/>
                <w:color w:val="auto"/>
                <w:lang w:val="en-US" w:eastAsia="zh-CN"/>
              </w:rPr>
              <w:t>），基础减振后，</w:t>
            </w:r>
            <w:r>
              <w:rPr>
                <w:rFonts w:hint="default" w:ascii="Times New Roman" w:hAnsi="Times New Roman" w:eastAsia="宋体" w:cs="Times New Roman"/>
                <w:color w:val="auto"/>
                <w:lang w:val="en-US" w:eastAsia="zh-CN"/>
              </w:rPr>
              <w:t xml:space="preserve">2000kVA/35kV </w:t>
            </w:r>
            <w:r>
              <w:rPr>
                <w:rFonts w:hint="eastAsia" w:ascii="Times New Roman" w:hAnsi="Times New Roman" w:eastAsia="宋体" w:cs="Times New Roman"/>
                <w:color w:val="auto"/>
                <w:lang w:val="en-US" w:eastAsia="zh-CN"/>
              </w:rPr>
              <w:t xml:space="preserve">变压器的声功率按 </w:t>
            </w:r>
            <w:r>
              <w:rPr>
                <w:rFonts w:hint="default" w:ascii="Times New Roman" w:hAnsi="Times New Roman" w:eastAsia="宋体" w:cs="Times New Roman"/>
                <w:color w:val="auto"/>
                <w:lang w:val="en-US" w:eastAsia="zh-CN"/>
              </w:rPr>
              <w:t>60dB(A)</w:t>
            </w:r>
            <w:r>
              <w:rPr>
                <w:rFonts w:hint="eastAsia" w:ascii="Times New Roman" w:hAnsi="Times New Roman" w:eastAsia="宋体" w:cs="Times New Roman"/>
                <w:color w:val="auto"/>
                <w:lang w:val="en-US" w:eastAsia="zh-CN"/>
              </w:rPr>
              <w:t>考虑。采用《环境影响评价技术导则 声环境》（</w:t>
            </w:r>
            <w:r>
              <w:rPr>
                <w:rFonts w:hint="default" w:ascii="Times New Roman" w:hAnsi="Times New Roman" w:eastAsia="宋体" w:cs="Times New Roman"/>
                <w:color w:val="auto"/>
                <w:lang w:val="en-US" w:eastAsia="zh-CN"/>
              </w:rPr>
              <w:t>HJ2.4-2009</w:t>
            </w:r>
            <w:r>
              <w:rPr>
                <w:rFonts w:hint="eastAsia" w:ascii="Times New Roman" w:hAnsi="Times New Roman" w:eastAsia="宋体" w:cs="Times New Roman"/>
                <w:color w:val="auto"/>
                <w:lang w:val="en-US" w:eastAsia="zh-CN"/>
              </w:rPr>
              <w:t xml:space="preserve">）中推荐的工业噪声单源预测模式 </w:t>
            </w:r>
            <w:r>
              <w:rPr>
                <w:rFonts w:hint="default" w:ascii="Times New Roman" w:hAnsi="Times New Roman" w:eastAsia="宋体" w:cs="Times New Roman"/>
                <w:color w:val="auto"/>
                <w:lang w:val="en-US" w:eastAsia="zh-CN"/>
              </w:rPr>
              <w:t xml:space="preserve">LA(r)=LAW-20Lg(r)-8 </w:t>
            </w:r>
            <w:r>
              <w:rPr>
                <w:rFonts w:hint="eastAsia" w:ascii="Times New Roman" w:hAnsi="Times New Roman" w:eastAsia="宋体" w:cs="Times New Roman"/>
                <w:color w:val="auto"/>
                <w:lang w:val="en-US" w:eastAsia="zh-CN"/>
              </w:rPr>
              <w:t xml:space="preserve">进行预测，在离声源 </w:t>
            </w:r>
            <w:r>
              <w:rPr>
                <w:rFonts w:hint="default" w:ascii="Times New Roman" w:hAnsi="Times New Roman" w:eastAsia="宋体" w:cs="Times New Roman"/>
                <w:color w:val="auto"/>
                <w:lang w:val="en-US" w:eastAsia="zh-CN"/>
              </w:rPr>
              <w:t xml:space="preserve">5m </w:t>
            </w:r>
            <w:r>
              <w:rPr>
                <w:rFonts w:hint="eastAsia" w:ascii="Times New Roman" w:hAnsi="Times New Roman" w:eastAsia="宋体" w:cs="Times New Roman"/>
                <w:color w:val="auto"/>
                <w:lang w:val="en-US" w:eastAsia="zh-CN"/>
              </w:rPr>
              <w:t xml:space="preserve">处已低至 </w:t>
            </w:r>
            <w:r>
              <w:rPr>
                <w:rFonts w:hint="default" w:ascii="Times New Roman" w:hAnsi="Times New Roman" w:eastAsia="宋体" w:cs="Times New Roman"/>
                <w:color w:val="auto"/>
                <w:lang w:val="en-US" w:eastAsia="zh-CN"/>
              </w:rPr>
              <w:t>42dB</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 xml:space="preserve">），离声源 </w:t>
            </w:r>
            <w:r>
              <w:rPr>
                <w:rFonts w:hint="default" w:ascii="Times New Roman" w:hAnsi="Times New Roman" w:eastAsia="宋体" w:cs="Times New Roman"/>
                <w:color w:val="auto"/>
                <w:lang w:val="en-US" w:eastAsia="zh-CN"/>
              </w:rPr>
              <w:t xml:space="preserve">10m </w:t>
            </w:r>
            <w:r>
              <w:rPr>
                <w:rFonts w:hint="eastAsia" w:ascii="Times New Roman" w:hAnsi="Times New Roman" w:eastAsia="宋体" w:cs="Times New Roman"/>
                <w:color w:val="auto"/>
                <w:lang w:val="en-US" w:eastAsia="zh-CN"/>
              </w:rPr>
              <w:t xml:space="preserve">处已衰减至 </w:t>
            </w:r>
            <w:r>
              <w:rPr>
                <w:rFonts w:hint="default" w:ascii="Times New Roman" w:hAnsi="Times New Roman" w:eastAsia="宋体" w:cs="Times New Roman"/>
                <w:color w:val="auto"/>
                <w:lang w:val="en-US" w:eastAsia="zh-CN"/>
              </w:rPr>
              <w:t>36dB</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因此，只要将箱变在场内合理布置，距离场区边界 </w:t>
            </w:r>
            <w:r>
              <w:rPr>
                <w:rFonts w:hint="default" w:ascii="Times New Roman" w:hAnsi="Times New Roman" w:eastAsia="宋体" w:cs="Times New Roman"/>
                <w:color w:val="auto"/>
                <w:lang w:val="en-US" w:eastAsia="zh-CN"/>
              </w:rPr>
              <w:t xml:space="preserve">10m </w:t>
            </w:r>
            <w:r>
              <w:rPr>
                <w:rFonts w:hint="eastAsia" w:ascii="Times New Roman" w:hAnsi="Times New Roman" w:eastAsia="宋体" w:cs="Times New Roman"/>
                <w:color w:val="auto"/>
                <w:lang w:val="en-US" w:eastAsia="zh-CN"/>
              </w:rPr>
              <w:t xml:space="preserve">以上，运行期基本不会对周边居民声环境产生明显影响。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 xml:space="preserve">4、固体废物影响分析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本项目运营期间产生的固体废物有废光伏组件、废电气元件和废旧蓄电池。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）废光伏组件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光伏电池板故障率约为万分之一，本项目共布置光伏组件148512块，则光伏电站每年出现故障的光伏组件约为14块</w:t>
            </w: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 xml:space="preserve">，废旧光伏组件属于电子垃圾须由生产厂家回收处置。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）废电气元件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逆变器整机的设计寿命为</w:t>
            </w:r>
            <w:r>
              <w:rPr>
                <w:rFonts w:hint="default" w:ascii="Times New Roman" w:hAnsi="Times New Roman" w:eastAsia="宋体" w:cs="Times New Roman"/>
                <w:color w:val="auto"/>
                <w:lang w:val="en-US" w:eastAsia="zh-CN"/>
              </w:rPr>
              <w:t>25</w:t>
            </w:r>
            <w:r>
              <w:rPr>
                <w:rFonts w:hint="eastAsia" w:ascii="Times New Roman" w:hAnsi="Times New Roman" w:eastAsia="宋体" w:cs="Times New Roman"/>
                <w:color w:val="auto"/>
                <w:lang w:val="en-US" w:eastAsia="zh-CN"/>
              </w:rPr>
              <w:t>年，箱变的设计寿命大于</w:t>
            </w:r>
            <w:r>
              <w:rPr>
                <w:rFonts w:hint="default" w:ascii="Times New Roman" w:hAnsi="Times New Roman" w:eastAsia="宋体" w:cs="Times New Roman"/>
                <w:color w:val="auto"/>
                <w:lang w:val="en-US" w:eastAsia="zh-CN"/>
              </w:rPr>
              <w:t>25</w:t>
            </w:r>
            <w:r>
              <w:rPr>
                <w:rFonts w:hint="eastAsia" w:ascii="Times New Roman" w:hAnsi="Times New Roman" w:eastAsia="宋体" w:cs="Times New Roman"/>
                <w:color w:val="auto"/>
                <w:lang w:val="en-US" w:eastAsia="zh-CN"/>
              </w:rPr>
              <w:t>年，所以在项目服务期限内不存在整机更换的情况。由于故障、检修等可能会更换一些电阻等内部元件，类比估算，废电气元件产生量约13件</w:t>
            </w:r>
            <w:r>
              <w:rPr>
                <w:rFonts w:hint="default" w:ascii="Times New Roman" w:hAnsi="Times New Roman" w:eastAsia="宋体" w:cs="Times New Roman"/>
                <w:color w:val="auto"/>
                <w:lang w:val="en-US" w:eastAsia="zh-CN"/>
              </w:rPr>
              <w:t>/a</w:t>
            </w:r>
            <w:r>
              <w:rPr>
                <w:rFonts w:hint="eastAsia" w:ascii="Times New Roman" w:hAnsi="Times New Roman" w:eastAsia="宋体" w:cs="Times New Roman"/>
                <w:color w:val="auto"/>
                <w:lang w:val="en-US" w:eastAsia="zh-CN"/>
              </w:rPr>
              <w:t xml:space="preserve">。更换下的废电气元件属于电子垃圾，须由生产厂家回收处置。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）废旧蓄电池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场区箱变中使用免维护蓄电池，其正常寿命在</w:t>
            </w:r>
            <w:r>
              <w:rPr>
                <w:rFonts w:hint="default" w:ascii="Times New Roman" w:hAnsi="Times New Roman" w:eastAsia="宋体" w:cs="Times New Roman"/>
                <w:color w:val="auto"/>
                <w:lang w:val="en-US" w:eastAsia="zh-CN"/>
              </w:rPr>
              <w:t>5-8</w:t>
            </w:r>
            <w:r>
              <w:rPr>
                <w:rFonts w:hint="eastAsia" w:ascii="Times New Roman" w:hAnsi="Times New Roman" w:eastAsia="宋体" w:cs="Times New Roman"/>
                <w:color w:val="auto"/>
                <w:lang w:val="en-US" w:eastAsia="zh-CN"/>
              </w:rPr>
              <w:t>年间。类比估算，每年可能产生6块报废电池，根据《国家危险废物名录》（</w:t>
            </w:r>
            <w:r>
              <w:rPr>
                <w:rFonts w:hint="default" w:ascii="Times New Roman" w:hAnsi="Times New Roman" w:eastAsia="宋体" w:cs="Times New Roman"/>
                <w:color w:val="auto"/>
                <w:lang w:val="en-US" w:eastAsia="zh-CN"/>
              </w:rPr>
              <w:t>2021</w:t>
            </w:r>
            <w:r>
              <w:rPr>
                <w:rFonts w:hint="eastAsia" w:ascii="Times New Roman" w:hAnsi="Times New Roman" w:eastAsia="宋体" w:cs="Times New Roman"/>
                <w:color w:val="auto"/>
                <w:lang w:val="en-US" w:eastAsia="zh-CN"/>
              </w:rPr>
              <w:t>年版），废旧蓄电池属于危险废物中的</w:t>
            </w:r>
            <w:r>
              <w:rPr>
                <w:rFonts w:hint="default" w:ascii="Times New Roman" w:hAnsi="Times New Roman" w:eastAsia="宋体" w:cs="Times New Roman"/>
                <w:color w:val="auto"/>
                <w:lang w:val="en-US" w:eastAsia="zh-CN"/>
              </w:rPr>
              <w:t xml:space="preserve">“HW31 </w:t>
            </w:r>
            <w:r>
              <w:rPr>
                <w:rFonts w:hint="eastAsia" w:ascii="Times New Roman" w:hAnsi="Times New Roman" w:eastAsia="宋体" w:cs="Times New Roman"/>
                <w:color w:val="auto"/>
                <w:lang w:val="en-US" w:eastAsia="zh-CN"/>
              </w:rPr>
              <w:t>含铅废物</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，废物代码为</w:t>
            </w:r>
            <w:r>
              <w:rPr>
                <w:rFonts w:hint="default" w:ascii="Times New Roman" w:hAnsi="Times New Roman" w:eastAsia="宋体" w:cs="Times New Roman"/>
                <w:color w:val="auto"/>
                <w:lang w:val="en-US" w:eastAsia="zh-CN"/>
              </w:rPr>
              <w:t>“900-052-31”</w:t>
            </w:r>
            <w:r>
              <w:rPr>
                <w:rFonts w:hint="eastAsia" w:ascii="Times New Roman" w:hAnsi="Times New Roman" w:eastAsia="宋体" w:cs="Times New Roman"/>
                <w:color w:val="auto"/>
                <w:lang w:val="en-US" w:eastAsia="zh-CN"/>
              </w:rPr>
              <w:t xml:space="preserve">。暂存于升压站危废暂存间最终交由资质单位处置。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本工程固体废物产生情况见表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en-US"/>
              </w:rPr>
              <w:t>4-</w:t>
            </w:r>
            <w:r>
              <w:rPr>
                <w:rFonts w:hint="eastAsia" w:ascii="Times New Roman" w:hAnsi="Times New Roman" w:eastAsia="宋体" w:cs="Times New Roman"/>
                <w:color w:val="auto"/>
                <w:lang w:val="en-US" w:eastAsia="zh-CN"/>
              </w:rPr>
              <w:t xml:space="preserve">1  本项目固体废物一览表 </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973"/>
              <w:gridCol w:w="1504"/>
              <w:gridCol w:w="2094"/>
              <w:gridCol w:w="1032"/>
              <w:gridCol w:w="1208"/>
              <w:gridCol w:w="1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59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序号</w:t>
                  </w:r>
                </w:p>
              </w:tc>
              <w:tc>
                <w:tcPr>
                  <w:tcW w:w="92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固废名称</w:t>
                  </w:r>
                </w:p>
              </w:tc>
              <w:tc>
                <w:tcPr>
                  <w:tcW w:w="12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产生工序</w:t>
                  </w:r>
                </w:p>
              </w:tc>
              <w:tc>
                <w:tcPr>
                  <w:tcW w:w="63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形态</w:t>
                  </w:r>
                </w:p>
              </w:tc>
              <w:tc>
                <w:tcPr>
                  <w:tcW w:w="7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主要成分</w:t>
                  </w:r>
                </w:p>
              </w:tc>
              <w:tc>
                <w:tcPr>
                  <w:tcW w:w="8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产生量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59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ascii="Times New Roman" w:hAnsi="Times New Roman" w:eastAsia="Times New Roman" w:cs="Times New Roman"/>
                      <w:color w:val="auto"/>
                      <w:spacing w:val="0"/>
                      <w:w w:val="100"/>
                      <w:position w:val="0"/>
                      <w:sz w:val="20"/>
                      <w:szCs w:val="20"/>
                    </w:rPr>
                    <w:t>1</w:t>
                  </w:r>
                </w:p>
              </w:tc>
              <w:tc>
                <w:tcPr>
                  <w:tcW w:w="92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废光伏组件</w:t>
                  </w:r>
                </w:p>
              </w:tc>
              <w:tc>
                <w:tcPr>
                  <w:tcW w:w="12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光伏电池板故障</w:t>
                  </w:r>
                </w:p>
              </w:tc>
              <w:tc>
                <w:tcPr>
                  <w:tcW w:w="63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固体</w:t>
                  </w:r>
                </w:p>
              </w:tc>
              <w:tc>
                <w:tcPr>
                  <w:tcW w:w="7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光伏组件</w:t>
                  </w:r>
                </w:p>
              </w:tc>
              <w:tc>
                <w:tcPr>
                  <w:tcW w:w="8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hint="eastAsia" w:ascii="Times New Roman" w:hAnsi="Times New Roman" w:eastAsia="宋体" w:cs="Times New Roman"/>
                      <w:color w:val="auto"/>
                      <w:spacing w:val="0"/>
                      <w:w w:val="100"/>
                      <w:position w:val="0"/>
                      <w:sz w:val="20"/>
                      <w:szCs w:val="20"/>
                      <w:lang w:val="en-US" w:eastAsia="zh-CN"/>
                    </w:rPr>
                    <w:t>14</w:t>
                  </w:r>
                  <w:r>
                    <w:rPr>
                      <w:color w:val="auto"/>
                      <w:spacing w:val="0"/>
                      <w:w w:val="100"/>
                      <w:position w:val="0"/>
                      <w:sz w:val="20"/>
                      <w:szCs w:val="20"/>
                    </w:rPr>
                    <w:t>块</w:t>
                  </w:r>
                  <w:r>
                    <w:rPr>
                      <w:rFonts w:ascii="Times New Roman" w:hAnsi="Times New Roman" w:eastAsia="Times New Roman" w:cs="Times New Roman"/>
                      <w:color w:val="auto"/>
                      <w:spacing w:val="0"/>
                      <w:w w:val="100"/>
                      <w:position w:val="0"/>
                      <w:sz w:val="20"/>
                      <w:szCs w:val="20"/>
                      <w:lang w:val="en-US" w:eastAsia="en-US" w:bidi="en-US"/>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59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ascii="Times New Roman" w:hAnsi="Times New Roman" w:eastAsia="Times New Roman" w:cs="Times New Roman"/>
                      <w:color w:val="auto"/>
                      <w:spacing w:val="0"/>
                      <w:w w:val="100"/>
                      <w:position w:val="0"/>
                      <w:sz w:val="20"/>
                      <w:szCs w:val="20"/>
                    </w:rPr>
                    <w:t>2</w:t>
                  </w:r>
                </w:p>
              </w:tc>
              <w:tc>
                <w:tcPr>
                  <w:tcW w:w="92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废电气元件</w:t>
                  </w:r>
                </w:p>
              </w:tc>
              <w:tc>
                <w:tcPr>
                  <w:tcW w:w="12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检修</w:t>
                  </w:r>
                </w:p>
              </w:tc>
              <w:tc>
                <w:tcPr>
                  <w:tcW w:w="63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固体</w:t>
                  </w:r>
                </w:p>
              </w:tc>
              <w:tc>
                <w:tcPr>
                  <w:tcW w:w="7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电气元件</w:t>
                  </w:r>
                </w:p>
              </w:tc>
              <w:tc>
                <w:tcPr>
                  <w:tcW w:w="8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hint="eastAsia" w:ascii="Times New Roman" w:hAnsi="Times New Roman" w:eastAsia="宋体" w:cs="Times New Roman"/>
                      <w:color w:val="auto"/>
                      <w:spacing w:val="0"/>
                      <w:w w:val="100"/>
                      <w:position w:val="0"/>
                      <w:sz w:val="20"/>
                      <w:szCs w:val="20"/>
                      <w:lang w:val="en-US" w:eastAsia="zh-CN"/>
                    </w:rPr>
                    <w:t>13</w:t>
                  </w:r>
                  <w:r>
                    <w:rPr>
                      <w:color w:val="auto"/>
                      <w:spacing w:val="0"/>
                      <w:w w:val="100"/>
                      <w:position w:val="0"/>
                      <w:sz w:val="20"/>
                      <w:szCs w:val="20"/>
                    </w:rPr>
                    <w:t>件</w:t>
                  </w:r>
                  <w:r>
                    <w:rPr>
                      <w:rFonts w:ascii="Times New Roman" w:hAnsi="Times New Roman" w:eastAsia="Times New Roman" w:cs="Times New Roman"/>
                      <w:color w:val="auto"/>
                      <w:spacing w:val="0"/>
                      <w:w w:val="100"/>
                      <w:position w:val="0"/>
                      <w:sz w:val="20"/>
                      <w:szCs w:val="20"/>
                      <w:lang w:val="en-US" w:eastAsia="en-US" w:bidi="en-US"/>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59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ascii="Times New Roman" w:hAnsi="Times New Roman" w:eastAsia="Times New Roman" w:cs="Times New Roman"/>
                      <w:color w:val="auto"/>
                      <w:spacing w:val="0"/>
                      <w:w w:val="100"/>
                      <w:position w:val="0"/>
                      <w:sz w:val="20"/>
                      <w:szCs w:val="20"/>
                    </w:rPr>
                    <w:t>3</w:t>
                  </w:r>
                </w:p>
              </w:tc>
              <w:tc>
                <w:tcPr>
                  <w:tcW w:w="92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废旧蓄电池</w:t>
                  </w:r>
                </w:p>
              </w:tc>
              <w:tc>
                <w:tcPr>
                  <w:tcW w:w="12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箱变检修</w:t>
                  </w:r>
                </w:p>
              </w:tc>
              <w:tc>
                <w:tcPr>
                  <w:tcW w:w="63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固体</w:t>
                  </w:r>
                </w:p>
              </w:tc>
              <w:tc>
                <w:tcPr>
                  <w:tcW w:w="74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color w:val="auto"/>
                      <w:spacing w:val="0"/>
                      <w:w w:val="100"/>
                      <w:position w:val="0"/>
                      <w:sz w:val="20"/>
                      <w:szCs w:val="20"/>
                    </w:rPr>
                    <w:t>蓄电池</w:t>
                  </w:r>
                </w:p>
              </w:tc>
              <w:tc>
                <w:tcPr>
                  <w:tcW w:w="8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auto"/>
                      <w:sz w:val="20"/>
                      <w:szCs w:val="20"/>
                    </w:rPr>
                  </w:pPr>
                  <w:r>
                    <w:rPr>
                      <w:rFonts w:ascii="Times New Roman" w:hAnsi="Times New Roman" w:eastAsia="Times New Roman" w:cs="Times New Roman"/>
                      <w:color w:val="auto"/>
                      <w:spacing w:val="0"/>
                      <w:w w:val="100"/>
                      <w:position w:val="0"/>
                      <w:sz w:val="20"/>
                      <w:szCs w:val="20"/>
                      <w:lang w:val="en-US" w:eastAsia="en-US" w:bidi="en-US"/>
                    </w:rPr>
                    <w:t>0.2t/a</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根据《国家危险废物名录（</w:t>
            </w:r>
            <w:r>
              <w:rPr>
                <w:rFonts w:hint="default" w:ascii="Times New Roman" w:hAnsi="Times New Roman" w:eastAsia="宋体" w:cs="Times New Roman"/>
                <w:color w:val="auto"/>
                <w:lang w:val="en-US" w:eastAsia="zh-CN"/>
              </w:rPr>
              <w:t>2021</w:t>
            </w:r>
            <w:r>
              <w:rPr>
                <w:rFonts w:hint="eastAsia" w:ascii="Times New Roman" w:hAnsi="Times New Roman" w:eastAsia="宋体" w:cs="Times New Roman"/>
                <w:color w:val="auto"/>
                <w:lang w:val="en-US" w:eastAsia="zh-CN"/>
              </w:rPr>
              <w:t>年）》以及《危险废物鉴别标准》，本项目危险废物判定结果见下表。</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en-US"/>
              </w:rPr>
              <w:t>4-3</w:t>
            </w:r>
            <w:r>
              <w:rPr>
                <w:rFonts w:hint="eastAsia" w:ascii="Times New Roman" w:hAnsi="Times New Roman" w:eastAsia="宋体" w:cs="Times New Roman"/>
                <w:color w:val="auto"/>
                <w:lang w:val="en-US" w:eastAsia="zh-CN"/>
              </w:rPr>
              <w:t xml:space="preserve">  本项目危险废物判定结果表</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521"/>
              <w:gridCol w:w="1445"/>
              <w:gridCol w:w="1353"/>
              <w:gridCol w:w="1858"/>
              <w:gridCol w:w="1767"/>
              <w:gridCol w:w="1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32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序号</w:t>
                  </w:r>
                </w:p>
              </w:tc>
              <w:tc>
                <w:tcPr>
                  <w:tcW w:w="88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固废名称</w:t>
                  </w:r>
                </w:p>
              </w:tc>
              <w:tc>
                <w:tcPr>
                  <w:tcW w:w="8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产生工序</w:t>
                  </w:r>
                </w:p>
              </w:tc>
              <w:tc>
                <w:tcPr>
                  <w:tcW w:w="114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是否属于危险废物</w:t>
                  </w:r>
                </w:p>
              </w:tc>
              <w:tc>
                <w:tcPr>
                  <w:tcW w:w="108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危险类别</w:t>
                  </w:r>
                </w:p>
              </w:tc>
              <w:tc>
                <w:tcPr>
                  <w:tcW w:w="73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废物代码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32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1</w:t>
                  </w:r>
                </w:p>
              </w:tc>
              <w:tc>
                <w:tcPr>
                  <w:tcW w:w="88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废旧蓄电池</w:t>
                  </w:r>
                </w:p>
              </w:tc>
              <w:tc>
                <w:tcPr>
                  <w:tcW w:w="83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箱变检修</w:t>
                  </w:r>
                </w:p>
              </w:tc>
              <w:tc>
                <w:tcPr>
                  <w:tcW w:w="114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是</w:t>
                  </w:r>
                </w:p>
              </w:tc>
              <w:tc>
                <w:tcPr>
                  <w:tcW w:w="108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lang w:val="en-US" w:eastAsia="en-US"/>
                    </w:rPr>
                    <w:t>HW31</w:t>
                  </w:r>
                  <w:r>
                    <w:rPr>
                      <w:rFonts w:ascii="Times New Roman" w:hAnsi="Times New Roman" w:eastAsia="Times New Roman" w:cs="Times New Roman"/>
                      <w:color w:val="auto"/>
                      <w:spacing w:val="0"/>
                      <w:w w:val="100"/>
                      <w:position w:val="0"/>
                      <w:sz w:val="20"/>
                      <w:szCs w:val="20"/>
                    </w:rPr>
                    <w:t>含铅废物</w:t>
                  </w:r>
                </w:p>
              </w:tc>
              <w:tc>
                <w:tcPr>
                  <w:tcW w:w="73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lang w:val="en-US" w:eastAsia="en-US"/>
                    </w:rPr>
                    <w:t>900-052-31</w:t>
                  </w:r>
                </w:p>
              </w:tc>
            </w:tr>
          </w:tbl>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en-US"/>
              </w:rPr>
              <w:t>4-4</w:t>
            </w:r>
            <w:r>
              <w:rPr>
                <w:rFonts w:hint="eastAsia" w:ascii="Times New Roman" w:hAnsi="Times New Roman" w:eastAsia="宋体" w:cs="Times New Roman"/>
                <w:color w:val="auto"/>
                <w:lang w:val="en-US" w:eastAsia="zh-CN"/>
              </w:rPr>
              <w:t xml:space="preserve">  本项目危险废物汇总表</w:t>
            </w:r>
          </w:p>
          <w:tbl>
            <w:tblPr>
              <w:tblStyle w:val="7"/>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521"/>
              <w:gridCol w:w="477"/>
              <w:gridCol w:w="614"/>
              <w:gridCol w:w="955"/>
              <w:gridCol w:w="627"/>
              <w:gridCol w:w="709"/>
              <w:gridCol w:w="490"/>
              <w:gridCol w:w="668"/>
              <w:gridCol w:w="668"/>
              <w:gridCol w:w="505"/>
              <w:gridCol w:w="586"/>
              <w:gridCol w:w="13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32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序号</w:t>
                  </w:r>
                </w:p>
              </w:tc>
              <w:tc>
                <w:tcPr>
                  <w:tcW w:w="29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固废名称</w:t>
                  </w:r>
                </w:p>
              </w:tc>
              <w:tc>
                <w:tcPr>
                  <w:tcW w:w="37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类别</w:t>
                  </w:r>
                </w:p>
              </w:tc>
              <w:tc>
                <w:tcPr>
                  <w:tcW w:w="58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代码</w:t>
                  </w:r>
                </w:p>
              </w:tc>
              <w:tc>
                <w:tcPr>
                  <w:tcW w:w="3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产生量</w:t>
                  </w:r>
                </w:p>
              </w:tc>
              <w:tc>
                <w:tcPr>
                  <w:tcW w:w="43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产生工序及装置</w:t>
                  </w:r>
                </w:p>
              </w:tc>
              <w:tc>
                <w:tcPr>
                  <w:tcW w:w="30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形态</w:t>
                  </w:r>
                </w:p>
              </w:tc>
              <w:tc>
                <w:tcPr>
                  <w:tcW w:w="4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主要成分</w:t>
                  </w:r>
                </w:p>
              </w:tc>
              <w:tc>
                <w:tcPr>
                  <w:tcW w:w="4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有害成分</w:t>
                  </w:r>
                </w:p>
              </w:tc>
              <w:tc>
                <w:tcPr>
                  <w:tcW w:w="3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产废周期</w:t>
                  </w:r>
                </w:p>
              </w:tc>
              <w:tc>
                <w:tcPr>
                  <w:tcW w:w="3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危险特性</w:t>
                  </w:r>
                </w:p>
              </w:tc>
              <w:tc>
                <w:tcPr>
                  <w:tcW w:w="80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32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S3</w:t>
                  </w:r>
                </w:p>
              </w:tc>
              <w:tc>
                <w:tcPr>
                  <w:tcW w:w="29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rPr>
                    <w:t>废旧蓄电池</w:t>
                  </w:r>
                </w:p>
              </w:tc>
              <w:tc>
                <w:tcPr>
                  <w:tcW w:w="377"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position w:val="0"/>
                      <w:sz w:val="20"/>
                      <w:szCs w:val="20"/>
                    </w:rPr>
                  </w:pPr>
                  <w:r>
                    <w:rPr>
                      <w:rFonts w:ascii="Times New Roman" w:hAnsi="Times New Roman" w:eastAsia="Times New Roman" w:cs="Times New Roman"/>
                      <w:color w:val="auto"/>
                      <w:spacing w:val="0"/>
                      <w:w w:val="100"/>
                      <w:position w:val="0"/>
                      <w:sz w:val="20"/>
                      <w:szCs w:val="20"/>
                      <w:lang w:val="en-US" w:eastAsia="en-US"/>
                    </w:rPr>
                    <w:t>HW31</w:t>
                  </w:r>
                  <w:r>
                    <w:rPr>
                      <w:rFonts w:ascii="Times New Roman" w:hAnsi="Times New Roman" w:eastAsia="Times New Roman" w:cs="Times New Roman"/>
                      <w:color w:val="auto"/>
                      <w:spacing w:val="0"/>
                      <w:w w:val="100"/>
                      <w:position w:val="0"/>
                      <w:sz w:val="20"/>
                      <w:szCs w:val="20"/>
                    </w:rPr>
                    <w:t>含铅</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废物</w:t>
                  </w:r>
                </w:p>
              </w:tc>
              <w:tc>
                <w:tcPr>
                  <w:tcW w:w="58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900-052-31</w:t>
                  </w:r>
                </w:p>
              </w:tc>
              <w:tc>
                <w:tcPr>
                  <w:tcW w:w="38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lang w:val="en-US" w:eastAsia="en-US"/>
                    </w:rPr>
                    <w:t>0.2t/a</w:t>
                  </w:r>
                </w:p>
              </w:tc>
              <w:tc>
                <w:tcPr>
                  <w:tcW w:w="435"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箱变检修</w:t>
                  </w:r>
                </w:p>
              </w:tc>
              <w:tc>
                <w:tcPr>
                  <w:tcW w:w="301"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固体</w:t>
                  </w:r>
                </w:p>
              </w:tc>
              <w:tc>
                <w:tcPr>
                  <w:tcW w:w="4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蓄电池</w:t>
                  </w:r>
                </w:p>
              </w:tc>
              <w:tc>
                <w:tcPr>
                  <w:tcW w:w="4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zh-TW" w:eastAsia="zh-TW" w:bidi="zh-TW"/>
                    </w:rPr>
                  </w:pPr>
                  <w:r>
                    <w:rPr>
                      <w:rFonts w:ascii="Times New Roman" w:hAnsi="Times New Roman" w:eastAsia="Times New Roman" w:cs="Times New Roman"/>
                      <w:color w:val="auto"/>
                      <w:spacing w:val="0"/>
                      <w:w w:val="100"/>
                      <w:position w:val="0"/>
                      <w:sz w:val="20"/>
                      <w:szCs w:val="20"/>
                    </w:rPr>
                    <w:t>电解液</w:t>
                  </w:r>
                </w:p>
              </w:tc>
              <w:tc>
                <w:tcPr>
                  <w:tcW w:w="310"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en-US" w:eastAsia="en-US" w:bidi="zh-TW"/>
                    </w:rPr>
                  </w:pPr>
                  <w:r>
                    <w:rPr>
                      <w:rFonts w:ascii="Times New Roman" w:hAnsi="Times New Roman" w:eastAsia="Times New Roman" w:cs="Times New Roman"/>
                      <w:color w:val="auto"/>
                      <w:spacing w:val="0"/>
                      <w:w w:val="100"/>
                      <w:position w:val="0"/>
                      <w:sz w:val="20"/>
                      <w:szCs w:val="20"/>
                    </w:rPr>
                    <w:t>1年</w:t>
                  </w:r>
                </w:p>
              </w:tc>
              <w:tc>
                <w:tcPr>
                  <w:tcW w:w="35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en-US" w:eastAsia="en-US" w:bidi="zh-TW"/>
                    </w:rPr>
                  </w:pPr>
                  <w:r>
                    <w:rPr>
                      <w:rFonts w:ascii="Times New Roman" w:hAnsi="Times New Roman" w:eastAsia="Times New Roman" w:cs="Times New Roman"/>
                      <w:color w:val="auto"/>
                      <w:spacing w:val="0"/>
                      <w:w w:val="100"/>
                      <w:position w:val="0"/>
                      <w:sz w:val="20"/>
                      <w:szCs w:val="20"/>
                      <w:lang w:val="en-US" w:eastAsia="en-US"/>
                    </w:rPr>
                    <w:t>T，C</w:t>
                  </w:r>
                </w:p>
              </w:tc>
              <w:tc>
                <w:tcPr>
                  <w:tcW w:w="80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Times New Roman" w:hAnsi="Times New Roman" w:eastAsia="Times New Roman" w:cs="Times New Roman"/>
                      <w:color w:val="auto"/>
                      <w:spacing w:val="0"/>
                      <w:w w:val="100"/>
                      <w:kern w:val="2"/>
                      <w:position w:val="0"/>
                      <w:sz w:val="20"/>
                      <w:szCs w:val="20"/>
                      <w:u w:val="none"/>
                      <w:shd w:val="clear" w:color="auto" w:fill="auto"/>
                      <w:lang w:val="en-US" w:eastAsia="en-US" w:bidi="zh-TW"/>
                    </w:rPr>
                  </w:pPr>
                  <w:r>
                    <w:rPr>
                      <w:rFonts w:ascii="Times New Roman" w:hAnsi="Times New Roman" w:eastAsia="Times New Roman" w:cs="Times New Roman"/>
                      <w:color w:val="auto"/>
                      <w:spacing w:val="0"/>
                      <w:w w:val="100"/>
                      <w:position w:val="0"/>
                      <w:sz w:val="20"/>
                      <w:szCs w:val="20"/>
                    </w:rPr>
                    <w:t>暂存于升压站危废暂存间，交有资质单位进行处置</w:t>
                  </w:r>
                </w:p>
              </w:tc>
            </w:tr>
          </w:tbl>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en-US"/>
              </w:rPr>
              <w:t>4-5</w:t>
            </w:r>
            <w:r>
              <w:rPr>
                <w:rFonts w:hint="eastAsia" w:ascii="Times New Roman" w:hAnsi="Times New Roman" w:eastAsia="宋体" w:cs="Times New Roman"/>
                <w:color w:val="auto"/>
                <w:lang w:val="en-US" w:eastAsia="zh-CN"/>
              </w:rPr>
              <w:t xml:space="preserve">  危险废物贮存场所（设施）基本情况表</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510"/>
              <w:gridCol w:w="805"/>
              <w:gridCol w:w="968"/>
              <w:gridCol w:w="846"/>
              <w:gridCol w:w="1009"/>
              <w:gridCol w:w="1007"/>
              <w:gridCol w:w="985"/>
              <w:gridCol w:w="885"/>
              <w:gridCol w:w="613"/>
              <w:gridCol w:w="5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1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序号</w:t>
                  </w:r>
                </w:p>
              </w:tc>
              <w:tc>
                <w:tcPr>
                  <w:tcW w:w="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贮存场所名称</w:t>
                  </w:r>
                </w:p>
              </w:tc>
              <w:tc>
                <w:tcPr>
                  <w:tcW w:w="5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危险废物名称</w:t>
                  </w:r>
                </w:p>
              </w:tc>
              <w:tc>
                <w:tcPr>
                  <w:tcW w:w="51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类别</w:t>
                  </w:r>
                </w:p>
              </w:tc>
              <w:tc>
                <w:tcPr>
                  <w:tcW w:w="61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代码</w:t>
                  </w:r>
                </w:p>
              </w:tc>
              <w:tc>
                <w:tcPr>
                  <w:tcW w:w="6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位置</w:t>
                  </w:r>
                </w:p>
              </w:tc>
              <w:tc>
                <w:tcPr>
                  <w:tcW w:w="60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zh-TW" w:eastAsia="zh-TW"/>
                    </w:rPr>
                  </w:pPr>
                  <w:r>
                    <w:rPr>
                      <w:rFonts w:hint="eastAsia" w:ascii="Times New Roman" w:hAnsi="Times New Roman" w:eastAsia="宋体" w:cs="Times New Roman"/>
                      <w:color w:val="auto"/>
                      <w:spacing w:val="0"/>
                      <w:w w:val="100"/>
                      <w:position w:val="0"/>
                      <w:sz w:val="20"/>
                      <w:szCs w:val="20"/>
                      <w:lang w:val="en-US" w:eastAsia="zh-CN"/>
                    </w:rPr>
                    <w:t>占地面积</w:t>
                  </w:r>
                </w:p>
              </w:tc>
              <w:tc>
                <w:tcPr>
                  <w:tcW w:w="54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zh-TW" w:eastAsia="zh-TW"/>
                    </w:rPr>
                  </w:pPr>
                  <w:r>
                    <w:rPr>
                      <w:rFonts w:hint="eastAsia" w:ascii="Times New Roman" w:hAnsi="Times New Roman" w:eastAsia="宋体" w:cs="Times New Roman"/>
                      <w:color w:val="auto"/>
                      <w:spacing w:val="0"/>
                      <w:w w:val="100"/>
                      <w:position w:val="0"/>
                      <w:sz w:val="20"/>
                      <w:szCs w:val="20"/>
                      <w:lang w:val="en-US" w:eastAsia="zh-CN"/>
                    </w:rPr>
                    <w:t>贮存方式</w:t>
                  </w:r>
                </w:p>
              </w:tc>
              <w:tc>
                <w:tcPr>
                  <w:tcW w:w="3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zh-TW" w:eastAsia="zh-TW"/>
                    </w:rPr>
                  </w:pPr>
                  <w:r>
                    <w:rPr>
                      <w:rFonts w:hint="eastAsia" w:ascii="Times New Roman" w:hAnsi="Times New Roman" w:eastAsia="宋体" w:cs="Times New Roman"/>
                      <w:color w:val="auto"/>
                      <w:spacing w:val="0"/>
                      <w:w w:val="100"/>
                      <w:position w:val="0"/>
                      <w:sz w:val="20"/>
                      <w:szCs w:val="20"/>
                      <w:lang w:val="en-US" w:eastAsia="zh-CN"/>
                    </w:rPr>
                    <w:t>贮存能力</w:t>
                  </w:r>
                </w:p>
              </w:tc>
              <w:tc>
                <w:tcPr>
                  <w:tcW w:w="31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zh-TW" w:eastAsia="zh-TW"/>
                    </w:rPr>
                  </w:pPr>
                  <w:r>
                    <w:rPr>
                      <w:rFonts w:hint="eastAsia" w:ascii="Times New Roman" w:hAnsi="Times New Roman" w:eastAsia="宋体" w:cs="Times New Roman"/>
                      <w:color w:val="auto"/>
                      <w:spacing w:val="0"/>
                      <w:w w:val="100"/>
                      <w:position w:val="0"/>
                      <w:sz w:val="20"/>
                      <w:szCs w:val="20"/>
                      <w:lang w:val="en-US" w:eastAsia="zh-CN"/>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1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1</w:t>
                  </w:r>
                </w:p>
              </w:tc>
              <w:tc>
                <w:tcPr>
                  <w:tcW w:w="4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危废暂存间</w:t>
                  </w:r>
                </w:p>
              </w:tc>
              <w:tc>
                <w:tcPr>
                  <w:tcW w:w="59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废旧蓄电池</w:t>
                  </w:r>
                </w:p>
              </w:tc>
              <w:tc>
                <w:tcPr>
                  <w:tcW w:w="51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en-US"/>
                    </w:rPr>
                    <w:t>HW31</w:t>
                  </w:r>
                  <w:r>
                    <w:rPr>
                      <w:rFonts w:hint="eastAsia" w:ascii="Times New Roman" w:hAnsi="Times New Roman" w:eastAsia="宋体" w:cs="Times New Roman"/>
                      <w:color w:val="auto"/>
                      <w:spacing w:val="0"/>
                      <w:w w:val="100"/>
                      <w:position w:val="0"/>
                      <w:sz w:val="20"/>
                      <w:szCs w:val="20"/>
                      <w:lang w:val="en-US" w:eastAsia="zh-CN"/>
                    </w:rPr>
                    <w:t>含铅废物</w:t>
                  </w:r>
                </w:p>
              </w:tc>
              <w:tc>
                <w:tcPr>
                  <w:tcW w:w="619"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en-US"/>
                    </w:rPr>
                    <w:t>900-052-31</w:t>
                  </w:r>
                </w:p>
              </w:tc>
              <w:tc>
                <w:tcPr>
                  <w:tcW w:w="618"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升压站危废暂存间</w:t>
                  </w:r>
                </w:p>
              </w:tc>
              <w:tc>
                <w:tcPr>
                  <w:tcW w:w="604"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2</w:t>
                  </w:r>
                  <w:r>
                    <w:rPr>
                      <w:rFonts w:hint="eastAsia" w:ascii="Times New Roman" w:hAnsi="Times New Roman" w:eastAsia="宋体" w:cs="Times New Roman"/>
                      <w:color w:val="auto"/>
                      <w:spacing w:val="0"/>
                      <w:w w:val="100"/>
                      <w:position w:val="0"/>
                      <w:sz w:val="20"/>
                      <w:szCs w:val="20"/>
                      <w:lang w:val="en-US" w:eastAsia="en-US"/>
                    </w:rPr>
                    <w:t>0m</w:t>
                  </w:r>
                  <w:r>
                    <w:rPr>
                      <w:rFonts w:hint="eastAsia" w:ascii="Times New Roman" w:hAnsi="Times New Roman" w:eastAsia="宋体" w:cs="Times New Roman"/>
                      <w:color w:val="auto"/>
                      <w:spacing w:val="0"/>
                      <w:w w:val="100"/>
                      <w:position w:val="0"/>
                      <w:sz w:val="20"/>
                      <w:szCs w:val="20"/>
                      <w:vertAlign w:val="superscript"/>
                      <w:lang w:val="en-US" w:eastAsia="en-US"/>
                    </w:rPr>
                    <w:t>2</w:t>
                  </w:r>
                </w:p>
              </w:tc>
              <w:tc>
                <w:tcPr>
                  <w:tcW w:w="543"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专用容器分类贮存</w:t>
                  </w:r>
                </w:p>
              </w:tc>
              <w:tc>
                <w:tcPr>
                  <w:tcW w:w="37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en-US"/>
                    </w:rPr>
                    <w:t>30t</w:t>
                  </w:r>
                </w:p>
              </w:tc>
              <w:tc>
                <w:tcPr>
                  <w:tcW w:w="316" w:type="pct"/>
                  <w:tcBorders>
                    <w:tl2br w:val="nil"/>
                    <w:tr2bl w:val="nil"/>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auto"/>
                      <w:spacing w:val="0"/>
                      <w:w w:val="100"/>
                      <w:position w:val="0"/>
                      <w:sz w:val="20"/>
                      <w:szCs w:val="20"/>
                      <w:lang w:val="en-US" w:eastAsia="zh-CN"/>
                    </w:rPr>
                  </w:pPr>
                  <w:r>
                    <w:rPr>
                      <w:rFonts w:hint="eastAsia" w:ascii="Times New Roman" w:hAnsi="Times New Roman" w:eastAsia="宋体" w:cs="Times New Roman"/>
                      <w:color w:val="auto"/>
                      <w:spacing w:val="0"/>
                      <w:w w:val="100"/>
                      <w:position w:val="0"/>
                      <w:sz w:val="20"/>
                      <w:szCs w:val="20"/>
                      <w:lang w:val="en-US" w:eastAsia="zh-CN"/>
                    </w:rPr>
                    <w:t>1年</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 xml:space="preserve">5、运营期生态环境影响分析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）对植被的影响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项目投入运营后，永久占地内其他草地完全被破坏，取而代之的是光伏片区，工程临时占地进行了植被恢复，光伏片区就地实施植被恢复和绿化工程。项目运营期不会对植被造成不利影响。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）对动物的影响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①对野生动物活动的阻隔影响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经过现场调查及查阅资料，工程范围内未发现野生动物的迁移路线，并且场内检修道路的路面较窄、平时车辆较少，基本不会对野生动物的活动产生阻隔影响。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②噪声对野生动物的影响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本项目施工过程中，因噪声强度的增加和人为活动的频繁，致使部分动物发生小尺度的迁移，但随着施工期的结束，场区内及周围动物会逐渐适应于项目的运行噪声及场内道路，不会影响野生动物的生存活动空间，对区域生物多样性不会产生影响。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6、土壤环境影响分析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本项目为太阳能发电项目，属于电力热力燃气及水生产和供应业</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其他，不会对土壤环境造成污染。</w:t>
            </w:r>
          </w:p>
          <w:p>
            <w:pPr>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4" w:hRule="atLeast"/>
          <w:jc w:val="center"/>
        </w:trPr>
        <w:tc>
          <w:tcPr>
            <w:tcW w:w="879" w:type="dxa"/>
            <w:noWrap w:val="0"/>
            <w:vAlign w:val="center"/>
          </w:tcPr>
          <w:p>
            <w:pPr>
              <w:pStyle w:val="6"/>
              <w:adjustRightInd w:val="0"/>
              <w:snapToGrid w:val="0"/>
              <w:spacing w:before="0" w:beforeAutospacing="0" w:after="0" w:afterAutospacing="0"/>
              <w:jc w:val="center"/>
              <w:rPr>
                <w:rFonts w:cs="宋体"/>
                <w:bCs/>
                <w:color w:val="auto"/>
                <w:kern w:val="2"/>
                <w:sz w:val="21"/>
                <w:szCs w:val="21"/>
              </w:rPr>
            </w:pPr>
            <w:r>
              <w:rPr>
                <w:rFonts w:hint="eastAsia" w:cs="宋体"/>
                <w:bCs/>
                <w:color w:val="auto"/>
                <w:kern w:val="2"/>
                <w:sz w:val="21"/>
                <w:szCs w:val="21"/>
              </w:rPr>
              <w:t>选址选线环境合理性分析</w:t>
            </w:r>
          </w:p>
        </w:tc>
        <w:tc>
          <w:tcPr>
            <w:tcW w:w="8363" w:type="dxa"/>
            <w:noWrap w:val="0"/>
            <w:vAlign w:val="center"/>
          </w:tcPr>
          <w:p>
            <w:pPr>
              <w:spacing w:line="360" w:lineRule="auto"/>
              <w:ind w:firstLine="420" w:firstLineChars="200"/>
              <w:jc w:val="both"/>
              <w:rPr>
                <w:color w:val="auto"/>
                <w:sz w:val="21"/>
                <w:szCs w:val="21"/>
              </w:rPr>
            </w:pPr>
            <w:r>
              <w:rPr>
                <w:rFonts w:hint="eastAsia" w:ascii="Times New Roman" w:hAnsi="Times New Roman" w:eastAsia="宋体" w:cs="宋体"/>
                <w:color w:val="auto"/>
                <w:szCs w:val="21"/>
                <w:lang w:val="en-US" w:eastAsia="zh-CN"/>
              </w:rPr>
              <w:t>本项目位于</w:t>
            </w:r>
            <w:r>
              <w:rPr>
                <w:rFonts w:hint="eastAsia" w:ascii="Times New Roman" w:hAnsi="Times New Roman" w:eastAsia="宋体" w:cs="宋体"/>
                <w:color w:val="auto"/>
                <w:szCs w:val="21"/>
                <w:lang w:eastAsia="zh-CN"/>
              </w:rPr>
              <w:t>山西省</w:t>
            </w:r>
            <w:r>
              <w:rPr>
                <w:rFonts w:hint="eastAsia" w:ascii="Times New Roman" w:hAnsi="Times New Roman" w:eastAsia="宋体" w:cs="宋体"/>
                <w:color w:val="auto"/>
                <w:szCs w:val="21"/>
                <w:lang w:val="en-US" w:eastAsia="zh-CN"/>
              </w:rPr>
              <w:t>朔州市平鲁区高石庄乡，</w:t>
            </w:r>
            <w:r>
              <w:rPr>
                <w:color w:val="auto"/>
                <w:sz w:val="21"/>
                <w:szCs w:val="21"/>
              </w:rPr>
              <w:t>项目不占用基本农田，运营期不产生噪声、废气等污染物，对周围村民无影响，其主要污染在施工期，污染物主要为施工扬尘、施工机械噪声、车辆运输噪声及土方开挖造成的生态破坏等，在采取覆盖、围挡、洒水抑尘、合理安排施工时间等相关措施后可减少对周围敏感点的影响。</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jc w:val="both"/>
              <w:textAlignment w:val="auto"/>
              <w:rPr>
                <w:rFonts w:ascii="宋体" w:hAnsi="宋体" w:cs="宋体"/>
                <w:bCs/>
                <w:color w:val="auto"/>
                <w:szCs w:val="21"/>
              </w:rPr>
            </w:pPr>
            <w:r>
              <w:rPr>
                <w:color w:val="auto"/>
                <w:sz w:val="21"/>
                <w:szCs w:val="21"/>
              </w:rPr>
              <w:t>因此从周边环境的协调性及敏感性分析，本工程选址合理</w:t>
            </w:r>
            <w:r>
              <w:rPr>
                <w:rFonts w:hint="eastAsia"/>
                <w:color w:val="auto"/>
                <w:sz w:val="21"/>
                <w:szCs w:val="21"/>
                <w:lang w:eastAsia="zh-CN"/>
              </w:rPr>
              <w:t>。</w:t>
            </w:r>
          </w:p>
        </w:tc>
      </w:tr>
    </w:tbl>
    <w:p>
      <w:pPr>
        <w:pStyle w:val="6"/>
        <w:jc w:val="center"/>
        <w:rPr>
          <w:rFonts w:ascii="黑体" w:hAnsi="黑体" w:eastAsia="黑体"/>
          <w:snapToGrid w:val="0"/>
          <w:color w:val="auto"/>
          <w:sz w:val="36"/>
          <w:szCs w:val="36"/>
        </w:rPr>
        <w:sectPr>
          <w:pgSz w:w="11906" w:h="16838"/>
          <w:pgMar w:top="1440" w:right="1800" w:bottom="1440" w:left="1800"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6"/>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五、主要生态环境保护措施</w:t>
      </w:r>
    </w:p>
    <w:tbl>
      <w:tblPr>
        <w:tblStyle w:val="7"/>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753" w:type="dxa"/>
            <w:noWrap w:val="0"/>
            <w:tcMar>
              <w:left w:w="28" w:type="dxa"/>
              <w:right w:w="28" w:type="dxa"/>
            </w:tcMar>
            <w:vAlign w:val="center"/>
          </w:tcPr>
          <w:p>
            <w:pPr>
              <w:adjustRightInd w:val="0"/>
              <w:snapToGrid w:val="0"/>
              <w:jc w:val="center"/>
              <w:rPr>
                <w:rFonts w:ascii="宋体" w:hAnsi="宋体"/>
                <w:bCs/>
                <w:color w:val="auto"/>
                <w:szCs w:val="21"/>
              </w:rPr>
            </w:pPr>
            <w:r>
              <w:rPr>
                <w:rFonts w:hint="eastAsia" w:ascii="宋体" w:hAnsi="宋体" w:cs="宋体"/>
                <w:bCs/>
                <w:color w:val="auto"/>
                <w:spacing w:val="10"/>
                <w:szCs w:val="21"/>
              </w:rPr>
              <w:t>施工期生态环境保护措施</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1</w:t>
            </w:r>
            <w:r>
              <w:rPr>
                <w:rFonts w:hint="eastAsia" w:ascii="Times New Roman" w:hAnsi="Times New Roman" w:eastAsia="宋体" w:cs="Times New Roman"/>
                <w:b/>
                <w:bCs/>
                <w:color w:val="auto"/>
                <w:lang w:val="en-US" w:eastAsia="zh-CN"/>
              </w:rPr>
              <w:t xml:space="preserve">、施工期生态保护措施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（1）施工活动环境保护要求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加强施工管理，做好施工组织设计，合理安排施工时间，制定施工期的环境管理监控计划，选择合适的施工方式，避免破坏环境。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①施工前印发环境保护手册，对施工人员进行环保意识的宣传教育，标明施工活动区；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②从保护生态角度严格限定大型机械进入施工场地，所有运输车辆必须沿规定道路行驶，不得随意行驶；严格按设计规划指定位置放置各施工机械和设备，不得随意堆放；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③在施工道路两侧地界以内的山坡地，必须严格按设计要求修建护坡或者采取其它土地整治措施。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④严格控制施工作业区面积，减少临时用地。为减少项目施工期对生态的影响，项目应在占地范围内严格划定施工作业区，禁止在施工作业区以外乱堆乱弃，减少对生态造成破坏。道路尽可能在现有道路的基础上布置规划；临时堆土场地应在检修道路占地范围内堆存，严格控制占地范围，严禁乱堆乱弃，施工结束后立即清理现场，应按照规划地表功能要求及时恢复开挖的地段及地表植被；光伏电场内的检修专用道路两侧进行绿化，项目建设后对工程占地破坏的地表实施生态修复工程，对临时占地破坏的地表尽最大可能恢复植被，加大绿化面积，减低本项目对区域生态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⑤针对评价区域自然环境特点，结合电场可能对陆生生物及生态环境带来的不利影响，采取控制污染物的排放，保护现有植被，发展本地原有的优势植物，合理利用山地草坡加强保护等措施，从而使其造成的不利影响得到缓解，有利于光伏场区范围生态环境得以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（2）对植被及生物多样性的保护措施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工程永久性用地对植被造成的损失，通过在区域绿化和异地种植树木等进行补救，对重要树木尽量采用移栽的方式进行保护；临时用地产生的植被损失，在施工结束后立即恢复。施工结束后临时用地恢复时应按照原有植被进行恢复并优化，对道路两侧和施工区形成的裸地及时采取工程措施，可绿化的土地要全部进行绿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（3）对动物的保护措施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期间对施工人员和附近群众加强生态保护宣传教育，通过制度化严禁施工人员对保护动物猎捕和恐吓，禁止施工人员捕食保护动物，以减轻施工对当地陆生动植物的影响。要尽量减少破坏现有植被，使动物栖息环境不会发生大的变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（4）对土壤的保护措施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合理利用土地资源，减少人为因素对土壤造成的破坏。施工中注意对表土的保护，施工前先进行表土剥离，剥离厚度根据各区域土层厚薄而定，并在本工区进行临时堆存，将留存的表土作为后期绿化覆土土源。在地表开挖时，开挖过程几乎完全破坏土壤结构，回填土壤的容量、土体结构、土壤抗蚀指数等发生较大的变化，所以在开挖、回填过程中一定要采取表土和生土分层开挖、分层堆放、分层回填并夯实，尽量不改变其原有的土壤结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2</w:t>
            </w:r>
            <w:r>
              <w:rPr>
                <w:rFonts w:hint="eastAsia" w:ascii="Times New Roman" w:hAnsi="Times New Roman" w:eastAsia="宋体" w:cs="Times New Roman"/>
                <w:b/>
                <w:bCs/>
                <w:color w:val="auto"/>
                <w:lang w:val="en-US" w:eastAsia="zh-CN"/>
              </w:rPr>
              <w:t xml:space="preserve">、生态恢复措施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2.1 </w:t>
            </w:r>
            <w:r>
              <w:rPr>
                <w:rFonts w:hint="eastAsia" w:ascii="Times New Roman" w:hAnsi="Times New Roman" w:eastAsia="宋体" w:cs="Times New Roman"/>
                <w:color w:val="auto"/>
                <w:lang w:val="en-US" w:eastAsia="zh-CN"/>
              </w:rPr>
              <w:t xml:space="preserve">生态影响防护与恢复原则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根据光伏电场工程建设期运营期特点，生态影响的防护与恢复原则为：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）光伏电场的建设应从保护生态系统的角度出发，合理利用土地资源，尽量少占土地。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）对项目建设影响造成的植被破坏，应根据国家和山西省的有规定进行土地植被恢复和水土保持工作，以恢复生态环境。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）对场区占用林地的需要采取恢复和补偿措施，可采用原地补偿或异地补偿。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2.2 </w:t>
            </w:r>
            <w:r>
              <w:rPr>
                <w:rFonts w:hint="eastAsia" w:ascii="Times New Roman" w:hAnsi="Times New Roman" w:eastAsia="宋体" w:cs="Times New Roman"/>
                <w:color w:val="auto"/>
                <w:lang w:val="en-US" w:eastAsia="zh-CN"/>
              </w:rPr>
              <w:t>生态影响的防护与恢复措施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项目的生态影响防护与恢复措施主要以施工期为主。场址区以绿化为主，同时考虑与工程防护措施的协调，生态恢复与防护措施要围绕项目区域存在的水土流失问题，因地制宜，因害设防。本工程主要防治措施有工程措施、施工临时防护措施和植物恢复措施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）植被恢复措施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随着施工场地开挖、填方、平整，原有的表土层受到破坏，土壤松动，或者施工过程中由于挖方及填方过程中形成的土堆不能及时清理，遇到较大风速时，易发生水土流失。项目区多风，风蚀极易发生，因此，加强施工管理、合理安排施工进度，可以减少水土流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光伏电站场位于荒坡上，场地需要做平整，开挖土方可全部用于回填及简易道路基础铺垫。根据光伏电站施工特点及各发电单元的相互独立性，电站可考虑分区施工，未施工电池阵列区域、公共站用地、绿化区域用地等均可作为临时的施工区，故本工程不考虑场址外的施工期临时占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水土流失防治措施主要采用工程措施、植物措施、临时措施和管理措施相结合的综合防护措施，在时间上、空间上形成水土保持措施体系：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）工程措施：电池阵列区、电缆桥架路线上进行表土清理，施工结束后进行覆土平整。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）植物措施：对场区原有占地为林草地区域进行种植株高低于太阳能电池板高度的植株进行生态恢复；对耕地区域进行复耕。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 xml:space="preserve">）临时措施：主体施工过程中，特别是下雨或刮风期施工时，为防止开挖填垫后的场地水蚀和风蚀，对电池阵列区、施工生产生活区等部位布设排水、拦挡和遮盖等临时防护措施，考虑临时工程的短时效性，选择有效、简单易行、易于拆除且投资小的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 xml:space="preserve">）管理措施：工程施工时序和施工安排对水土保持工程防治水土流失的效果影响很大。若施工时序和施工安排不当，不但不能有效预防施工中产生的水土流失，而且造成施工中的水土流失无从治理，失去预防优先的意义。道路路面要定期洒水，临时堆放的土石料和运输车辆应遮盖；定期对施工生产生活区空地洒水降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随着施工期结束，建设场地被水泥、建筑及植被覆盖，有利于消除水土流失的不利影响。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为保护生态环境，在环境管理体系指导下，项目施工期应进行精密设计，尽量缩短工期，减小施工对周围地形地貌等环境的影响。项目具体采取以下生态保护措施：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①对光伏电站区（太阳能电池板阵等）进行合理规划。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②现场施工机械和人员活动范围严格限制在作业带范围内，即道路施工作业宽度控制在距道路中轴两侧 </w:t>
            </w:r>
            <w:r>
              <w:rPr>
                <w:rFonts w:hint="default" w:ascii="Times New Roman" w:hAnsi="Times New Roman" w:eastAsia="宋体" w:cs="Times New Roman"/>
                <w:color w:val="auto"/>
                <w:lang w:val="en-US" w:eastAsia="zh-CN"/>
              </w:rPr>
              <w:t xml:space="preserve">10m </w:t>
            </w:r>
            <w:r>
              <w:rPr>
                <w:rFonts w:hint="eastAsia" w:ascii="Times New Roman" w:hAnsi="Times New Roman" w:eastAsia="宋体" w:cs="Times New Roman"/>
                <w:color w:val="auto"/>
                <w:lang w:val="en-US" w:eastAsia="zh-CN"/>
              </w:rPr>
              <w:t xml:space="preserve">以内，施工便道的宽度控制在 </w:t>
            </w:r>
            <w:r>
              <w:rPr>
                <w:rFonts w:hint="default" w:ascii="Times New Roman" w:hAnsi="Times New Roman" w:eastAsia="宋体" w:cs="Times New Roman"/>
                <w:color w:val="auto"/>
                <w:lang w:val="en-US" w:eastAsia="zh-CN"/>
              </w:rPr>
              <w:t>8m</w:t>
            </w:r>
            <w:r>
              <w:rPr>
                <w:rFonts w:hint="eastAsia" w:ascii="Times New Roman" w:hAnsi="Times New Roman" w:eastAsia="宋体" w:cs="Times New Roman"/>
                <w:color w:val="auto"/>
                <w:lang w:val="en-US" w:eastAsia="zh-CN"/>
              </w:rPr>
              <w:t>，尽量减少施工破坏面；同时还应避免在大风</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六级及以上</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 xml:space="preserve">天气下进行施工作业。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③在场内运输道路修筑中，应尽量使用太阳能电池板阵及建筑物基础施工中的弃土，以避免各分散施工场地的弃土随意堆放；开挖土方全部用于回填及碎石道路基础铺垫。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④施工作业结束后，及时平整各类施工迹地，并压紧夯实。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⑤尽量减少大型机械施工，基坑开挖后，尽快浇筑混凝土，并及时回填，其表层进行碾压，缩短裸露时间，减少扬尘发生。基坑开挖严禁爆破，以减少粉尘及震动对周围环境的影响。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⑥电缆沟施工后应及时恢复原有地貌。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⑦场内的光伏组件全部架空高度大于 </w:t>
            </w:r>
            <w:r>
              <w:rPr>
                <w:rFonts w:hint="default" w:ascii="Times New Roman" w:hAnsi="Times New Roman" w:eastAsia="宋体" w:cs="Times New Roman"/>
                <w:color w:val="auto"/>
                <w:lang w:val="en-US" w:eastAsia="zh-CN"/>
              </w:rPr>
              <w:t>0.5m</w:t>
            </w:r>
            <w:r>
              <w:rPr>
                <w:rFonts w:hint="eastAsia" w:ascii="Times New Roman" w:hAnsi="Times New Roman" w:eastAsia="宋体" w:cs="Times New Roman"/>
                <w:color w:val="auto"/>
                <w:lang w:val="en-US" w:eastAsia="zh-CN"/>
              </w:rPr>
              <w:t xml:space="preserve">，不会直接压占土地；每个区域太阳能电池阵列施工完成后，对区域进行生态恢复，由于本项目为光伏发电项目，要求生态恢复时种植株高低于太阳能电池板高度的植株进行生态恢复，待生态恢复施工完成后进入下一个区域的施工。评价要求建成后场区无裸地外露。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综上所述，项目施工期对环境产生的上述影响均为短期的，项目建成后，影响即自行消除。建设单位和施工单位在施工过程中只要切实落实对施工产生的扬尘、噪声、固体废物的管理和控制措施，施工期的环境影响将得到有效控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）具体生态防护与恢复措施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）光伏场区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光伏电站场位于荒坡上，场地需要做平整，开挖土方可全部用于回填及简易道路基础铺垫。根据光伏电站施工特点及各发电单元的相互独立性，电站可考虑分区施工，未施工电池阵列区域、公共站用地、绿化区域用地等均可作为临时的施工区，故本工程不考虑场址外的施工期临时占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水土流失防治措施主要采用工程措施、植物措施、临时措施和管理措施相结合的综合防护措施，在时间上、空间上形成水土保持措施体系：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①工程措施：对光伏场区原地貌为灌草丛、耕地的箱变基础、光伏板安装基础在施工前进行表土剥离，剥离厚度 </w:t>
            </w:r>
            <w:r>
              <w:rPr>
                <w:rFonts w:hint="default" w:ascii="Times New Roman" w:hAnsi="Times New Roman" w:eastAsia="宋体" w:cs="Times New Roman"/>
                <w:color w:val="auto"/>
                <w:lang w:val="en-US" w:eastAsia="zh-CN"/>
              </w:rPr>
              <w:t>0.3m</w:t>
            </w:r>
            <w:r>
              <w:rPr>
                <w:rFonts w:hint="eastAsia" w:ascii="Times New Roman" w:hAnsi="Times New Roman" w:eastAsia="宋体" w:cs="Times New Roman"/>
                <w:color w:val="auto"/>
                <w:lang w:val="en-US" w:eastAsia="zh-CN"/>
              </w:rPr>
              <w:t xml:space="preserve">，基础施工剥离的表土堆存于箱变、光伏板基础周围，一侧空地，待施工结束后对复耕和植被恢复区域进行表土回覆。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施工结束后，对场区需植被恢复和复耕的区域进行全面整地，整地面积为光伏场区内除支架及逆变器</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 xml:space="preserve">箱变基础和场内道路以外的区域。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②植物措施：光伏场区对于占用其他草地的区域的光伏板之间空地处采用灌草方式进行植被恢复，采取种植柠条、披碱草灌草结合方式，柠条种植标准10000穴/hm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；间距为1m×1m，披碱草30kg/hm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③临时措施：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a </w:t>
            </w:r>
            <w:r>
              <w:rPr>
                <w:rFonts w:hint="eastAsia" w:ascii="Times New Roman" w:hAnsi="Times New Roman" w:eastAsia="宋体" w:cs="Times New Roman"/>
                <w:color w:val="auto"/>
                <w:lang w:val="en-US" w:eastAsia="zh-CN"/>
              </w:rPr>
              <w:t xml:space="preserve">施工区临时土工布覆盖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根据扰动类型，对光伏板基础周围、电缆管线沟槽两侧堆放回填土和施工设备占压区域采用临时铺设土工布的方式保护表土资源，待施工结合后揭除土工布，简单整理上述区域即可满足迹地恢复要求。考虑到光伏场区分片施工特点，土工布可重复利用，需土工布 </w:t>
            </w:r>
            <w:r>
              <w:rPr>
                <w:rFonts w:hint="default" w:ascii="Times New Roman" w:hAnsi="Times New Roman" w:eastAsia="宋体" w:cs="Times New Roman"/>
                <w:color w:val="auto"/>
                <w:lang w:val="en-US" w:eastAsia="zh-CN"/>
              </w:rPr>
              <w:t>3.4hm²</w:t>
            </w:r>
            <w:r>
              <w:rPr>
                <w:rFonts w:hint="eastAsia" w:ascii="Times New Roman" w:hAnsi="Times New Roman" w:eastAsia="宋体"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b </w:t>
            </w:r>
            <w:r>
              <w:rPr>
                <w:rFonts w:hint="eastAsia" w:ascii="Times New Roman" w:hAnsi="Times New Roman" w:eastAsia="宋体" w:cs="Times New Roman"/>
                <w:color w:val="auto"/>
                <w:lang w:val="en-US" w:eastAsia="zh-CN"/>
              </w:rPr>
              <w:t xml:space="preserve">表土堆放临时防护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光伏场区施工期间剥离表土区域包括箱变基础以及场内道路，在施工过程中的对剥离的表土进行防护，考虑将剥离的表土堆放于箱变基础周围一侧和道路一侧，堆土高 </w:t>
            </w:r>
            <w:r>
              <w:rPr>
                <w:rFonts w:hint="default" w:ascii="Times New Roman" w:hAnsi="Times New Roman" w:eastAsia="宋体" w:cs="Times New Roman"/>
                <w:color w:val="auto"/>
                <w:lang w:val="en-US" w:eastAsia="zh-CN"/>
              </w:rPr>
              <w:t>3m</w:t>
            </w:r>
            <w:r>
              <w:rPr>
                <w:rFonts w:hint="eastAsia" w:ascii="Times New Roman" w:hAnsi="Times New Roman" w:eastAsia="宋体" w:cs="Times New Roman"/>
                <w:color w:val="auto"/>
                <w:lang w:val="en-US" w:eastAsia="zh-CN"/>
              </w:rPr>
              <w:t xml:space="preserve">，边坡 </w:t>
            </w:r>
            <w:r>
              <w:rPr>
                <w:rFonts w:hint="default" w:ascii="Times New Roman" w:hAnsi="Times New Roman" w:eastAsia="宋体" w:cs="Times New Roman"/>
                <w:color w:val="auto"/>
                <w:lang w:val="en-US" w:eastAsia="zh-CN"/>
              </w:rPr>
              <w:t>1:1</w:t>
            </w:r>
            <w:r>
              <w:rPr>
                <w:rFonts w:hint="eastAsia" w:ascii="Times New Roman" w:hAnsi="Times New Roman" w:eastAsia="宋体" w:cs="Times New Roman"/>
                <w:color w:val="auto"/>
                <w:lang w:val="en-US" w:eastAsia="zh-CN"/>
              </w:rPr>
              <w:t xml:space="preserve">，四周洒水并由铁锹拍实，并进行苫盖处理。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④管理措施：工程施工时序和施工安排对水土保持工程防治水土流失的效果影响很大。若施工时序和施工安排不当，不但不能有效预防施工中产生的水土流失，而且造成施工中的水土流失无从治理，失去预防优先的意义。道路路面要定期洒水，临时堆放的土石料和运输车辆应遮盖；定期对施工生产生活区空地洒水降尘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随着施工期结束，建设场地被水泥、建筑及植被覆盖，有利于消除水土流失的不利影响。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综上所述，项目施工期对环境产生的上述影响均为短期的，项目建成后，影响即自行消除。建设单位和施工单位在施工过程中只要切实落实对施工产生的扬尘、噪声、固体废物的管理和控制措施，施工期的环境影响将得到有效控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）集电线路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①工程措施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本工程光伏场区箱变之间、箱变与逆变器间、</w:t>
            </w:r>
            <w:r>
              <w:rPr>
                <w:rFonts w:hint="default" w:ascii="Times New Roman" w:hAnsi="Times New Roman" w:eastAsia="宋体" w:cs="Times New Roman"/>
                <w:color w:val="auto"/>
                <w:lang w:val="en-US" w:eastAsia="zh-CN"/>
              </w:rPr>
              <w:t xml:space="preserve">35kV </w:t>
            </w:r>
            <w:r>
              <w:rPr>
                <w:rFonts w:hint="eastAsia" w:ascii="Times New Roman" w:hAnsi="Times New Roman" w:eastAsia="宋体" w:cs="Times New Roman"/>
                <w:color w:val="auto"/>
                <w:lang w:val="en-US" w:eastAsia="zh-CN"/>
              </w:rPr>
              <w:t>集电线路进站集电线路采取直埋方式敷设，全部为临时占地。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②植物恢复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评价要求埋地线路施工区域在施工结束后进行植被恢复。采用播撒草籽，选择品质优良的一级草籽，播种密度：披碱草30kg/hm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）施工道路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①排水沟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在施工道路部分爬山段靠近山体侧布设排水沟。排水沟采用简易种草排水沟排入自然沟道内，排水沟断面采用梯形断面，底宽 </w:t>
            </w:r>
            <w:r>
              <w:rPr>
                <w:rFonts w:hint="default" w:ascii="Times New Roman" w:hAnsi="Times New Roman" w:eastAsia="宋体" w:cs="Times New Roman"/>
                <w:color w:val="auto"/>
                <w:lang w:val="en-US" w:eastAsia="zh-CN"/>
              </w:rPr>
              <w:t>0.4m</w:t>
            </w:r>
            <w:r>
              <w:rPr>
                <w:rFonts w:hint="eastAsia" w:ascii="Times New Roman" w:hAnsi="Times New Roman" w:eastAsia="宋体" w:cs="Times New Roman"/>
                <w:color w:val="auto"/>
                <w:lang w:val="en-US" w:eastAsia="zh-CN"/>
              </w:rPr>
              <w:t xml:space="preserve">，深 </w:t>
            </w:r>
            <w:r>
              <w:rPr>
                <w:rFonts w:hint="default" w:ascii="Times New Roman" w:hAnsi="Times New Roman" w:eastAsia="宋体" w:cs="Times New Roman"/>
                <w:color w:val="auto"/>
                <w:lang w:val="en-US" w:eastAsia="zh-CN"/>
              </w:rPr>
              <w:t>0.4m</w:t>
            </w:r>
            <w:r>
              <w:rPr>
                <w:rFonts w:hint="eastAsia" w:ascii="Times New Roman" w:hAnsi="Times New Roman" w:eastAsia="宋体" w:cs="Times New Roman"/>
                <w:color w:val="auto"/>
                <w:lang w:val="en-US" w:eastAsia="zh-CN"/>
              </w:rPr>
              <w:t>，边坡比为</w:t>
            </w:r>
            <w:r>
              <w:rPr>
                <w:rFonts w:hint="default" w:ascii="Times New Roman" w:hAnsi="Times New Roman" w:eastAsia="宋体" w:cs="Times New Roman"/>
                <w:color w:val="auto"/>
                <w:lang w:val="en-US" w:eastAsia="zh-CN"/>
              </w:rPr>
              <w:t>1:0.58</w:t>
            </w:r>
            <w:r>
              <w:rPr>
                <w:rFonts w:hint="eastAsia" w:ascii="Times New Roman" w:hAnsi="Times New Roman" w:eastAsia="宋体" w:cs="Times New Roman"/>
                <w:color w:val="auto"/>
                <w:lang w:val="en-US" w:eastAsia="zh-CN"/>
              </w:rPr>
              <w:t>，种草方式选择播草籽。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在排水沟外侧的自然沟道处布设顺接工程。顺接工程采用简易种草排水沟，排水沟比降与自然沟道一致，断面采用梯形断面，底宽 </w:t>
            </w:r>
            <w:r>
              <w:rPr>
                <w:rFonts w:hint="default" w:ascii="Times New Roman" w:hAnsi="Times New Roman" w:eastAsia="宋体" w:cs="Times New Roman"/>
                <w:color w:val="auto"/>
                <w:lang w:val="en-US" w:eastAsia="zh-CN"/>
              </w:rPr>
              <w:t>0.4m</w:t>
            </w:r>
            <w:r>
              <w:rPr>
                <w:rFonts w:hint="eastAsia" w:ascii="Times New Roman" w:hAnsi="Times New Roman" w:eastAsia="宋体" w:cs="Times New Roman"/>
                <w:color w:val="auto"/>
                <w:lang w:val="en-US" w:eastAsia="zh-CN"/>
              </w:rPr>
              <w:t xml:space="preserve">，深 </w:t>
            </w:r>
            <w:r>
              <w:rPr>
                <w:rFonts w:hint="default" w:ascii="Times New Roman" w:hAnsi="Times New Roman" w:eastAsia="宋体" w:cs="Times New Roman"/>
                <w:color w:val="auto"/>
                <w:lang w:val="en-US" w:eastAsia="zh-CN"/>
              </w:rPr>
              <w:t>0.4m</w:t>
            </w:r>
            <w:r>
              <w:rPr>
                <w:rFonts w:hint="eastAsia" w:ascii="Times New Roman" w:hAnsi="Times New Roman" w:eastAsia="宋体" w:cs="Times New Roman"/>
                <w:color w:val="auto"/>
                <w:lang w:val="en-US" w:eastAsia="zh-CN"/>
              </w:rPr>
              <w:t xml:space="preserve">，边坡比为 </w:t>
            </w:r>
            <w:r>
              <w:rPr>
                <w:rFonts w:hint="default" w:ascii="Times New Roman" w:hAnsi="Times New Roman" w:eastAsia="宋体" w:cs="Times New Roman"/>
                <w:color w:val="auto"/>
                <w:lang w:val="en-US" w:eastAsia="zh-CN"/>
              </w:rPr>
              <w:t>1:0.58</w:t>
            </w:r>
            <w:r>
              <w:rPr>
                <w:rFonts w:hint="eastAsia" w:ascii="Times New Roman" w:hAnsi="Times New Roman" w:eastAsia="宋体"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②道路两侧绿化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道路部分两侧栽植灌草丛。根据工程特性对该项目采取工程措施和绿化措施进行生态环境综合治理。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）临时施工用地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临时施工用地占地面积约为 </w:t>
            </w:r>
            <w:r>
              <w:rPr>
                <w:rFonts w:hint="default" w:ascii="Times New Roman" w:hAnsi="Times New Roman" w:eastAsia="宋体" w:cs="Times New Roman"/>
                <w:color w:val="auto"/>
                <w:lang w:val="en-US" w:eastAsia="zh-CN"/>
              </w:rPr>
              <w:t>0.</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lang w:val="en-US" w:eastAsia="zh-CN"/>
              </w:rPr>
              <w:t>hm</w:t>
            </w:r>
            <w:r>
              <w:rPr>
                <w:rFonts w:hint="default"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，施工结束后，进行生态恢复，采取灌草相结合的方式，栽植灌草丛。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1"/>
                <w:szCs w:val="21"/>
              </w:rPr>
              <w:t>工程施工期生态环境保护措施</w:t>
            </w:r>
            <w:r>
              <w:rPr>
                <w:rFonts w:hint="eastAsia" w:ascii="Times New Roman" w:hAnsi="Times New Roman" w:eastAsia="宋体" w:cs="Times New Roman"/>
                <w:color w:val="auto"/>
                <w:sz w:val="21"/>
                <w:szCs w:val="21"/>
                <w:lang w:val="en-US" w:eastAsia="zh-CN"/>
              </w:rPr>
              <w:t>一览</w:t>
            </w:r>
            <w:r>
              <w:rPr>
                <w:rFonts w:hint="default" w:ascii="Times New Roman" w:hAnsi="Times New Roman" w:eastAsia="宋体" w:cs="Times New Roman"/>
                <w:color w:val="auto"/>
                <w:sz w:val="21"/>
                <w:szCs w:val="21"/>
              </w:rPr>
              <w:t>表</w:t>
            </w:r>
            <w:r>
              <w:rPr>
                <w:rFonts w:hint="eastAsia" w:ascii="Times New Roman" w:hAnsi="Times New Roman" w:eastAsia="宋体" w:cs="Times New Roman"/>
                <w:color w:val="auto"/>
                <w:sz w:val="21"/>
                <w:szCs w:val="21"/>
                <w:lang w:val="en-US" w:eastAsia="zh-CN"/>
              </w:rPr>
              <w:t>见表5-1，</w:t>
            </w:r>
            <w:r>
              <w:rPr>
                <w:rFonts w:hint="eastAsia" w:ascii="Times New Roman" w:hAnsi="Times New Roman" w:eastAsia="宋体" w:cs="Times New Roman"/>
                <w:color w:val="auto"/>
                <w:highlight w:val="none"/>
                <w:lang w:val="en-US" w:eastAsia="zh-CN"/>
              </w:rPr>
              <w:t xml:space="preserve">具体生态恢复治理典型设计平面布置图见附图 </w:t>
            </w:r>
            <w:r>
              <w:rPr>
                <w:rFonts w:hint="default"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1。</w:t>
            </w:r>
          </w:p>
          <w:p>
            <w:pPr>
              <w:jc w:val="center"/>
              <w:rPr>
                <w:color w:val="auto"/>
              </w:rPr>
            </w:pPr>
            <w:r>
              <w:rPr>
                <w:rFonts w:hint="eastAsia" w:ascii="Times New Roman" w:hAnsi="Times New Roman" w:eastAsia="宋体" w:cs="Times New Roman"/>
                <w:color w:val="auto"/>
                <w:lang w:val="en-US" w:eastAsia="zh-CN"/>
              </w:rPr>
              <w:t>表</w:t>
            </w:r>
            <w:r>
              <w:rPr>
                <w:rFonts w:hint="default" w:ascii="Times New Roman" w:hAnsi="Times New Roman" w:eastAsia="宋体" w:cs="Times New Roman"/>
                <w:color w:val="auto"/>
                <w:lang w:val="en-US" w:eastAsia="zh-CN"/>
              </w:rPr>
              <w:t>5-</w:t>
            </w:r>
            <w:r>
              <w:rPr>
                <w:rFonts w:hint="eastAsia" w:ascii="Times New Roman" w:hAnsi="Times New Roman" w:eastAsia="宋体" w:cs="Times New Roman"/>
                <w:color w:val="auto"/>
                <w:lang w:val="en-US" w:eastAsia="zh-CN"/>
              </w:rPr>
              <w:t xml:space="preserve">1 </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sz w:val="21"/>
                <w:szCs w:val="21"/>
              </w:rPr>
              <w:t>工程施工期生态环境保护措施</w:t>
            </w:r>
            <w:r>
              <w:rPr>
                <w:rFonts w:hint="eastAsia" w:ascii="Times New Roman" w:hAnsi="Times New Roman" w:eastAsia="宋体" w:cs="Times New Roman"/>
                <w:color w:val="auto"/>
                <w:sz w:val="21"/>
                <w:szCs w:val="21"/>
                <w:lang w:val="en-US" w:eastAsia="zh-CN"/>
              </w:rPr>
              <w:t>一览</w:t>
            </w:r>
            <w:r>
              <w:rPr>
                <w:rFonts w:hint="default" w:ascii="Times New Roman" w:hAnsi="Times New Roman" w:eastAsia="宋体" w:cs="Times New Roman"/>
                <w:color w:val="auto"/>
                <w:sz w:val="21"/>
                <w:szCs w:val="21"/>
              </w:rPr>
              <w:t>表</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1374"/>
              <w:gridCol w:w="6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834"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hint="eastAsia" w:ascii="Times New Roman" w:hAnsi="Times New Roman" w:eastAsia="宋体"/>
                      <w:color w:val="auto"/>
                      <w:sz w:val="21"/>
                      <w:szCs w:val="21"/>
                      <w:lang w:eastAsia="zh-CN"/>
                    </w:rPr>
                  </w:pPr>
                  <w:r>
                    <w:rPr>
                      <w:rFonts w:hint="eastAsia" w:ascii="Times New Roman" w:hAnsi="Times New Roman" w:eastAsia="宋体"/>
                      <w:color w:val="auto"/>
                      <w:spacing w:val="0"/>
                      <w:w w:val="100"/>
                      <w:position w:val="0"/>
                      <w:sz w:val="21"/>
                      <w:szCs w:val="21"/>
                      <w:lang w:val="en-US" w:eastAsia="zh-CN"/>
                    </w:rPr>
                    <w:t>防治区</w:t>
                  </w:r>
                </w:p>
              </w:tc>
              <w:tc>
                <w:tcPr>
                  <w:tcW w:w="416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主要治理措施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2278" w:hRule="exact"/>
                <w:jc w:val="center"/>
              </w:trPr>
              <w:tc>
                <w:tcPr>
                  <w:tcW w:w="834"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光伏场区</w:t>
                  </w:r>
                </w:p>
              </w:tc>
              <w:tc>
                <w:tcPr>
                  <w:tcW w:w="416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在施工前进行表土剥离，剥离厚度 0.3m，基础施工剥离的表土堆存于箱变、光伏板基础周围一侧空地，待施工结束后对复耕和植被恢复区域进行表土回覆。</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施工结束后，对场区需植被恢复和复耕的区域进行全面整地，整地面积为光伏场区内除支架及逆变器-箱变基础和场内道路以外的区域。 </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光伏板之间空地处采用灌草方式进行植被恢复，采取种植柠条、披碱草灌草结合方式</w:t>
                  </w:r>
                  <w:r>
                    <w:rPr>
                      <w:rFonts w:hint="eastAsia" w:ascii="Times New Roman" w:hAnsi="Times New Roman" w:eastAsia="宋体" w:cs="Times New Roman"/>
                      <w:color w:val="auto"/>
                      <w:sz w:val="21"/>
                      <w:lang w:val="en-US" w:eastAsia="zh-CN"/>
                    </w:rPr>
                    <w:t>，柠条种植标准10000穴/hm</w:t>
                  </w:r>
                  <w:r>
                    <w:rPr>
                      <w:rFonts w:hint="eastAsia" w:ascii="Times New Roman" w:hAnsi="Times New Roman" w:eastAsia="宋体" w:cs="Times New Roman"/>
                      <w:color w:val="auto"/>
                      <w:sz w:val="21"/>
                      <w:vertAlign w:val="superscript"/>
                      <w:lang w:val="en-US" w:eastAsia="zh-CN"/>
                    </w:rPr>
                    <w:t>2</w:t>
                  </w:r>
                  <w:r>
                    <w:rPr>
                      <w:rFonts w:hint="eastAsia" w:ascii="Times New Roman" w:hAnsi="Times New Roman" w:eastAsia="宋体" w:cs="Times New Roman"/>
                      <w:color w:val="auto"/>
                      <w:sz w:val="21"/>
                      <w:lang w:val="en-US" w:eastAsia="zh-CN"/>
                    </w:rPr>
                    <w:t>；间距为1m×1m，披碱草30kg/hm</w:t>
                  </w:r>
                  <w:r>
                    <w:rPr>
                      <w:rFonts w:hint="eastAsia" w:ascii="Times New Roman" w:hAnsi="Times New Roman" w:eastAsia="宋体" w:cs="Times New Roman"/>
                      <w:color w:val="auto"/>
                      <w:sz w:val="21"/>
                      <w:vertAlign w:val="superscript"/>
                      <w:lang w:val="en-US" w:eastAsia="zh-CN"/>
                    </w:rPr>
                    <w:t>2</w:t>
                  </w:r>
                  <w:r>
                    <w:rPr>
                      <w:rFonts w:hint="eastAsia" w:ascii="Times New Roman" w:hAnsi="Times New Roman" w:eastAsia="宋体" w:cs="Times New Roman"/>
                      <w:color w:val="auto"/>
                      <w:sz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247" w:hRule="exact"/>
                <w:jc w:val="center"/>
              </w:trPr>
              <w:tc>
                <w:tcPr>
                  <w:tcW w:w="834"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集电线路</w:t>
                  </w:r>
                </w:p>
              </w:tc>
              <w:tc>
                <w:tcPr>
                  <w:tcW w:w="416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本工程光伏场区箱变之间、箱变与逆变器间、</w:t>
                  </w:r>
                  <w:r>
                    <w:rPr>
                      <w:rFonts w:hint="default" w:ascii="Times New Roman" w:hAnsi="Times New Roman" w:eastAsia="宋体"/>
                      <w:color w:val="auto"/>
                      <w:sz w:val="21"/>
                      <w:szCs w:val="21"/>
                      <w:lang w:val="en-US" w:eastAsia="zh-CN"/>
                    </w:rPr>
                    <w:t xml:space="preserve">35kV </w:t>
                  </w:r>
                  <w:r>
                    <w:rPr>
                      <w:rFonts w:hint="eastAsia" w:ascii="Times New Roman" w:hAnsi="Times New Roman" w:eastAsia="宋体"/>
                      <w:color w:val="auto"/>
                      <w:sz w:val="21"/>
                      <w:szCs w:val="21"/>
                      <w:lang w:val="en-US" w:eastAsia="zh-CN"/>
                    </w:rPr>
                    <w:t>集电线路进站集电线路采取直埋方式敷设，全部为临时占地。</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埋地线路施工区域在施工结束后进行植被恢复。采用播撒草籽，选择品质优良的一级草籽，播种密度：披碱草30kg/hm</w:t>
                  </w:r>
                  <w:r>
                    <w:rPr>
                      <w:rFonts w:hint="eastAsia" w:ascii="Times New Roman" w:hAnsi="Times New Roman" w:eastAsia="宋体"/>
                      <w:color w:val="auto"/>
                      <w:sz w:val="21"/>
                      <w:szCs w:val="21"/>
                      <w:vertAlign w:val="superscript"/>
                      <w:lang w:val="en-US" w:eastAsia="zh-CN"/>
                    </w:rPr>
                    <w:t>2</w:t>
                  </w:r>
                  <w:r>
                    <w:rPr>
                      <w:rFonts w:hint="eastAsia" w:ascii="Times New Roman" w:hAnsi="Times New Roman" w:eastAsia="宋体"/>
                      <w:color w:val="auto"/>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548" w:hRule="exact"/>
                <w:jc w:val="center"/>
              </w:trPr>
              <w:tc>
                <w:tcPr>
                  <w:tcW w:w="834"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s="Times New Roman"/>
                      <w:color w:val="auto"/>
                      <w:sz w:val="21"/>
                      <w:szCs w:val="21"/>
                      <w:lang w:val="en-US" w:eastAsia="zh-CN"/>
                    </w:rPr>
                    <w:t>施工道路</w:t>
                  </w:r>
                </w:p>
              </w:tc>
              <w:tc>
                <w:tcPr>
                  <w:tcW w:w="416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 xml:space="preserve">在施工道路部分爬山段靠近山体侧布设排水沟。排水沟采用简易种草排水沟排入自然沟道内，排水沟断面采用梯形断面，底宽 </w:t>
                  </w:r>
                  <w:r>
                    <w:rPr>
                      <w:rFonts w:hint="default" w:ascii="Times New Roman" w:hAnsi="Times New Roman" w:eastAsia="宋体"/>
                      <w:color w:val="auto"/>
                      <w:sz w:val="21"/>
                      <w:szCs w:val="21"/>
                      <w:lang w:val="en-US" w:eastAsia="zh-CN"/>
                    </w:rPr>
                    <w:t>0.4m</w:t>
                  </w:r>
                  <w:r>
                    <w:rPr>
                      <w:rFonts w:hint="eastAsia" w:ascii="Times New Roman" w:hAnsi="Times New Roman" w:eastAsia="宋体"/>
                      <w:color w:val="auto"/>
                      <w:sz w:val="21"/>
                      <w:szCs w:val="21"/>
                      <w:lang w:val="en-US" w:eastAsia="zh-CN"/>
                    </w:rPr>
                    <w:t xml:space="preserve">，深 </w:t>
                  </w:r>
                  <w:r>
                    <w:rPr>
                      <w:rFonts w:hint="default" w:ascii="Times New Roman" w:hAnsi="Times New Roman" w:eastAsia="宋体"/>
                      <w:color w:val="auto"/>
                      <w:sz w:val="21"/>
                      <w:szCs w:val="21"/>
                      <w:lang w:val="en-US" w:eastAsia="zh-CN"/>
                    </w:rPr>
                    <w:t>0.4m</w:t>
                  </w:r>
                  <w:r>
                    <w:rPr>
                      <w:rFonts w:hint="eastAsia" w:ascii="Times New Roman" w:hAnsi="Times New Roman" w:eastAsia="宋体"/>
                      <w:color w:val="auto"/>
                      <w:sz w:val="21"/>
                      <w:szCs w:val="21"/>
                      <w:lang w:val="en-US" w:eastAsia="zh-CN"/>
                    </w:rPr>
                    <w:t>，边坡比为</w:t>
                  </w:r>
                  <w:r>
                    <w:rPr>
                      <w:rFonts w:hint="default" w:ascii="Times New Roman" w:hAnsi="Times New Roman" w:eastAsia="宋体"/>
                      <w:color w:val="auto"/>
                      <w:sz w:val="21"/>
                      <w:szCs w:val="21"/>
                      <w:lang w:val="en-US" w:eastAsia="zh-CN"/>
                    </w:rPr>
                    <w:t>1:0.58</w:t>
                  </w:r>
                  <w:r>
                    <w:rPr>
                      <w:rFonts w:hint="eastAsia" w:ascii="Times New Roman" w:hAnsi="Times New Roman" w:eastAsia="宋体"/>
                      <w:color w:val="auto"/>
                      <w:sz w:val="21"/>
                      <w:szCs w:val="21"/>
                      <w:lang w:val="en-US" w:eastAsia="zh-CN"/>
                    </w:rPr>
                    <w:t>，种草方式选择播草籽。</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 xml:space="preserve">道路部分两侧栽植灌草丛。根据工程特性对该项目采取工程措施和绿化措施进行生态环境综合治理。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737" w:hRule="exact"/>
                <w:jc w:val="center"/>
              </w:trPr>
              <w:tc>
                <w:tcPr>
                  <w:tcW w:w="834"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rFonts w:ascii="Times New Roman" w:hAnsi="Times New Roman" w:eastAsia="宋体"/>
                      <w:color w:val="auto"/>
                      <w:sz w:val="21"/>
                      <w:szCs w:val="21"/>
                    </w:rPr>
                  </w:pPr>
                  <w:r>
                    <w:rPr>
                      <w:rFonts w:hint="eastAsia" w:ascii="Times New Roman" w:hAnsi="Times New Roman" w:eastAsia="宋体" w:cs="Times New Roman"/>
                      <w:color w:val="auto"/>
                      <w:sz w:val="21"/>
                      <w:szCs w:val="21"/>
                      <w:lang w:val="en-US" w:eastAsia="zh-CN"/>
                    </w:rPr>
                    <w:t>临时施工用地</w:t>
                  </w:r>
                </w:p>
              </w:tc>
              <w:tc>
                <w:tcPr>
                  <w:tcW w:w="416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ascii="Times New Roman" w:hAnsi="Times New Roman" w:eastAsia="宋体"/>
                      <w:color w:val="auto"/>
                      <w:sz w:val="21"/>
                      <w:szCs w:val="21"/>
                    </w:rPr>
                  </w:pPr>
                  <w:r>
                    <w:rPr>
                      <w:rFonts w:hint="eastAsia" w:ascii="Times New Roman" w:hAnsi="Times New Roman" w:eastAsia="宋体"/>
                      <w:color w:val="auto"/>
                      <w:sz w:val="21"/>
                      <w:szCs w:val="21"/>
                      <w:lang w:val="en-US" w:eastAsia="zh-CN"/>
                    </w:rPr>
                    <w:t xml:space="preserve">临时施工用地占地面积约为 </w:t>
                  </w:r>
                  <w:r>
                    <w:rPr>
                      <w:rFonts w:hint="default" w:ascii="Times New Roman" w:hAnsi="Times New Roman" w:eastAsia="宋体"/>
                      <w:color w:val="auto"/>
                      <w:sz w:val="21"/>
                      <w:szCs w:val="21"/>
                      <w:lang w:val="en-US" w:eastAsia="zh-CN"/>
                    </w:rPr>
                    <w:t>0.</w:t>
                  </w:r>
                  <w:r>
                    <w:rPr>
                      <w:rFonts w:hint="eastAsia" w:ascii="Times New Roman" w:hAnsi="Times New Roman" w:eastAsia="宋体"/>
                      <w:color w:val="auto"/>
                      <w:sz w:val="21"/>
                      <w:szCs w:val="21"/>
                      <w:lang w:val="en-US" w:eastAsia="zh-CN"/>
                    </w:rPr>
                    <w:t>8</w:t>
                  </w:r>
                  <w:r>
                    <w:rPr>
                      <w:rFonts w:hint="default" w:ascii="Times New Roman" w:hAnsi="Times New Roman" w:eastAsia="宋体"/>
                      <w:color w:val="auto"/>
                      <w:sz w:val="21"/>
                      <w:szCs w:val="21"/>
                      <w:lang w:val="en-US" w:eastAsia="zh-CN"/>
                    </w:rPr>
                    <w:t>hm</w:t>
                  </w:r>
                  <w:r>
                    <w:rPr>
                      <w:rFonts w:hint="default" w:ascii="Times New Roman" w:hAnsi="Times New Roman" w:eastAsia="宋体"/>
                      <w:color w:val="auto"/>
                      <w:sz w:val="21"/>
                      <w:szCs w:val="21"/>
                      <w:vertAlign w:val="superscript"/>
                      <w:lang w:val="en-US" w:eastAsia="zh-CN"/>
                    </w:rPr>
                    <w:t>2</w:t>
                  </w:r>
                  <w:r>
                    <w:rPr>
                      <w:rFonts w:hint="eastAsia" w:ascii="Times New Roman" w:hAnsi="Times New Roman" w:eastAsia="宋体"/>
                      <w:color w:val="auto"/>
                      <w:sz w:val="21"/>
                      <w:szCs w:val="21"/>
                      <w:lang w:val="en-US" w:eastAsia="zh-CN"/>
                    </w:rPr>
                    <w:t>，施工结束后，进行生态恢复，采取灌草相结合的方式，栽植灌草丛。</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2.3 </w:t>
            </w:r>
            <w:r>
              <w:rPr>
                <w:rFonts w:hint="eastAsia" w:ascii="Times New Roman" w:hAnsi="Times New Roman" w:eastAsia="宋体" w:cs="Times New Roman"/>
                <w:color w:val="auto"/>
                <w:lang w:val="en-US" w:eastAsia="zh-CN"/>
              </w:rPr>
              <w:t xml:space="preserve">生态环境管理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生态环境管理是政府环境保护机构依据国家和地方制定的有关自然资源与生态保护的法律、法规、条例、技术规范、标准等所进行的技术含量很高的行政管理工作。对自然资源开发建设项目的生态影响实施有效管理是日常工作的一个重要组成部分。因此，根据光伏发电项目建设的性质、规模、生态影响的程度和范围、项目所在地的自然、社会、经济等一系列因素、提出的生态防护与恢复措施等，本评价提出生态管理建议如下：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）生态环境管理目标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①防止电场范围内生境进一步破碎化和岛屿化。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②防止区域自然体系生产能力进一步降低。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③防止水土流失的日趋严重。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④严格执行施工破坏的植被恢复措施，避免带来新的生态破坏和损失。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⑤电场建成后植被覆盖率不低于现状。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）生态环境管理措施的落实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①建立高效、务实的生态环境管理体系，并接受行政主管部门的监督与管理。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②建设单位与工程监理单位一起确保工程进程中生态环境环保工作的顺利进行，并及时沟通、相互协调。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施工单位应合理进行施工布置，精心组织施工管理，合理安排施工季节和作业时间，优化施工方案，减少废弃土石方的临时堆放，并尽量避免在雨季进行大量动土和开挖工程，有效减少区域水土流失，并教育施工人员爱护施工场地周围的一草一木，从而尽可能地减小对景观环境的破坏。新建施工道路时，要尽量减少对自然环境的破坏，选择隐蔽性好、易于恢复或便于今后留给当地村民作农耕通道的地方，减轻对自然景观的潜在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3</w:t>
            </w:r>
            <w:r>
              <w:rPr>
                <w:rFonts w:hint="eastAsia" w:ascii="Times New Roman" w:hAnsi="Times New Roman" w:eastAsia="宋体" w:cs="Times New Roman"/>
                <w:b/>
                <w:bCs/>
                <w:color w:val="auto"/>
                <w:lang w:val="en-US" w:eastAsia="zh-CN"/>
              </w:rPr>
              <w:t xml:space="preserve">、施工期废气污染防治措施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结合项目施工场地周边生态环境现状，根据《山西省人民政府关于印发山西省打赢蓝天保卫战三年行动计划的通知》（晋政发</w:t>
            </w:r>
            <w:r>
              <w:rPr>
                <w:rFonts w:hint="default" w:ascii="Times New Roman" w:hAnsi="Times New Roman" w:eastAsia="宋体" w:cs="Times New Roman"/>
                <w:color w:val="auto"/>
                <w:lang w:val="en-US" w:eastAsia="zh-CN"/>
              </w:rPr>
              <w:t xml:space="preserve">[2018]30 </w:t>
            </w:r>
            <w:r>
              <w:rPr>
                <w:rFonts w:hint="eastAsia" w:ascii="Times New Roman" w:hAnsi="Times New Roman" w:eastAsia="宋体" w:cs="Times New Roman"/>
                <w:color w:val="auto"/>
                <w:lang w:val="en-US" w:eastAsia="zh-CN"/>
              </w:rPr>
              <w:t>号）和山西省环境保护厅晋环发（</w:t>
            </w:r>
            <w:r>
              <w:rPr>
                <w:rFonts w:hint="default" w:ascii="Times New Roman" w:hAnsi="Times New Roman" w:eastAsia="宋体" w:cs="Times New Roman"/>
                <w:color w:val="auto"/>
                <w:lang w:val="en-US" w:eastAsia="zh-CN"/>
              </w:rPr>
              <w:t>2010</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 xml:space="preserve">136 </w:t>
            </w:r>
            <w:r>
              <w:rPr>
                <w:rFonts w:hint="eastAsia" w:ascii="Times New Roman" w:hAnsi="Times New Roman" w:eastAsia="宋体" w:cs="Times New Roman"/>
                <w:color w:val="auto"/>
                <w:lang w:val="en-US" w:eastAsia="zh-CN"/>
              </w:rPr>
              <w:t xml:space="preserve">号文件的相关要求控制施工扬尘，加强施工期扬尘污染治理，为此评价要求：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）加强露天堆场、裸露地面扬尘整治，全面清理施工期产生的建筑垃圾，不能及时清理的必须采取苫盖等抑尘措施。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）回填土方集中堆积，采用不透水帆布覆盖，防止扬尘产生，防止造成水土流失；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）机械和材料尽量堆存要远离村庄一侧，在施工过程中要防止大风天气，及时对临时材料堆放场物料散漏进行防护；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 xml:space="preserve">）工地应有专人负责逸散性材料、垃圾、渣土、裸地等密闭、覆盖、洒水作业；加大筑路材料堆放场洒水次数，减小粉尘产生量。施工现场定期喷洒，保证地面湿润，不起尘。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5</w:t>
            </w:r>
            <w:r>
              <w:rPr>
                <w:rFonts w:hint="eastAsia" w:ascii="Times New Roman" w:hAnsi="Times New Roman" w:eastAsia="宋体" w:cs="Times New Roman"/>
                <w:color w:val="auto"/>
                <w:lang w:val="en-US" w:eastAsia="zh-CN"/>
              </w:rPr>
              <w:t xml:space="preserve">）物料运输采用封闭式自卸车辆，施工场地车辆进出口应设置车轮浸洗池，对车轮清洗以保证车辆清洁上路。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6</w:t>
            </w:r>
            <w:r>
              <w:rPr>
                <w:rFonts w:hint="eastAsia" w:ascii="Times New Roman" w:hAnsi="Times New Roman" w:eastAsia="宋体" w:cs="Times New Roman"/>
                <w:color w:val="auto"/>
                <w:lang w:val="en-US" w:eastAsia="zh-CN"/>
              </w:rPr>
              <w:t xml:space="preserve">）施工机械废气主要包括运输车辆和柴油发电机产生的废气，评价要求对施工机械加强保养，燃用符合标准的油品，严禁使用报废车辆和柴油发电机，以减少施工对周围环境空气的影响。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4</w:t>
            </w:r>
            <w:r>
              <w:rPr>
                <w:rFonts w:hint="eastAsia" w:ascii="Times New Roman" w:hAnsi="Times New Roman" w:eastAsia="宋体" w:cs="Times New Roman"/>
                <w:b/>
                <w:bCs/>
                <w:color w:val="auto"/>
                <w:lang w:val="en-US" w:eastAsia="zh-CN"/>
              </w:rPr>
              <w:t xml:space="preserve">、施工废水的防治措施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施工期间施工人员可使用旱厕，少量生活污水用于场地洒水降尘；施工生产废水收集后进行沉淀处理后用作施工场地洒水抑尘，不会排入地表水体，不利影响较小。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5</w:t>
            </w:r>
            <w:r>
              <w:rPr>
                <w:rFonts w:hint="eastAsia" w:ascii="Times New Roman" w:hAnsi="Times New Roman" w:eastAsia="宋体" w:cs="Times New Roman"/>
                <w:b/>
                <w:bCs/>
                <w:color w:val="auto"/>
                <w:lang w:val="en-US" w:eastAsia="zh-CN"/>
              </w:rPr>
              <w:t xml:space="preserve">、施工噪声的防治措施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为减少对周围村庄的影响，环评要求建设单位采取以下防治措施来减轻噪声对周围环境的影响：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w:t>
            </w:r>
            <w:r>
              <w:rPr>
                <w:rFonts w:hint="eastAsia" w:ascii="Times New Roman" w:hAnsi="Times New Roman" w:eastAsia="宋体" w:cs="Times New Roman"/>
                <w:color w:val="auto"/>
                <w:lang w:val="en-US" w:eastAsia="zh-CN"/>
              </w:rPr>
              <w:t xml:space="preserve">）制定严格合理的施工计划，集中安排高噪声施工阶段，便于合理控制；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w:t>
            </w:r>
            <w:r>
              <w:rPr>
                <w:rFonts w:hint="eastAsia" w:ascii="Times New Roman" w:hAnsi="Times New Roman" w:eastAsia="宋体" w:cs="Times New Roman"/>
                <w:color w:val="auto"/>
                <w:lang w:val="en-US" w:eastAsia="zh-CN"/>
              </w:rPr>
              <w:t xml:space="preserve">）在距离村庄较近的区域施工时，高产噪设备的施工时间应安排在日间非休息时段，禁止夜间施工；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 xml:space="preserve">）施工设备选型上应尽量采用低噪声设备，如振捣器采用变频振捣器等；对动力机械设备进行定期的维修、养护；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 xml:space="preserve">）对位置相对固定的产噪机械设备，能设在棚内操作的应设置操作间，不能入棚的要建立隔声屏障，以减少施工噪声对周围环境的影响；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5</w:t>
            </w:r>
            <w:r>
              <w:rPr>
                <w:rFonts w:hint="eastAsia" w:ascii="Times New Roman" w:hAnsi="Times New Roman" w:eastAsia="宋体" w:cs="Times New Roman"/>
                <w:color w:val="auto"/>
                <w:lang w:val="en-US" w:eastAsia="zh-CN"/>
              </w:rPr>
              <w:t xml:space="preserve">）施工期，建设单位和有关管理部门应设立举报途径，并应加强日常监督管理，发现违规行为应及时纠正，以确保工程施工阶段的声环境要求。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在采取以上噪声防治措施后，可有效降低施工噪声对周围环境的影响。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6</w:t>
            </w:r>
            <w:r>
              <w:rPr>
                <w:rFonts w:hint="eastAsia" w:ascii="Times New Roman" w:hAnsi="Times New Roman" w:eastAsia="宋体" w:cs="Times New Roman"/>
                <w:b/>
                <w:bCs/>
                <w:color w:val="auto"/>
                <w:lang w:val="en-US" w:eastAsia="zh-CN"/>
              </w:rPr>
              <w:t xml:space="preserve">、施工固体废物的防治措施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施工人员产生的生活垃圾统一收集后由当地环卫部门统一处理。施工过程中产生的土石方，全部就地平衡，并恢复植被，不产生工程土石弃方。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7、防沙治沙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根据《全国防沙治沙规划（2011-2020）》，本项目所在区域为京津及周边沙化土地治理区</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b w:val="0"/>
                <w:bCs/>
                <w:color w:val="auto"/>
                <w:sz w:val="21"/>
                <w:szCs w:val="21"/>
                <w:highlight w:val="none"/>
                <w:lang w:val="en-US" w:eastAsia="zh-CN"/>
              </w:rPr>
              <w:t>不在沙化土地封禁保护区。</w:t>
            </w:r>
            <w:r>
              <w:rPr>
                <w:rFonts w:hint="default" w:ascii="Times New Roman" w:hAnsi="Times New Roman" w:eastAsia="宋体" w:cs="Times New Roman"/>
                <w:color w:val="auto"/>
                <w:lang w:val="en-US" w:eastAsia="zh-CN"/>
              </w:rPr>
              <w:t>本次评价提出以下防沙治沙措施：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（1)应加快建设步伐，尽量缩短建设工期。施工方在施工时，对裸露地面及物料堆放区采取遮盖措施等，以有效防止水土流失和防沙固沙。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（2）加强光伏场区地面硬化，在项目区四周及其它空闲区域做好绿化工作，不宜绿化区全部硬化，项目区内不得有裸露地面。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 xml:space="preserve">8、施工期环境监理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生态恢复环境监理是整个项目环境监理过程的重点之一，是确保</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三同时</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制度有效落实的重要环节，对项目实现区域最大生态生产力具有重要的作用和意义。建设单位签订的施工监理合同应明确环境监理内容，将生态恢复指标及水土保持措施落实在施工期环境监理日常工作中。本项目施工期应有专人负责环境保护措施的监理工作，确保施工期各项环保措施的实施，对施工过程是否造成水土流失加剧和生态环境破坏，是否符合国家有关环保法律、法规等进行监理。</w:t>
            </w:r>
          </w:p>
          <w:p>
            <w:pPr>
              <w:jc w:val="center"/>
              <w:rPr>
                <w:color w:val="auto"/>
              </w:rPr>
            </w:pPr>
            <w:r>
              <w:rPr>
                <w:rFonts w:hint="eastAsia" w:ascii="Times New Roman" w:hAnsi="Times New Roman" w:eastAsia="宋体" w:cs="Times New Roman"/>
                <w:color w:val="auto"/>
                <w:lang w:val="en-US" w:eastAsia="zh-CN"/>
              </w:rPr>
              <w:t>表</w:t>
            </w:r>
            <w:r>
              <w:rPr>
                <w:rFonts w:hint="default" w:ascii="Times New Roman" w:hAnsi="Times New Roman" w:eastAsia="宋体" w:cs="Times New Roman"/>
                <w:color w:val="auto"/>
                <w:lang w:val="en-US" w:eastAsia="zh-CN"/>
              </w:rPr>
              <w:t>5-</w:t>
            </w:r>
            <w:r>
              <w:rPr>
                <w:rFonts w:hint="eastAsia" w:ascii="Times New Roman" w:hAnsi="Times New Roman" w:eastAsia="宋体" w:cs="Times New Roman"/>
                <w:color w:val="auto"/>
                <w:lang w:val="en-US" w:eastAsia="zh-CN"/>
              </w:rPr>
              <w:t xml:space="preserve">2 </w:t>
            </w:r>
            <w:r>
              <w:rPr>
                <w:rFonts w:hint="default" w:ascii="Times New Roman" w:hAnsi="Times New Roman" w:eastAsia="宋体" w:cs="Times New Roman"/>
                <w:color w:val="auto"/>
                <w:lang w:val="en-US" w:eastAsia="zh-CN"/>
              </w:rPr>
              <w:t xml:space="preserve"> </w:t>
            </w:r>
            <w:r>
              <w:rPr>
                <w:rFonts w:hint="eastAsia" w:ascii="Times New Roman" w:hAnsi="Times New Roman" w:eastAsia="宋体" w:cs="Times New Roman"/>
                <w:color w:val="auto"/>
                <w:lang w:val="en-US" w:eastAsia="zh-CN"/>
              </w:rPr>
              <w:t>工期环境监理技术要点</w:t>
            </w:r>
          </w:p>
          <w:tbl>
            <w:tblPr>
              <w:tblStyle w:val="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508"/>
              <w:gridCol w:w="503"/>
              <w:gridCol w:w="1002"/>
              <w:gridCol w:w="6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时 段</w:t>
                  </w: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监理重点</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监理内容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247" w:hRule="exact"/>
                <w:jc w:val="center"/>
              </w:trPr>
              <w:tc>
                <w:tcPr>
                  <w:tcW w:w="3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设 计 期</w:t>
                  </w: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敏感目标</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查看施工设计图及资料进行，核实箱变、检修道路等工程内容与环评中评价的各项工程内容是否一致，是否完全落实了环境影响评价报告中相关环保措施，核实评价范围内是否有敏感目标，调查敏感目标的方位及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vMerge w:val="restar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施 工 前 期</w:t>
                  </w:r>
                </w:p>
              </w:tc>
              <w:tc>
                <w:tcPr>
                  <w:tcW w:w="913" w:type="pct"/>
                  <w:gridSpan w:val="2"/>
                  <w:vMerge w:val="restar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生态保护</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施工前应合理选址选线，以最小的生态破坏为施工前提，加强施工人员的环保教育，禁止野蛮施工。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913" w:type="pct"/>
                  <w:gridSpan w:val="2"/>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施工前对永久占地处原有覆盖植被区域的表层土壤进行剥离并暂时存放，作为施工结束后的植被恢复用土。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913" w:type="pct"/>
                  <w:gridSpan w:val="2"/>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合理划定施工范围并设置围挡，严格控制施工扰动范围。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913" w:type="pct"/>
                  <w:gridSpan w:val="2"/>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进场检修道路两侧按需要设置护坡及排水沟，防止施工中水土流失加剧。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vMerge w:val="restar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pacing w:val="0"/>
                      <w:w w:val="100"/>
                      <w:position w:val="0"/>
                      <w:sz w:val="21"/>
                      <w:szCs w:val="21"/>
                    </w:rPr>
                  </w:pPr>
                  <w:r>
                    <w:rPr>
                      <w:color w:val="auto"/>
                      <w:spacing w:val="0"/>
                      <w:w w:val="100"/>
                      <w:position w:val="0"/>
                      <w:sz w:val="21"/>
                      <w:szCs w:val="21"/>
                    </w:rPr>
                    <w:t>施</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工</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期</w:t>
                  </w:r>
                </w:p>
              </w:tc>
              <w:tc>
                <w:tcPr>
                  <w:tcW w:w="305" w:type="pct"/>
                  <w:vMerge w:val="restar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pacing w:val="0"/>
                      <w:w w:val="100"/>
                      <w:position w:val="0"/>
                      <w:sz w:val="21"/>
                      <w:szCs w:val="21"/>
                    </w:rPr>
                  </w:pPr>
                  <w:r>
                    <w:rPr>
                      <w:color w:val="auto"/>
                      <w:spacing w:val="0"/>
                      <w:w w:val="100"/>
                      <w:position w:val="0"/>
                      <w:sz w:val="21"/>
                      <w:szCs w:val="21"/>
                    </w:rPr>
                    <w:t>噪</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声</w:t>
                  </w:r>
                </w:p>
              </w:tc>
              <w:tc>
                <w:tcPr>
                  <w:tcW w:w="6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pacing w:val="0"/>
                      <w:w w:val="100"/>
                      <w:position w:val="0"/>
                      <w:sz w:val="21"/>
                      <w:szCs w:val="21"/>
                    </w:rPr>
                  </w:pPr>
                  <w:r>
                    <w:rPr>
                      <w:color w:val="auto"/>
                      <w:spacing w:val="0"/>
                      <w:w w:val="100"/>
                      <w:position w:val="0"/>
                      <w:sz w:val="21"/>
                      <w:szCs w:val="21"/>
                    </w:rPr>
                    <w:t>施工机</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械设备</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必须选用符合国家有关环境保护标准的施工机械；合理布置施工场地，优化施工顺序。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680"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05"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6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交通运 输噪声</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加强道路养护和车辆的维修保养，经行居民点时采取限速禁鸣措施；与 周围村民做好沟通工作，减少扰民问题。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907"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0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废</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水</w:t>
                  </w:r>
                </w:p>
              </w:tc>
              <w:tc>
                <w:tcPr>
                  <w:tcW w:w="6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施工废水、生活 污水</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监督避免雨天施工，采取覆盖措施；监督机械设备是否漏油；盥洗废水</w:t>
                  </w:r>
                  <w:r>
                    <w:rPr>
                      <w:rFonts w:hint="eastAsia" w:ascii="Times New Roman" w:hAnsi="Times New Roman" w:eastAsia="宋体" w:cs="Times New Roman"/>
                      <w:color w:val="auto"/>
                      <w:sz w:val="21"/>
                      <w:szCs w:val="21"/>
                      <w:lang w:val="en-US" w:eastAsia="zh-CN"/>
                    </w:rPr>
                    <w:t>收集沉淀处理后可用于洒水抑尘</w:t>
                  </w:r>
                  <w:r>
                    <w:rPr>
                      <w:color w:val="auto"/>
                      <w:spacing w:val="0"/>
                      <w:w w:val="100"/>
                      <w:position w:val="0"/>
                      <w:sz w:val="21"/>
                      <w:szCs w:val="21"/>
                    </w:rPr>
                    <w:t>，不外排；加强在生活区严格管理，保持生活区清洁卫生。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305"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扬 尘</w:t>
                  </w:r>
                </w:p>
              </w:tc>
              <w:tc>
                <w:tcPr>
                  <w:tcW w:w="608"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挖填方、场地平整、运输车辆</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监督检查施工过程中，是否采用合理可行的污染防治措施，尽量减轻扬尘污染影响范围。主要有施工工地道路的维护和管理，是否制定洒水抑尘制度；散装物料是否采取罐装或加盖苫布，其运输车量是否避开居民稠密区；施工工地是否设置散状物料临时贮存库房或用防尘网覆盖；建筑垃圾是否清运；施工现场是否设置围栏等防护措施，减轻其扬尘污染影响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308" w:type="pct"/>
                  <w:vMerge w:val="continue"/>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土壤</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严格按照施工范围和施工设计路线施工、减少扰动区域面积。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417"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固废</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设生活垃圾暂存点，集中收集后由当地环卫部门统一处理。合理安排工程土石方调度，做到土石方平衡；临时堆放的土石余方集中堆放，并采取苫盖措施；施工道路要做好边坡的拦挡和防护措施，严禁顺坡倾倒土石，建设期要全程做好临时防护措施，减少施工过程中造成的水土流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474" w:hRule="exact"/>
                <w:jc w:val="center"/>
              </w:trPr>
              <w:tc>
                <w:tcPr>
                  <w:tcW w:w="308" w:type="pct"/>
                  <w:vMerge w:val="restar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施</w:t>
                  </w:r>
                </w:p>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工 后 期</w:t>
                  </w: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植被恢复</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施工扰动的土地应及时夯实、硬化，避开雨季施工，防止水土流失；优化施工顺序，对临时占用的土地及时进行植被恢复，减少生态破坏；施工结束后应立即进行临时用地植被恢复和绿化。植被恢复使用施工前剥离的表层土壤。植被种植后应注重的在建植初期的养护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1191" w:hRule="exact"/>
                <w:jc w:val="center"/>
              </w:trPr>
              <w:tc>
                <w:tcPr>
                  <w:tcW w:w="308" w:type="pct"/>
                  <w:vMerge w:val="continue"/>
                  <w:tcBorders>
                    <w:tl2br w:val="nil"/>
                    <w:tr2bl w:val="nil"/>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jc w:val="center"/>
                    <w:textAlignment w:val="auto"/>
                    <w:rPr>
                      <w:color w:val="auto"/>
                      <w:sz w:val="21"/>
                      <w:szCs w:val="21"/>
                    </w:rPr>
                  </w:pPr>
                </w:p>
              </w:tc>
              <w:tc>
                <w:tcPr>
                  <w:tcW w:w="913" w:type="pct"/>
                  <w:gridSpan w:val="2"/>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center"/>
                    <w:textAlignment w:val="auto"/>
                    <w:rPr>
                      <w:color w:val="auto"/>
                      <w:sz w:val="21"/>
                      <w:szCs w:val="21"/>
                    </w:rPr>
                  </w:pPr>
                  <w:r>
                    <w:rPr>
                      <w:color w:val="auto"/>
                      <w:spacing w:val="0"/>
                      <w:w w:val="100"/>
                      <w:position w:val="0"/>
                      <w:sz w:val="21"/>
                      <w:szCs w:val="21"/>
                    </w:rPr>
                    <w:t>水土保持、达标排放</w:t>
                  </w:r>
                </w:p>
              </w:tc>
              <w:tc>
                <w:tcPr>
                  <w:tcW w:w="3777" w:type="pct"/>
                  <w:tcBorders>
                    <w:tl2br w:val="nil"/>
                    <w:tr2bl w:val="nil"/>
                  </w:tcBorders>
                  <w:noWrap w:val="0"/>
                  <w:tcMar>
                    <w:top w:w="0" w:type="dxa"/>
                    <w:left w:w="57" w:type="dxa"/>
                    <w:bottom w:w="0" w:type="dxa"/>
                    <w:right w:w="57" w:type="dxa"/>
                  </w:tcMar>
                  <w:vAlign w:val="center"/>
                </w:tcPr>
                <w:p>
                  <w:pPr>
                    <w:pStyle w:val="12"/>
                    <w:keepNext w:val="0"/>
                    <w:keepLines w:val="0"/>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color w:val="auto"/>
                      <w:sz w:val="21"/>
                      <w:szCs w:val="21"/>
                    </w:rPr>
                  </w:pPr>
                  <w:r>
                    <w:rPr>
                      <w:color w:val="auto"/>
                      <w:spacing w:val="0"/>
                      <w:w w:val="100"/>
                      <w:position w:val="0"/>
                      <w:sz w:val="21"/>
                      <w:szCs w:val="21"/>
                    </w:rPr>
                    <w:t>监督检查各项环保措施是否符合</w:t>
                  </w:r>
                  <w:r>
                    <w:rPr>
                      <w:rFonts w:ascii="Times New Roman" w:hAnsi="Times New Roman" w:eastAsia="Times New Roman" w:cs="Times New Roman"/>
                      <w:color w:val="auto"/>
                      <w:spacing w:val="0"/>
                      <w:w w:val="100"/>
                      <w:position w:val="0"/>
                      <w:sz w:val="21"/>
                      <w:szCs w:val="21"/>
                    </w:rPr>
                    <w:t>“</w:t>
                  </w:r>
                  <w:r>
                    <w:rPr>
                      <w:color w:val="auto"/>
                      <w:spacing w:val="0"/>
                      <w:w w:val="100"/>
                      <w:position w:val="0"/>
                      <w:sz w:val="21"/>
                      <w:szCs w:val="21"/>
                    </w:rPr>
                    <w:t>三同时</w:t>
                  </w:r>
                  <w:r>
                    <w:rPr>
                      <w:color w:val="auto"/>
                      <w:spacing w:val="0"/>
                      <w:w w:val="100"/>
                      <w:position w:val="0"/>
                      <w:sz w:val="21"/>
                      <w:szCs w:val="21"/>
                      <w:lang w:val="en-US" w:eastAsia="en-US" w:bidi="en-US"/>
                    </w:rPr>
                    <w:t>''</w:t>
                  </w:r>
                  <w:r>
                    <w:rPr>
                      <w:color w:val="auto"/>
                      <w:spacing w:val="0"/>
                      <w:w w:val="100"/>
                      <w:position w:val="0"/>
                      <w:sz w:val="21"/>
                      <w:szCs w:val="21"/>
                    </w:rPr>
                    <w:t>要求，项目环评及批复要求是否得到有效落实。重点跟踪项目水土保持措施和箱变的临时占地植被恢复状态，并按照环评文件的要求对场内生态恢复工作进行监督。</w:t>
                  </w:r>
                </w:p>
              </w:tc>
            </w:tr>
          </w:tbl>
          <w:p>
            <w:pPr>
              <w:pStyle w:val="3"/>
              <w:rPr>
                <w:rFonts w:hint="eastAsia" w:ascii="Times New Roman" w:hAnsi="Times New Roman" w:eastAsia="宋体" w:cs="Times New Roman"/>
                <w:color w:val="auto"/>
                <w:lang w:val="en-US" w:eastAsia="zh-CN"/>
              </w:rPr>
            </w:pPr>
          </w:p>
          <w:p>
            <w:pPr>
              <w:pStyle w:val="2"/>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3" w:hRule="atLeast"/>
          <w:jc w:val="center"/>
        </w:trPr>
        <w:tc>
          <w:tcPr>
            <w:tcW w:w="753" w:type="dxa"/>
            <w:noWrap w:val="0"/>
            <w:tcMar>
              <w:left w:w="28" w:type="dxa"/>
              <w:right w:w="28" w:type="dxa"/>
            </w:tcMar>
            <w:vAlign w:val="center"/>
          </w:tcPr>
          <w:p>
            <w:pPr>
              <w:adjustRightInd w:val="0"/>
              <w:snapToGrid w:val="0"/>
              <w:jc w:val="center"/>
              <w:rPr>
                <w:rFonts w:ascii="宋体" w:hAnsi="宋体" w:cs="宋体"/>
                <w:bCs/>
                <w:color w:val="auto"/>
                <w:spacing w:val="10"/>
                <w:szCs w:val="21"/>
              </w:rPr>
            </w:pPr>
            <w:r>
              <w:rPr>
                <w:rFonts w:hint="eastAsia" w:ascii="宋体" w:hAnsi="宋体" w:cs="宋体"/>
                <w:bCs/>
                <w:color w:val="auto"/>
                <w:spacing w:val="10"/>
                <w:szCs w:val="21"/>
              </w:rPr>
              <w:t>运营期生态环境保护措施</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lang w:val="en-US" w:eastAsia="zh-CN"/>
              </w:rPr>
            </w:pPr>
            <w:r>
              <w:rPr>
                <w:rFonts w:hint="default"/>
                <w:color w:val="auto"/>
                <w:lang w:val="en-US" w:eastAsia="zh-CN"/>
              </w:rPr>
              <w:t>1</w:t>
            </w:r>
            <w:r>
              <w:rPr>
                <w:rFonts w:hint="eastAsia"/>
                <w:color w:val="auto"/>
                <w:lang w:val="en-US" w:eastAsia="zh-CN"/>
              </w:rPr>
              <w:t xml:space="preserve">、生态环境保护措施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（1）运营期生态环境保护措施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评价要求运营初期制定植被恢复管理计划，定期巡查植被恢复情况，监测恢复区植被覆盖度，做好记录，对长势不良的植被及时进行补植。同时建设单位应对光伏板下的草丛适时修剪，加强防火管理，防止因漏电引发火灾对区域植被的损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加强对职工的环境保护教育，提高环保认识，杜绝对各种动物的滥捕、滥猎现象。采取以上的补偿与恢复措施后，将有利于改善电场及其周边的生态环境，为区域生态与经济协调发展创造一个良好的环境。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（2）服务期满后生态恢复措施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为了恢复植被，使光伏项目建设对植被的影响减到最低，采取以植物措施为主的方法，进行防治，达到改善生态环境的目的。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光伏场地遗留的设备应全部拆除处理、清运。对光伏场地进行土地平整后，尽量恢复原地貌。选择耐旱、适应性强、成活率高的乡土性植物品种。从固土、固氮和水土保持着眼，进行乔、灌、草科学配置。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lang w:val="en-US" w:eastAsia="zh-CN"/>
              </w:rPr>
            </w:pPr>
            <w:r>
              <w:rPr>
                <w:rFonts w:hint="default"/>
                <w:color w:val="auto"/>
                <w:lang w:val="en-US" w:eastAsia="zh-CN"/>
              </w:rPr>
              <w:t>2</w:t>
            </w:r>
            <w:r>
              <w:rPr>
                <w:rFonts w:hint="eastAsia"/>
                <w:color w:val="auto"/>
                <w:lang w:val="en-US" w:eastAsia="zh-CN"/>
              </w:rPr>
              <w:t xml:space="preserve">、大气环境影响保护措施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本项目运营后，无废气产生。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lang w:val="en-US" w:eastAsia="zh-CN"/>
              </w:rPr>
            </w:pPr>
            <w:r>
              <w:rPr>
                <w:rFonts w:hint="default"/>
                <w:color w:val="auto"/>
                <w:lang w:val="en-US" w:eastAsia="zh-CN"/>
              </w:rPr>
              <w:t>3</w:t>
            </w:r>
            <w:r>
              <w:rPr>
                <w:rFonts w:hint="eastAsia"/>
                <w:color w:val="auto"/>
                <w:lang w:val="en-US" w:eastAsia="zh-CN"/>
              </w:rPr>
              <w:t xml:space="preserve">、水环境影响保护措施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本项运营期间产生的废水主要是光伏组件的清洗废水。光伏组件冲洗水不加洗涤剂，废水水质成分简单，主要为 </w:t>
            </w:r>
            <w:r>
              <w:rPr>
                <w:rFonts w:hint="default"/>
                <w:color w:val="auto"/>
                <w:lang w:val="en-US" w:eastAsia="zh-CN"/>
              </w:rPr>
              <w:t>SS</w:t>
            </w:r>
            <w:r>
              <w:rPr>
                <w:rFonts w:hint="eastAsia"/>
                <w:color w:val="auto"/>
                <w:lang w:val="en-US" w:eastAsia="zh-CN"/>
              </w:rPr>
              <w:t>，年产生量为2068</w:t>
            </w:r>
            <w:r>
              <w:rPr>
                <w:rFonts w:hint="default"/>
                <w:color w:val="auto"/>
                <w:lang w:val="en-US" w:eastAsia="zh-CN"/>
              </w:rPr>
              <w:t>m</w:t>
            </w:r>
            <w:r>
              <w:rPr>
                <w:rFonts w:hint="default"/>
                <w:color w:val="auto"/>
                <w:vertAlign w:val="superscript"/>
                <w:lang w:val="en-US" w:eastAsia="zh-CN"/>
              </w:rPr>
              <w:t>3</w:t>
            </w:r>
            <w:r>
              <w:rPr>
                <w:rFonts w:hint="eastAsia"/>
                <w:color w:val="auto"/>
                <w:lang w:val="en-US" w:eastAsia="zh-CN"/>
              </w:rPr>
              <w:t>，</w:t>
            </w:r>
            <w:r>
              <w:rPr>
                <w:rFonts w:hint="eastAsia"/>
                <w:color w:val="auto"/>
                <w:lang w:val="en-US" w:eastAsia="en-US"/>
              </w:rPr>
              <w:t>直接流入周边草丛吸收和蒸发。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lang w:val="en-US" w:eastAsia="zh-CN"/>
              </w:rPr>
            </w:pPr>
            <w:r>
              <w:rPr>
                <w:rFonts w:hint="default"/>
                <w:color w:val="auto"/>
                <w:lang w:val="en-US" w:eastAsia="zh-CN"/>
              </w:rPr>
              <w:t>4</w:t>
            </w:r>
            <w:r>
              <w:rPr>
                <w:rFonts w:hint="eastAsia"/>
                <w:color w:val="auto"/>
                <w:lang w:val="en-US" w:eastAsia="zh-CN"/>
              </w:rPr>
              <w:t xml:space="preserve">、声环境影响保护措施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运营期噪声源主要是箱式变压器的运行噪声，为了尽量减小噪声对周围环境的影响，设计时将箱变在场内合理布置，距离场区边界 10m 以上，运行期基本不会对周边居民声环境产生明显影响。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color w:val="auto"/>
                <w:lang w:val="en-US" w:eastAsia="zh-CN"/>
              </w:rPr>
            </w:pPr>
            <w:r>
              <w:rPr>
                <w:rFonts w:hint="default"/>
                <w:color w:val="auto"/>
                <w:lang w:val="en-US" w:eastAsia="zh-CN"/>
              </w:rPr>
              <w:t>5</w:t>
            </w:r>
            <w:r>
              <w:rPr>
                <w:rFonts w:hint="eastAsia"/>
                <w:color w:val="auto"/>
                <w:lang w:val="en-US" w:eastAsia="zh-CN"/>
              </w:rPr>
              <w:t xml:space="preserve">、固体废物影响保护措施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 xml:space="preserve">本项目运营期间产生的固体废物有废光伏组件、废电气元件和废旧蓄电池。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1</w:t>
            </w:r>
            <w:r>
              <w:rPr>
                <w:rFonts w:hint="eastAsia"/>
                <w:color w:val="auto"/>
                <w:lang w:val="en-US" w:eastAsia="zh-CN"/>
              </w:rPr>
              <w:t xml:space="preserve">）废光伏组件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光伏电池板故障率约为万分之一，本项目共布置光伏组件148512块，则光伏电站每年出现故障的光伏组件约为14块</w:t>
            </w:r>
            <w:r>
              <w:rPr>
                <w:rFonts w:hint="default"/>
                <w:color w:val="auto"/>
                <w:lang w:val="en-US" w:eastAsia="zh-CN"/>
              </w:rPr>
              <w:t>/a</w:t>
            </w:r>
            <w:r>
              <w:rPr>
                <w:rFonts w:hint="eastAsia"/>
                <w:color w:val="auto"/>
                <w:lang w:val="en-US" w:eastAsia="zh-CN"/>
              </w:rPr>
              <w:t>，废旧光伏组件属于电子垃圾须由生产厂家回收处置。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2</w:t>
            </w:r>
            <w:r>
              <w:rPr>
                <w:rFonts w:hint="eastAsia"/>
                <w:color w:val="auto"/>
                <w:lang w:val="en-US" w:eastAsia="zh-CN"/>
              </w:rPr>
              <w:t>）废电气元件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逆变器整机的设计寿命为</w:t>
            </w:r>
            <w:r>
              <w:rPr>
                <w:rFonts w:hint="default"/>
                <w:color w:val="auto"/>
                <w:lang w:val="en-US" w:eastAsia="zh-CN"/>
              </w:rPr>
              <w:t>25</w:t>
            </w:r>
            <w:r>
              <w:rPr>
                <w:rFonts w:hint="eastAsia"/>
                <w:color w:val="auto"/>
                <w:lang w:val="en-US" w:eastAsia="zh-CN"/>
              </w:rPr>
              <w:t>年，箱变的设计寿命大于</w:t>
            </w:r>
            <w:r>
              <w:rPr>
                <w:rFonts w:hint="default"/>
                <w:color w:val="auto"/>
                <w:lang w:val="en-US" w:eastAsia="zh-CN"/>
              </w:rPr>
              <w:t>25</w:t>
            </w:r>
            <w:r>
              <w:rPr>
                <w:rFonts w:hint="eastAsia"/>
                <w:color w:val="auto"/>
                <w:lang w:val="en-US" w:eastAsia="zh-CN"/>
              </w:rPr>
              <w:t>年，所以在项目服务期限内不存在整机更换的情况。由于故障、检修等可能会更换一些电阻等内部元件，类比估算，废电气元件产生量约13件</w:t>
            </w:r>
            <w:r>
              <w:rPr>
                <w:rFonts w:hint="default"/>
                <w:color w:val="auto"/>
                <w:lang w:val="en-US" w:eastAsia="zh-CN"/>
              </w:rPr>
              <w:t>/a</w:t>
            </w:r>
            <w:r>
              <w:rPr>
                <w:rFonts w:hint="eastAsia"/>
                <w:color w:val="auto"/>
                <w:lang w:val="en-US" w:eastAsia="zh-CN"/>
              </w:rPr>
              <w:t>。更换下的废电气元件属于电子垃圾，须由生产厂家回收处置。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本项目变压器是干变不产生废油。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w:t>
            </w:r>
            <w:r>
              <w:rPr>
                <w:rFonts w:hint="default"/>
                <w:color w:val="auto"/>
                <w:lang w:val="en-US" w:eastAsia="zh-CN"/>
              </w:rPr>
              <w:t>3</w:t>
            </w:r>
            <w:r>
              <w:rPr>
                <w:rFonts w:hint="eastAsia"/>
                <w:color w:val="auto"/>
                <w:lang w:val="en-US" w:eastAsia="zh-CN"/>
              </w:rPr>
              <w:t>）废旧蓄电池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color w:val="auto"/>
                <w:lang w:val="en-US" w:eastAsia="zh-CN"/>
              </w:rPr>
              <w:t>场区箱变中使用免维护蓄电池，其正常寿命在</w:t>
            </w:r>
            <w:r>
              <w:rPr>
                <w:rFonts w:hint="default"/>
                <w:color w:val="auto"/>
                <w:lang w:val="en-US" w:eastAsia="zh-CN"/>
              </w:rPr>
              <w:t>5-8</w:t>
            </w:r>
            <w:r>
              <w:rPr>
                <w:rFonts w:hint="eastAsia"/>
                <w:color w:val="auto"/>
                <w:lang w:val="en-US" w:eastAsia="zh-CN"/>
              </w:rPr>
              <w:t>年间。类比估算，每年可能产生6块报废电池，根据《国家危险废物名录》（</w:t>
            </w:r>
            <w:r>
              <w:rPr>
                <w:rFonts w:hint="default"/>
                <w:color w:val="auto"/>
                <w:lang w:val="en-US" w:eastAsia="zh-CN"/>
              </w:rPr>
              <w:t>2021</w:t>
            </w:r>
            <w:r>
              <w:rPr>
                <w:rFonts w:hint="eastAsia"/>
                <w:color w:val="auto"/>
                <w:lang w:val="en-US" w:eastAsia="zh-CN"/>
              </w:rPr>
              <w:t>年版），废旧蓄电池属于危险废物中的</w:t>
            </w:r>
            <w:r>
              <w:rPr>
                <w:rFonts w:hint="default"/>
                <w:color w:val="auto"/>
                <w:lang w:val="en-US" w:eastAsia="zh-CN"/>
              </w:rPr>
              <w:t xml:space="preserve">“HW31 </w:t>
            </w:r>
            <w:r>
              <w:rPr>
                <w:rFonts w:hint="eastAsia"/>
                <w:color w:val="auto"/>
                <w:lang w:val="en-US" w:eastAsia="zh-CN"/>
              </w:rPr>
              <w:t>含铅废物</w:t>
            </w:r>
            <w:r>
              <w:rPr>
                <w:rFonts w:hint="default"/>
                <w:color w:val="auto"/>
                <w:lang w:val="en-US" w:eastAsia="zh-CN"/>
              </w:rPr>
              <w:t>”</w:t>
            </w:r>
            <w:r>
              <w:rPr>
                <w:rFonts w:hint="eastAsia"/>
                <w:color w:val="auto"/>
                <w:lang w:val="en-US" w:eastAsia="zh-CN"/>
              </w:rPr>
              <w:t>，废物代码为</w:t>
            </w:r>
            <w:r>
              <w:rPr>
                <w:rFonts w:hint="default"/>
                <w:color w:val="auto"/>
                <w:lang w:val="en-US" w:eastAsia="zh-CN"/>
              </w:rPr>
              <w:t>“900-052-31”</w:t>
            </w:r>
            <w:r>
              <w:rPr>
                <w:rFonts w:hint="eastAsia"/>
                <w:color w:val="auto"/>
                <w:lang w:val="en-US" w:eastAsia="zh-CN"/>
              </w:rPr>
              <w:t>。暂存于升压站危废暂存间最终交由资质单位处置。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对于危险废物评价要求危废暂存间应按照《危险废物贮存污染控制标准》（GB18597-2001）及其修改单（2013年）和《危险废物转移联单管理办法》（国家环境保护总局令第5号）的要求中的相关规定设计、建设。本项目具体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a.根据本项目的工序特点，经与建设单位沟通后，在升压站内设置一处危险废物暂存间，建筑面积20m</w:t>
            </w:r>
            <w:r>
              <w:rPr>
                <w:rFonts w:hint="eastAsia"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b.不同危险废物分类装入符合标准的容器内；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c.装载液体的容器内必须留足够的空间，容器顶部与液体表面之间保留100mm以上的空间；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d.盛装危险废物的容器上必须粘贴符合《危险废物贮存污染控制标准》（GB18597-2001)附录A所示的标签；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e.危险废物暂存库房不得接收未粘贴上述规定的标签或标签填写不规范的危险废物；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f.必须作好危险废物记录，记录上须注明危险废物的名称、来源、数量、特性和包装容器的类别、入库日期、存放库位、废物出库日期及接收单位名称；危险废物的记录和货单在危险废物回取后应继续保留三年。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g.必须定期对所贮存的危险废物包装容器及贮存设施进行检查，发现破损，应及时采取措施清理更换；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h.危险废物贮存库房设置灭火器等防火设备，做好火灾的预防工作；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i.在转移危险废物前，建设单位须按照国家有关规定报批危险废物转移计划：经批准后，产生单位应当向当地环境保护行政主管部门申请领取国务院环境保护行政主管部门统一制定的联单。并在危险废物转移前三日内报告当地环境保护行政主管部门，并同时将预期到达时间报告接受地环境保护行政主管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j.建设单位必须如实填写联单中产生单位栏目，并加盖公章，经交付危险废物运输单位核实验收签字后，将联单第一联副联自留存档，将联单第二联交当地环境保护“行政主管部门，联单第一联正联及其余各联交付运输单位随危险废物转移运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k.联单保存期限为五年；贮存危险废物的，其联单保存期限与危险废物贮存期限相同。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L.危废暂存间按GB15562.2的规定设置警示标志。危废暂存间周围应设置围墙或其它防护栅栏。应配备通信设备、照明设施、安全防护服装及工具，并设有应急防护设施。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color w:val="auto"/>
                <w:lang w:val="en-US" w:eastAsia="zh-CN"/>
              </w:rPr>
            </w:pPr>
            <w:r>
              <w:rPr>
                <w:rFonts w:hint="eastAsia" w:ascii="Times New Roman" w:hAnsi="Times New Roman" w:eastAsia="宋体" w:cs="Times New Roman"/>
                <w:color w:val="auto"/>
                <w:lang w:val="en-US" w:eastAsia="zh-CN"/>
              </w:rPr>
              <w:t>M.危废暂存间必须做好防渗措施。目前设计的方案为：采用2mm厚高密度聚乙烯或2mm厚其它人工材料，渗透系数≤10</w:t>
            </w:r>
            <w:r>
              <w:rPr>
                <w:rFonts w:hint="eastAsia" w:ascii="Times New Roman" w:hAnsi="Times New Roman" w:eastAsia="宋体" w:cs="Times New Roman"/>
                <w:color w:val="auto"/>
                <w:vertAlign w:val="superscript"/>
                <w:lang w:val="en-US" w:eastAsia="zh-CN"/>
              </w:rPr>
              <w:t>-10</w:t>
            </w:r>
            <w:r>
              <w:rPr>
                <w:rFonts w:hint="eastAsia" w:ascii="Times New Roman" w:hAnsi="Times New Roman" w:eastAsia="宋体" w:cs="Times New Roman"/>
                <w:color w:val="auto"/>
                <w:lang w:val="en-US" w:eastAsia="zh-CN"/>
              </w:rPr>
              <w:t>cm/s。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3" w:hRule="atLeast"/>
          <w:jc w:val="center"/>
        </w:trPr>
        <w:tc>
          <w:tcPr>
            <w:tcW w:w="753" w:type="dxa"/>
            <w:noWrap w:val="0"/>
            <w:vAlign w:val="center"/>
          </w:tcPr>
          <w:p>
            <w:pPr>
              <w:adjustRightInd w:val="0"/>
              <w:snapToGrid w:val="0"/>
              <w:jc w:val="center"/>
              <w:rPr>
                <w:rFonts w:ascii="宋体" w:hAnsi="宋体" w:cs="宋体"/>
                <w:bCs/>
                <w:color w:val="auto"/>
                <w:spacing w:val="10"/>
                <w:szCs w:val="21"/>
              </w:rPr>
            </w:pPr>
            <w:r>
              <w:rPr>
                <w:rFonts w:hint="eastAsia" w:ascii="宋体" w:hAnsi="宋体"/>
                <w:bCs/>
                <w:color w:val="auto"/>
                <w:szCs w:val="21"/>
              </w:rPr>
              <w:t>其他</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1、环境管理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环境管理是环境保护工作的重要内容之一，也是企业管理的重要组成部分，它利用行政、经济、技术、法律、教育等手段，对企业生产、经营发展、环境 保护的关系进行协调，将其列入企业的议事日程，对生产过程中产生的或可能 发生的环境问题进行深入细致的研究，制定合理的污染治理方案，以达到既发 展生产、增加经济效益，又保护环境的目的。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（1）环境管理机构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根据公司的实际情况，公司应配置1名专职环保管理人员。负责公司的环境管理工作，要及时提出存在的主要环境问题及有关建议，针对站点实际情况建立相应的环保规章制度，有效地落实环保措施，其主要职能应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①贯彻执行国家、地方和上级主管部门制定的环境保护方针、政.策、法令和法规；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②负责全公司环境保护工作计划的制定和实施；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③监督环保设施的运行及污染源控制；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④组织落实以环境保护为主要内容的技术措施、方案，监督“三同时”执行情况；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⑤组织环境管理宣传教育和技术交流活动，掌握最新环境保护动态以及有关信息。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（2）环境管理制度制定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制定相应的企业环境保护制度。如：“三废综合利用方法”、“排污申报管理制度”、“环境保护奖惩条例”等，并建立环保设施的技术档案，使环境管理工作有法可依，有章可循，并逐步纳入法制化、标准化轨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2、信息公开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（1）建设单位有义务向公众公开企业环境保护相关信息，公开内容包括：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企业基本信息：企业名称、主要建设内容，主要产品、装置规模、危险物质消耗及产生情况等；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主要污染源及治理情况：主要污染源个数、排放的主要污染物种类、主要污染物排放情况等。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突发环境事件应急情况：应急等级及相应情况、应急措施、疏散路线说明、应急人员的联系方式；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环境监督举报：企业环境监督电话、当地环境违法举报电话。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（2）公开方式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color w:val="auto"/>
              </w:rPr>
            </w:pPr>
            <w:r>
              <w:rPr>
                <w:rFonts w:hint="eastAsia" w:ascii="Times New Roman" w:hAnsi="Times New Roman" w:eastAsia="宋体" w:cs="Times New Roman"/>
                <w:color w:val="auto"/>
                <w:lang w:val="en-US" w:eastAsia="zh-CN"/>
              </w:rPr>
              <w:t>根据企业实际情况，可釆取网站公示及厂外设立公示牌方式公开信息。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3" w:hRule="atLeast"/>
          <w:jc w:val="center"/>
        </w:trPr>
        <w:tc>
          <w:tcPr>
            <w:tcW w:w="753" w:type="dxa"/>
            <w:noWrap w:val="0"/>
            <w:vAlign w:val="center"/>
          </w:tcPr>
          <w:p>
            <w:pPr>
              <w:adjustRightInd w:val="0"/>
              <w:snapToGrid w:val="0"/>
              <w:jc w:val="center"/>
              <w:rPr>
                <w:rFonts w:ascii="宋体" w:hAnsi="宋体" w:cs="宋体"/>
                <w:bCs/>
                <w:color w:val="auto"/>
                <w:spacing w:val="10"/>
                <w:szCs w:val="21"/>
              </w:rPr>
            </w:pPr>
            <w:r>
              <w:rPr>
                <w:rFonts w:hint="eastAsia" w:ascii="宋体" w:hAnsi="宋体"/>
                <w:bCs/>
                <w:color w:val="auto"/>
                <w:szCs w:val="21"/>
              </w:rPr>
              <w:t>环保投资</w:t>
            </w:r>
          </w:p>
        </w:tc>
        <w:tc>
          <w:tcPr>
            <w:tcW w:w="845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本项目总投资34830.20元，其中环保投资为476元，占项目总投资的1.37</w:t>
            </w:r>
            <w:r>
              <w:rPr>
                <w:rFonts w:hint="eastAsia" w:ascii="Times New Roman" w:hAnsi="Times New Roman" w:eastAsia="宋体" w:cs="Times New Roman"/>
                <w:color w:val="auto"/>
                <w:lang w:val="en-US" w:eastAsia="en-US"/>
              </w:rPr>
              <w:t>%。</w:t>
            </w:r>
            <w:r>
              <w:rPr>
                <w:rFonts w:hint="eastAsia" w:ascii="Times New Roman" w:hAnsi="Times New Roman" w:eastAsia="宋体" w:cs="Times New Roman"/>
                <w:color w:val="auto"/>
                <w:lang w:val="en-US" w:eastAsia="zh-CN"/>
              </w:rPr>
              <w:t>本項目环保投资一览表见表5-2。</w:t>
            </w:r>
          </w:p>
          <w:p>
            <w:pPr>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表5-2  本项目环保投资一览表</w:t>
            </w:r>
          </w:p>
          <w:tbl>
            <w:tblPr>
              <w:tblStyle w:val="7"/>
              <w:tblW w:w="824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 w:type="dxa"/>
                <w:bottom w:w="0" w:type="dxa"/>
                <w:right w:w="10" w:type="dxa"/>
              </w:tblCellMar>
            </w:tblPr>
            <w:tblGrid>
              <w:gridCol w:w="1077"/>
              <w:gridCol w:w="1140"/>
              <w:gridCol w:w="1200"/>
              <w:gridCol w:w="3885"/>
              <w:gridCol w:w="93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794" w:hRule="atLeast"/>
                <w:jc w:val="center"/>
              </w:trPr>
              <w:tc>
                <w:tcPr>
                  <w:tcW w:w="1077" w:type="dxa"/>
                  <w:tcBorders>
                    <w:tl2br w:val="nil"/>
                    <w:tr2bl w:val="nil"/>
                  </w:tcBorders>
                  <w:noWrap w:val="0"/>
                  <w:vAlign w:val="center"/>
                  <mc:AlternateContent>
                    <mc:Choice Requires="wpsCustomData">
                      <wpsCustomData:diagonals>
                        <wpsCustomData:diagonal from="10000" to="30000">
                          <wpsCustomData:border w:val="single" w:color="000000" w:sz="12"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mc:AlternateContent>
                      <mc:Choice Requires="wpsCustomData">
                        <wpsCustomData:diagonalParaType/>
                      </mc:Choice>
                    </mc:AlternateContent>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类型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内容</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排放源</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污染物名称</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环保设施及措施</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环保投资（万元）</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879" w:hRule="exact"/>
                <w:jc w:val="center"/>
              </w:trPr>
              <w:tc>
                <w:tcPr>
                  <w:tcW w:w="10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大气污染物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土石方开挖及物料运输</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扬尘</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物料苫盖、洒水抑尘、封闭车厢运输等</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rPr>
                    <w:t>1</w:t>
                  </w:r>
                  <w:r>
                    <w:rPr>
                      <w:rFonts w:hint="eastAsia" w:ascii="Times New Roman" w:hAnsi="Times New Roman" w:eastAsia="宋体" w:cs="Times New Roman"/>
                      <w:color w:val="auto"/>
                      <w:sz w:val="21"/>
                      <w:szCs w:val="21"/>
                      <w:highlight w:val="none"/>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397" w:hRule="exact"/>
                <w:jc w:val="center"/>
              </w:trPr>
              <w:tc>
                <w:tcPr>
                  <w:tcW w:w="10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水污染物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冲洗废水</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lang w:val="en-US" w:eastAsia="en-US"/>
                    </w:rPr>
                    <w:t>SS</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水质简单，用于周边植被绿化用水</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rPr>
                    <w:t>1</w:t>
                  </w:r>
                  <w:r>
                    <w:rPr>
                      <w:rFonts w:hint="eastAsia" w:ascii="Times New Roman" w:hAnsi="Times New Roman" w:eastAsia="宋体" w:cs="Times New Roman"/>
                      <w:color w:val="auto"/>
                      <w:sz w:val="21"/>
                      <w:szCs w:val="21"/>
                      <w:highlight w:val="none"/>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24" w:hRule="exact"/>
                <w:jc w:val="center"/>
              </w:trPr>
              <w:tc>
                <w:tcPr>
                  <w:tcW w:w="107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固体废物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生产固废</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废光伏组件废电气元件</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废旧光伏组件和废电气元件属于电子垃圾须由生产厂家回收处置。</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24" w:hRule="exact"/>
                <w:jc w:val="center"/>
              </w:trPr>
              <w:tc>
                <w:tcPr>
                  <w:tcW w:w="10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箱变</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废旧蓄电池</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暂存于</w:t>
                  </w:r>
                  <w:r>
                    <w:rPr>
                      <w:rFonts w:ascii="Times New Roman" w:hAnsi="Times New Roman" w:eastAsia="宋体" w:cs="Times New Roman"/>
                      <w:color w:val="auto"/>
                      <w:sz w:val="21"/>
                      <w:szCs w:val="21"/>
                      <w:highlight w:val="none"/>
                    </w:rPr>
                    <w:t>升压站危废暂存间，最终交由资质单位处置</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397" w:hRule="exact"/>
                <w:jc w:val="center"/>
              </w:trPr>
              <w:tc>
                <w:tcPr>
                  <w:tcW w:w="10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噪声</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箱变</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噪声</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选择低噪声设备，减振</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rPr>
                    <w:t>3</w:t>
                  </w:r>
                  <w:r>
                    <w:rPr>
                      <w:rFonts w:hint="eastAsia" w:ascii="Times New Roman" w:hAnsi="Times New Roman" w:eastAsia="宋体" w:cs="Times New Roman"/>
                      <w:color w:val="auto"/>
                      <w:sz w:val="21"/>
                      <w:szCs w:val="21"/>
                      <w:highlight w:val="none"/>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24" w:hRule="exact"/>
                <w:jc w:val="center"/>
              </w:trPr>
              <w:tc>
                <w:tcPr>
                  <w:tcW w:w="107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生态恢复 治理</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光伏场区</w:t>
                  </w:r>
                </w:p>
              </w:tc>
              <w:tc>
                <w:tcPr>
                  <w:tcW w:w="12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植被破坏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水土流失</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光伏场区占用其他草地、灌木林地的区域进行灌草植被恢复</w:t>
                  </w:r>
                </w:p>
              </w:tc>
              <w:tc>
                <w:tcPr>
                  <w:tcW w:w="0" w:type="auto"/>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396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397" w:hRule="exact"/>
                <w:jc w:val="center"/>
              </w:trPr>
              <w:tc>
                <w:tcPr>
                  <w:tcW w:w="10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电缆敷设</w:t>
                  </w:r>
                </w:p>
              </w:tc>
              <w:tc>
                <w:tcPr>
                  <w:tcW w:w="12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对输电线路临时占地处进行植被绿化恢复</w:t>
                  </w:r>
                </w:p>
              </w:tc>
              <w:tc>
                <w:tcPr>
                  <w:tcW w:w="0" w:type="auto"/>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24" w:hRule="exact"/>
                <w:jc w:val="center"/>
              </w:trPr>
              <w:tc>
                <w:tcPr>
                  <w:tcW w:w="10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道路工程</w:t>
                  </w:r>
                </w:p>
              </w:tc>
              <w:tc>
                <w:tcPr>
                  <w:tcW w:w="12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施工检修道路布设排水渠，两侧进行植被绿化恢复</w:t>
                  </w:r>
                </w:p>
              </w:tc>
              <w:tc>
                <w:tcPr>
                  <w:tcW w:w="0" w:type="auto"/>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24" w:hRule="exact"/>
                <w:jc w:val="center"/>
              </w:trPr>
              <w:tc>
                <w:tcPr>
                  <w:tcW w:w="10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设施基础</w:t>
                  </w:r>
                </w:p>
              </w:tc>
              <w:tc>
                <w:tcPr>
                  <w:tcW w:w="12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场内基础开挖临时占地进行灌草混植绿化，恢复植被</w:t>
                  </w:r>
                </w:p>
              </w:tc>
              <w:tc>
                <w:tcPr>
                  <w:tcW w:w="0" w:type="auto"/>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660" w:hRule="exact"/>
                <w:jc w:val="center"/>
              </w:trPr>
              <w:tc>
                <w:tcPr>
                  <w:tcW w:w="107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eastAsia="zh-CN"/>
                    </w:rPr>
                    <w:t>临时</w:t>
                  </w:r>
                  <w:r>
                    <w:rPr>
                      <w:rFonts w:ascii="Times New Roman" w:hAnsi="Times New Roman" w:eastAsia="宋体" w:cs="Times New Roman"/>
                      <w:color w:val="auto"/>
                      <w:sz w:val="21"/>
                      <w:szCs w:val="21"/>
                      <w:highlight w:val="none"/>
                    </w:rPr>
                    <w:t>施工</w:t>
                  </w:r>
                  <w:r>
                    <w:rPr>
                      <w:rFonts w:hint="eastAsia" w:ascii="Times New Roman" w:hAnsi="Times New Roman" w:eastAsia="宋体" w:cs="Times New Roman"/>
                      <w:color w:val="auto"/>
                      <w:sz w:val="21"/>
                      <w:szCs w:val="21"/>
                      <w:highlight w:val="none"/>
                      <w:lang w:eastAsia="zh-CN"/>
                    </w:rPr>
                    <w:t>用</w:t>
                  </w:r>
                  <w:r>
                    <w:rPr>
                      <w:rFonts w:ascii="Times New Roman" w:hAnsi="Times New Roman" w:eastAsia="宋体" w:cs="Times New Roman"/>
                      <w:color w:val="auto"/>
                      <w:sz w:val="21"/>
                      <w:szCs w:val="21"/>
                      <w:highlight w:val="none"/>
                    </w:rPr>
                    <w:t>地</w:t>
                  </w:r>
                </w:p>
              </w:tc>
              <w:tc>
                <w:tcPr>
                  <w:tcW w:w="12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对临时施工</w:t>
                  </w:r>
                  <w:r>
                    <w:rPr>
                      <w:rFonts w:hint="eastAsia" w:ascii="Times New Roman" w:hAnsi="Times New Roman" w:eastAsia="宋体" w:cs="Times New Roman"/>
                      <w:color w:val="auto"/>
                      <w:sz w:val="21"/>
                      <w:szCs w:val="21"/>
                      <w:highlight w:val="none"/>
                      <w:lang w:eastAsia="zh-CN"/>
                    </w:rPr>
                    <w:t>用</w:t>
                  </w:r>
                  <w:r>
                    <w:rPr>
                      <w:rFonts w:ascii="Times New Roman" w:hAnsi="Times New Roman" w:eastAsia="宋体" w:cs="Times New Roman"/>
                      <w:color w:val="auto"/>
                      <w:sz w:val="21"/>
                      <w:szCs w:val="21"/>
                      <w:highlight w:val="none"/>
                    </w:rPr>
                    <w:t>地进行植被绿化恢复</w:t>
                  </w:r>
                </w:p>
              </w:tc>
              <w:tc>
                <w:tcPr>
                  <w:tcW w:w="0" w:type="auto"/>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 w:type="dxa"/>
                  <w:bottom w:w="0" w:type="dxa"/>
                  <w:right w:w="10" w:type="dxa"/>
                </w:tblCellMar>
              </w:tblPrEx>
              <w:trPr>
                <w:trHeight w:val="397" w:hRule="exact"/>
                <w:jc w:val="center"/>
              </w:trPr>
              <w:tc>
                <w:tcPr>
                  <w:tcW w:w="221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环保投资合计</w:t>
                  </w:r>
                </w:p>
              </w:tc>
              <w:tc>
                <w:tcPr>
                  <w:tcW w:w="12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w:t>
                  </w:r>
                </w:p>
              </w:tc>
              <w:tc>
                <w:tcPr>
                  <w:tcW w:w="3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w:t>
                  </w:r>
                </w:p>
              </w:tc>
              <w:tc>
                <w:tcPr>
                  <w:tcW w:w="0" w:type="auto"/>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476</w:t>
                  </w:r>
                </w:p>
              </w:tc>
            </w:tr>
          </w:tbl>
          <w:p>
            <w:pPr>
              <w:rPr>
                <w:color w:val="auto"/>
              </w:rPr>
            </w:pPr>
          </w:p>
        </w:tc>
      </w:tr>
    </w:tbl>
    <w:p>
      <w:pPr>
        <w:rPr>
          <w:color w:val="auto"/>
        </w:rPr>
        <w:sectPr>
          <w:pgSz w:w="11907" w:h="16840"/>
          <w:pgMar w:top="1440" w:right="1797" w:bottom="1440" w:left="1797" w:header="851" w:footer="1077" w:gutter="0"/>
          <w:pgBorders>
            <w:top w:val="none" w:sz="0" w:space="0"/>
            <w:left w:val="none" w:sz="0" w:space="0"/>
            <w:bottom w:val="none" w:sz="0" w:space="0"/>
            <w:right w:val="none" w:sz="0" w:space="0"/>
          </w:pgBorders>
          <w:pgNumType w:fmt="decimal"/>
          <w:cols w:space="720" w:num="1"/>
          <w:docGrid w:linePitch="312" w:charSpace="0"/>
        </w:sectPr>
      </w:pPr>
    </w:p>
    <w:p>
      <w:pPr>
        <w:pStyle w:val="6"/>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六、生态环境保护措施监督检查清单</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2819"/>
        <w:gridCol w:w="1419"/>
        <w:gridCol w:w="1513"/>
        <w:gridCol w:w="1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 w:type="pct"/>
            <w:vMerge w:val="restart"/>
            <w:tcBorders>
              <w:tl2br w:val="single" w:color="auto" w:sz="4" w:space="0"/>
            </w:tcBorders>
            <w:noWrap w:val="0"/>
            <w:vAlign w:val="top"/>
          </w:tcPr>
          <w:p>
            <w:pPr>
              <w:pStyle w:val="6"/>
              <w:adjustRightInd w:val="0"/>
              <w:snapToGrid w:val="0"/>
              <w:spacing w:before="72" w:beforeLines="30" w:beforeAutospacing="0" w:after="0" w:afterAutospacing="0"/>
              <w:jc w:val="right"/>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内容</w:t>
            </w:r>
          </w:p>
          <w:p>
            <w:pPr>
              <w:pStyle w:val="6"/>
              <w:adjustRightInd w:val="0"/>
              <w:snapToGrid w:val="0"/>
              <w:spacing w:before="0" w:beforeAutospacing="0" w:after="0" w:afterAutospacing="0" w:line="14" w:lineRule="auto"/>
              <w:outlineLvl w:val="0"/>
              <w:rPr>
                <w:rFonts w:hint="eastAsia" w:ascii="Times New Roman" w:hAnsi="Times New Roman" w:eastAsia="宋体" w:cs="宋体"/>
                <w:color w:val="auto"/>
                <w:kern w:val="2"/>
                <w:sz w:val="135"/>
                <w:szCs w:val="21"/>
              </w:rPr>
            </w:pPr>
            <w:r>
              <w:rPr>
                <w:rFonts w:hint="eastAsia" w:ascii="Times New Roman" w:hAnsi="Times New Roman" w:eastAsia="宋体" w:cs="宋体"/>
                <w:color w:val="auto"/>
                <w:kern w:val="2"/>
                <w:sz w:val="21"/>
                <w:szCs w:val="21"/>
              </w:rPr>
              <w:t xml:space="preserve"> </w:t>
            </w:r>
            <w:r>
              <w:rPr>
                <w:rFonts w:hint="eastAsia" w:ascii="Times New Roman" w:hAnsi="Times New Roman" w:eastAsia="宋体" w:cs="宋体"/>
                <w:color w:val="auto"/>
                <w:kern w:val="2"/>
                <w:sz w:val="135"/>
                <w:szCs w:val="21"/>
              </w:rPr>
              <w:t xml:space="preserve"> </w:t>
            </w:r>
          </w:p>
          <w:p>
            <w:pPr>
              <w:pStyle w:val="6"/>
              <w:adjustRightInd w:val="0"/>
              <w:snapToGrid w:val="0"/>
              <w:spacing w:before="0" w:beforeAutospacing="0" w:after="0" w:afterAutospacing="0"/>
              <w:outlineLvl w:val="0"/>
              <w:rPr>
                <w:rFonts w:hint="eastAsia"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要素</w:t>
            </w:r>
          </w:p>
        </w:tc>
        <w:tc>
          <w:tcPr>
            <w:tcW w:w="2507" w:type="pct"/>
            <w:gridSpan w:val="2"/>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施工期</w:t>
            </w:r>
          </w:p>
        </w:tc>
        <w:tc>
          <w:tcPr>
            <w:tcW w:w="1990" w:type="pct"/>
            <w:gridSpan w:val="2"/>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1" w:type="pct"/>
            <w:vMerge w:val="continue"/>
            <w:noWrap w:val="0"/>
            <w:vAlign w:val="top"/>
          </w:tcPr>
          <w:p>
            <w:pPr>
              <w:pStyle w:val="6"/>
              <w:adjustRightInd w:val="0"/>
              <w:snapToGrid w:val="0"/>
              <w:spacing w:before="0" w:beforeAutospacing="0" w:after="0" w:afterAutospacing="0"/>
              <w:ind w:firstLine="840"/>
              <w:jc w:val="center"/>
              <w:outlineLvl w:val="0"/>
              <w:rPr>
                <w:rFonts w:ascii="Times New Roman" w:hAnsi="Times New Roman" w:eastAsia="宋体" w:cs="宋体"/>
                <w:color w:val="auto"/>
                <w:kern w:val="2"/>
                <w:sz w:val="21"/>
                <w:szCs w:val="21"/>
              </w:rPr>
            </w:pPr>
          </w:p>
        </w:tc>
        <w:tc>
          <w:tcPr>
            <w:tcW w:w="1664" w:type="pct"/>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环境保护措施</w:t>
            </w:r>
          </w:p>
        </w:tc>
        <w:tc>
          <w:tcPr>
            <w:tcW w:w="843" w:type="pct"/>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验收要求</w:t>
            </w:r>
          </w:p>
        </w:tc>
        <w:tc>
          <w:tcPr>
            <w:tcW w:w="898" w:type="pct"/>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环境保护措施</w:t>
            </w:r>
          </w:p>
        </w:tc>
        <w:tc>
          <w:tcPr>
            <w:tcW w:w="1092" w:type="pct"/>
            <w:noWrap w:val="0"/>
            <w:vAlign w:val="center"/>
          </w:tcPr>
          <w:p>
            <w:pPr>
              <w:pStyle w:val="6"/>
              <w:adjustRightInd w:val="0"/>
              <w:snapToGrid w:val="0"/>
              <w:spacing w:before="0" w:beforeAutospacing="0" w:after="0" w:afterAutospacing="0"/>
              <w:jc w:val="center"/>
              <w:outlineLvl w:val="0"/>
              <w:rPr>
                <w:rFonts w:ascii="Times New Roman" w:hAnsi="Times New Roman" w:eastAsia="宋体" w:cs="宋体"/>
                <w:color w:val="auto"/>
                <w:kern w:val="2"/>
                <w:sz w:val="21"/>
                <w:szCs w:val="21"/>
              </w:rPr>
            </w:pPr>
            <w:r>
              <w:rPr>
                <w:rFonts w:hint="eastAsia" w:ascii="Times New Roman" w:hAnsi="Times New Roman" w:eastAsia="宋体" w:cs="宋体"/>
                <w:color w:val="auto"/>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1" w:type="pct"/>
            <w:noWrap w:val="0"/>
            <w:vAlign w:val="center"/>
          </w:tcPr>
          <w:p>
            <w:pPr>
              <w:adjustRightInd w:val="0"/>
              <w:snapToGrid w:val="0"/>
              <w:jc w:val="center"/>
              <w:rPr>
                <w:rFonts w:hint="eastAsia" w:ascii="Times New Roman" w:hAnsi="Times New Roman" w:eastAsia="宋体" w:cs="宋体"/>
                <w:color w:val="auto"/>
                <w:szCs w:val="21"/>
              </w:rPr>
            </w:pPr>
            <w:r>
              <w:rPr>
                <w:rFonts w:hint="eastAsia" w:ascii="Times New Roman" w:hAnsi="Times New Roman" w:eastAsia="宋体" w:cs="宋体"/>
                <w:color w:val="auto"/>
                <w:szCs w:val="21"/>
              </w:rPr>
              <w:t>陆生</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生态</w:t>
            </w:r>
          </w:p>
        </w:tc>
        <w:tc>
          <w:tcPr>
            <w:tcW w:w="1664" w:type="pct"/>
            <w:noWrap w:val="0"/>
            <w:vAlign w:val="center"/>
          </w:tcPr>
          <w:p>
            <w:pPr>
              <w:keepNext w:val="0"/>
              <w:keepLines w:val="0"/>
              <w:widowControl/>
              <w:suppressLineNumbers w:val="0"/>
              <w:jc w:val="left"/>
              <w:rPr>
                <w:rFonts w:ascii="Times New Roman" w:hAnsi="Times New Roman" w:eastAsia="宋体"/>
                <w:color w:val="auto"/>
                <w:szCs w:val="21"/>
              </w:rPr>
            </w:pPr>
            <w:r>
              <w:rPr>
                <w:rFonts w:hint="default" w:ascii="Times New Roman" w:hAnsi="Times New Roman" w:eastAsia="宋体" w:cs="Times New Roman"/>
                <w:color w:val="auto"/>
                <w:kern w:val="0"/>
                <w:sz w:val="20"/>
                <w:szCs w:val="21"/>
                <w:lang w:val="en-US" w:eastAsia="zh-CN" w:bidi="ar"/>
              </w:rPr>
              <w:t>1</w:t>
            </w:r>
            <w:r>
              <w:rPr>
                <w:rFonts w:hint="eastAsia" w:ascii="Times New Roman" w:hAnsi="Times New Roman" w:eastAsia="宋体" w:cs="宋体"/>
                <w:color w:val="auto"/>
                <w:kern w:val="0"/>
                <w:sz w:val="20"/>
                <w:szCs w:val="21"/>
                <w:lang w:val="en-US" w:eastAsia="zh-CN" w:bidi="ar"/>
              </w:rPr>
              <w:t>）工程措施：</w:t>
            </w:r>
          </w:p>
          <w:p>
            <w:pPr>
              <w:keepNext w:val="0"/>
              <w:keepLines w:val="0"/>
              <w:widowControl/>
              <w:suppressLineNumbers w:val="0"/>
              <w:jc w:val="left"/>
              <w:rPr>
                <w:rFonts w:ascii="Times New Roman" w:hAnsi="Times New Roman" w:eastAsia="宋体"/>
                <w:color w:val="auto"/>
                <w:szCs w:val="21"/>
              </w:rPr>
            </w:pPr>
            <w:r>
              <w:rPr>
                <w:rFonts w:hint="eastAsia" w:ascii="Times New Roman" w:hAnsi="Times New Roman" w:eastAsia="宋体" w:cs="宋体"/>
                <w:color w:val="auto"/>
                <w:kern w:val="0"/>
                <w:sz w:val="20"/>
                <w:szCs w:val="21"/>
                <w:lang w:val="en-US" w:eastAsia="zh-CN" w:bidi="ar"/>
              </w:rPr>
              <w:t>电池阵列区、电缆桥架路线上进行表土清理，施工结束后进行覆土平整。</w:t>
            </w:r>
          </w:p>
          <w:p>
            <w:pPr>
              <w:keepNext w:val="0"/>
              <w:keepLines w:val="0"/>
              <w:widowControl/>
              <w:suppressLineNumbers w:val="0"/>
              <w:jc w:val="left"/>
              <w:rPr>
                <w:rFonts w:ascii="Times New Roman" w:hAnsi="Times New Roman" w:eastAsia="宋体"/>
                <w:color w:val="auto"/>
                <w:szCs w:val="21"/>
              </w:rPr>
            </w:pPr>
            <w:r>
              <w:rPr>
                <w:rFonts w:hint="default" w:ascii="Times New Roman" w:hAnsi="Times New Roman" w:eastAsia="宋体" w:cs="Times New Roman"/>
                <w:color w:val="auto"/>
                <w:kern w:val="0"/>
                <w:sz w:val="20"/>
                <w:szCs w:val="21"/>
                <w:lang w:val="en-US" w:eastAsia="zh-CN" w:bidi="ar"/>
              </w:rPr>
              <w:t>2</w:t>
            </w:r>
            <w:r>
              <w:rPr>
                <w:rFonts w:hint="eastAsia" w:ascii="Times New Roman" w:hAnsi="Times New Roman" w:eastAsia="宋体" w:cs="宋体"/>
                <w:color w:val="auto"/>
                <w:kern w:val="0"/>
                <w:sz w:val="20"/>
                <w:szCs w:val="21"/>
                <w:lang w:val="en-US" w:eastAsia="zh-CN" w:bidi="ar"/>
              </w:rPr>
              <w:t>）植物措施：对场区原有占地为林草地区域进行种植株高低于太阳能电池板高度的植株进行生态恢复；对耕地区域进行复耕。</w:t>
            </w:r>
          </w:p>
          <w:p>
            <w:pPr>
              <w:keepNext w:val="0"/>
              <w:keepLines w:val="0"/>
              <w:widowControl/>
              <w:suppressLineNumbers w:val="0"/>
              <w:jc w:val="left"/>
              <w:rPr>
                <w:rFonts w:ascii="Times New Roman" w:hAnsi="Times New Roman" w:eastAsia="宋体"/>
                <w:color w:val="auto"/>
                <w:szCs w:val="21"/>
              </w:rPr>
            </w:pPr>
            <w:r>
              <w:rPr>
                <w:rFonts w:hint="default" w:ascii="Times New Roman" w:hAnsi="Times New Roman" w:eastAsia="宋体" w:cs="Times New Roman"/>
                <w:color w:val="auto"/>
                <w:kern w:val="0"/>
                <w:sz w:val="20"/>
                <w:szCs w:val="21"/>
                <w:lang w:val="en-US" w:eastAsia="zh-CN" w:bidi="ar"/>
              </w:rPr>
              <w:t>3</w:t>
            </w:r>
            <w:r>
              <w:rPr>
                <w:rFonts w:hint="eastAsia" w:ascii="Times New Roman" w:hAnsi="Times New Roman" w:eastAsia="宋体" w:cs="宋体"/>
                <w:color w:val="auto"/>
                <w:kern w:val="0"/>
                <w:sz w:val="20"/>
                <w:szCs w:val="21"/>
                <w:lang w:val="en-US" w:eastAsia="zh-CN" w:bidi="ar"/>
              </w:rPr>
              <w:t>）临时措施：主体施工过程中，特别是下雨或刮风期施工时，为防止开挖填垫后的场地水蚀和风蚀，对电池阵列区、施工生产生活区等部位布设排水、拦挡和遮盖等临时防护措施，考虑临时工程的短时效性，选择有效、简单易行、易于拆除且投资小的措施。</w:t>
            </w:r>
          </w:p>
          <w:p>
            <w:pPr>
              <w:keepNext w:val="0"/>
              <w:keepLines w:val="0"/>
              <w:widowControl/>
              <w:suppressLineNumbers w:val="0"/>
              <w:jc w:val="left"/>
              <w:rPr>
                <w:rFonts w:ascii="Times New Roman" w:hAnsi="Times New Roman" w:eastAsia="宋体" w:cs="宋体"/>
                <w:color w:val="auto"/>
                <w:szCs w:val="21"/>
              </w:rPr>
            </w:pPr>
            <w:r>
              <w:rPr>
                <w:rFonts w:hint="default" w:ascii="Times New Roman" w:hAnsi="Times New Roman" w:eastAsia="宋体" w:cs="Times New Roman"/>
                <w:color w:val="auto"/>
                <w:kern w:val="0"/>
                <w:sz w:val="20"/>
                <w:szCs w:val="21"/>
                <w:lang w:val="en-US" w:eastAsia="zh-CN" w:bidi="ar"/>
              </w:rPr>
              <w:t>4</w:t>
            </w:r>
            <w:r>
              <w:rPr>
                <w:rFonts w:hint="eastAsia" w:ascii="Times New Roman" w:hAnsi="Times New Roman" w:eastAsia="宋体" w:cs="宋体"/>
                <w:color w:val="auto"/>
                <w:kern w:val="0"/>
                <w:sz w:val="20"/>
                <w:szCs w:val="21"/>
                <w:lang w:val="en-US" w:eastAsia="zh-CN" w:bidi="ar"/>
              </w:rPr>
              <w:t>）管理措施：工程施工时序和施工安排对水土保持工程防治水土流失的效果影响很大。若施工时序和施工安排不当，不但不能有效预防施工中产生的水土流失，而且造成施工中的水土流失无从治理，失去预防优先的意义。道路路面要定期洒水，临时堆放的土石料和运输车辆应遮盖；定期对施工生产生活区空地洒水降尘等。</w:t>
            </w:r>
          </w:p>
        </w:tc>
        <w:tc>
          <w:tcPr>
            <w:tcW w:w="843"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对光伏场区占用其他草地的区域进行植被恢复绿化；施工检修道路进行道路两侧绿化，布设排水沟等措施。</w:t>
            </w:r>
          </w:p>
        </w:tc>
        <w:tc>
          <w:tcPr>
            <w:tcW w:w="898"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植被恢复</w:t>
            </w:r>
          </w:p>
        </w:tc>
        <w:tc>
          <w:tcPr>
            <w:tcW w:w="1092"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植被恢复效果达到要求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1" w:type="pct"/>
            <w:noWrap w:val="0"/>
            <w:vAlign w:val="center"/>
          </w:tcPr>
          <w:p>
            <w:pPr>
              <w:adjustRightInd w:val="0"/>
              <w:snapToGrid w:val="0"/>
              <w:jc w:val="center"/>
              <w:rPr>
                <w:rFonts w:hint="eastAsia" w:ascii="Times New Roman" w:hAnsi="Times New Roman" w:eastAsia="宋体" w:cs="宋体"/>
                <w:color w:val="auto"/>
                <w:szCs w:val="21"/>
              </w:rPr>
            </w:pPr>
            <w:r>
              <w:rPr>
                <w:rFonts w:hint="eastAsia" w:ascii="Times New Roman" w:hAnsi="Times New Roman" w:eastAsia="宋体" w:cs="宋体"/>
                <w:color w:val="auto"/>
                <w:szCs w:val="21"/>
              </w:rPr>
              <w:t>水生</w:t>
            </w:r>
          </w:p>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生态</w:t>
            </w:r>
          </w:p>
        </w:tc>
        <w:tc>
          <w:tcPr>
            <w:tcW w:w="1664"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地表水环境</w:t>
            </w:r>
          </w:p>
        </w:tc>
        <w:tc>
          <w:tcPr>
            <w:tcW w:w="1664"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施工废水由沉淀池澄清处理，处理后废水用于场地洒水。</w:t>
            </w:r>
          </w:p>
        </w:tc>
        <w:tc>
          <w:tcPr>
            <w:tcW w:w="843"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废水不外排。</w:t>
            </w:r>
          </w:p>
        </w:tc>
        <w:tc>
          <w:tcPr>
            <w:tcW w:w="898"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水质简单，用于周边植被绿化用水。</w:t>
            </w:r>
          </w:p>
        </w:tc>
        <w:tc>
          <w:tcPr>
            <w:tcW w:w="1092"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地下水及土壤环境</w:t>
            </w:r>
          </w:p>
        </w:tc>
        <w:tc>
          <w:tcPr>
            <w:tcW w:w="1664"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声环境</w:t>
            </w:r>
          </w:p>
        </w:tc>
        <w:tc>
          <w:tcPr>
            <w:tcW w:w="1664"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采用噪声较低的生产设备，并加强维修保养，避免深夜运输（</w:t>
            </w:r>
            <w:r>
              <w:rPr>
                <w:rFonts w:hint="default" w:ascii="Times New Roman" w:hAnsi="Times New Roman" w:eastAsia="宋体" w:cs="Times New Roman"/>
                <w:color w:val="auto"/>
                <w:kern w:val="0"/>
                <w:sz w:val="20"/>
                <w:szCs w:val="21"/>
                <w:lang w:val="en-US" w:eastAsia="zh-CN" w:bidi="ar"/>
              </w:rPr>
              <w:t xml:space="preserve">22 </w:t>
            </w:r>
            <w:r>
              <w:rPr>
                <w:rFonts w:hint="eastAsia" w:ascii="Times New Roman" w:hAnsi="Times New Roman" w:eastAsia="宋体" w:cs="宋体"/>
                <w:color w:val="auto"/>
                <w:kern w:val="0"/>
                <w:sz w:val="20"/>
                <w:szCs w:val="21"/>
                <w:lang w:val="en-US" w:eastAsia="zh-CN" w:bidi="ar"/>
              </w:rPr>
              <w:t>点以后），禁止夜间高噪声机械施工。</w:t>
            </w:r>
          </w:p>
        </w:tc>
        <w:tc>
          <w:tcPr>
            <w:tcW w:w="843"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不会对周边区域造成影响。</w:t>
            </w:r>
          </w:p>
        </w:tc>
        <w:tc>
          <w:tcPr>
            <w:tcW w:w="898"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选择低噪声设备，基础减振。</w:t>
            </w:r>
          </w:p>
        </w:tc>
        <w:tc>
          <w:tcPr>
            <w:tcW w:w="1092"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施工期噪声满足</w:t>
            </w:r>
            <w:r>
              <w:rPr>
                <w:rFonts w:hint="eastAsia" w:ascii="Times New Roman" w:hAnsi="Times New Roman" w:eastAsia="宋体" w:cs="Times New Roman"/>
                <w:color w:val="auto"/>
                <w:lang w:val="en-US" w:eastAsia="zh-CN"/>
              </w:rPr>
              <w:t>《建筑施工场界环境噪声排放标准》（GB12523-2011）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振动</w:t>
            </w:r>
          </w:p>
        </w:tc>
        <w:tc>
          <w:tcPr>
            <w:tcW w:w="1664"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大气环境</w:t>
            </w:r>
          </w:p>
        </w:tc>
        <w:tc>
          <w:tcPr>
            <w:tcW w:w="1664"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施工设置挡风墙、物料库存或苫盖，加强运输车辆管理，如限载、限速，对道路进行洒水降尘。</w:t>
            </w:r>
          </w:p>
        </w:tc>
        <w:tc>
          <w:tcPr>
            <w:tcW w:w="843"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施工单位应当确保做到工地周边围挡、物料堆放覆盖、土方开挖湿法作业、路面硬化、出入车辆清洗、渣土车辆密闭运输“六个百分之百”。</w:t>
            </w:r>
          </w:p>
        </w:tc>
        <w:tc>
          <w:tcPr>
            <w:tcW w:w="898"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szCs w:val="21"/>
                <w:lang w:val="en-US" w:eastAsia="zh-CN"/>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固体废物</w:t>
            </w:r>
          </w:p>
        </w:tc>
        <w:tc>
          <w:tcPr>
            <w:tcW w:w="1664"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土石方开挖后合理堆存，表土单独进行堆存并采取防护措施，施工垃圾合理进行收集。</w:t>
            </w:r>
          </w:p>
        </w:tc>
        <w:tc>
          <w:tcPr>
            <w:tcW w:w="843"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项目建设区域无外弃土方，表土全部回用于植被恢复，施工垃圾经过统一收集后进行集中处置。</w:t>
            </w:r>
          </w:p>
        </w:tc>
        <w:tc>
          <w:tcPr>
            <w:tcW w:w="898"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废旧光伏组件和废电气元件属于电子垃圾须由生产厂家回收处置。废电池暂存于升压站危废暂存间，最终交由资质单位处置。</w:t>
            </w:r>
          </w:p>
        </w:tc>
        <w:tc>
          <w:tcPr>
            <w:tcW w:w="1092" w:type="pct"/>
            <w:noWrap w:val="0"/>
            <w:vAlign w:val="center"/>
          </w:tcPr>
          <w:p>
            <w:pPr>
              <w:keepNext w:val="0"/>
              <w:keepLines w:val="0"/>
              <w:widowControl/>
              <w:suppressLineNumbers w:val="0"/>
              <w:jc w:val="left"/>
              <w:rPr>
                <w:rFonts w:ascii="Times New Roman" w:hAnsi="Times New Roman" w:eastAsia="宋体" w:cs="宋体"/>
                <w:color w:val="auto"/>
                <w:szCs w:val="21"/>
              </w:rPr>
            </w:pPr>
            <w:r>
              <w:rPr>
                <w:rFonts w:hint="eastAsia" w:ascii="Times New Roman" w:hAnsi="Times New Roman" w:eastAsia="宋体" w:cs="宋体"/>
                <w:color w:val="auto"/>
                <w:kern w:val="0"/>
                <w:sz w:val="20"/>
                <w:szCs w:val="21"/>
                <w:lang w:val="en-US" w:eastAsia="zh-CN" w:bidi="ar"/>
              </w:rPr>
              <w:t>满足《危险废物贮存污染控制标准》（</w:t>
            </w:r>
            <w:r>
              <w:rPr>
                <w:rFonts w:hint="default" w:ascii="Times New Roman" w:hAnsi="Times New Roman" w:eastAsia="宋体" w:cs="Times New Roman"/>
                <w:color w:val="auto"/>
                <w:kern w:val="0"/>
                <w:sz w:val="20"/>
                <w:szCs w:val="21"/>
                <w:lang w:val="en-US" w:eastAsia="zh-CN" w:bidi="ar"/>
              </w:rPr>
              <w:t>GB18597-2001</w:t>
            </w:r>
            <w:r>
              <w:rPr>
                <w:rFonts w:hint="eastAsia" w:ascii="Times New Roman" w:hAnsi="Times New Roman" w:eastAsia="宋体" w:cs="宋体"/>
                <w:color w:val="auto"/>
                <w:kern w:val="0"/>
                <w:sz w:val="20"/>
                <w:szCs w:val="21"/>
                <w:lang w:val="en-US" w:eastAsia="zh-CN" w:bidi="ar"/>
              </w:rPr>
              <w:t>）及标准修改单的要求。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电磁环境</w:t>
            </w:r>
          </w:p>
        </w:tc>
        <w:tc>
          <w:tcPr>
            <w:tcW w:w="1664"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环境风险</w:t>
            </w:r>
          </w:p>
        </w:tc>
        <w:tc>
          <w:tcPr>
            <w:tcW w:w="1664"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环境监测</w:t>
            </w:r>
          </w:p>
        </w:tc>
        <w:tc>
          <w:tcPr>
            <w:tcW w:w="1664"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1" w:type="pct"/>
            <w:noWrap w:val="0"/>
            <w:vAlign w:val="center"/>
          </w:tcPr>
          <w:p>
            <w:pPr>
              <w:adjustRightInd w:val="0"/>
              <w:snapToGrid w:val="0"/>
              <w:jc w:val="center"/>
              <w:rPr>
                <w:rFonts w:ascii="Times New Roman" w:hAnsi="Times New Roman" w:eastAsia="宋体" w:cs="宋体"/>
                <w:color w:val="auto"/>
                <w:szCs w:val="21"/>
              </w:rPr>
            </w:pPr>
            <w:r>
              <w:rPr>
                <w:rFonts w:hint="eastAsia" w:ascii="Times New Roman" w:hAnsi="Times New Roman" w:eastAsia="宋体" w:cs="宋体"/>
                <w:color w:val="auto"/>
                <w:szCs w:val="21"/>
              </w:rPr>
              <w:t>其他</w:t>
            </w:r>
          </w:p>
        </w:tc>
        <w:tc>
          <w:tcPr>
            <w:tcW w:w="1664"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43"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898"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c>
          <w:tcPr>
            <w:tcW w:w="1092" w:type="pct"/>
            <w:noWrap w:val="0"/>
            <w:vAlign w:val="center"/>
          </w:tcPr>
          <w:p>
            <w:pPr>
              <w:adjustRightInd w:val="0"/>
              <w:snapToGrid w:val="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szCs w:val="21"/>
                <w:lang w:val="en-US" w:eastAsia="zh-CN"/>
              </w:rPr>
              <w:t>/</w:t>
            </w:r>
          </w:p>
        </w:tc>
      </w:tr>
    </w:tbl>
    <w:p>
      <w:pPr>
        <w:bidi w:val="0"/>
        <w:rPr>
          <w:color w:val="auto"/>
        </w:rPr>
      </w:pPr>
    </w:p>
    <w:p>
      <w:pPr>
        <w:pStyle w:val="6"/>
        <w:jc w:val="center"/>
        <w:outlineLvl w:val="0"/>
        <w:rPr>
          <w:rFonts w:hint="eastAsia" w:ascii="黑体" w:hAnsi="黑体" w:eastAsia="黑体" w:cs="Times New Roman"/>
          <w:snapToGrid w:val="0"/>
          <w:color w:val="auto"/>
          <w:kern w:val="0"/>
          <w:sz w:val="30"/>
          <w:szCs w:val="30"/>
          <w:lang w:val="en-US" w:eastAsia="zh-CN" w:bidi="ar-SA"/>
        </w:rPr>
      </w:pPr>
      <w:r>
        <w:rPr>
          <w:color w:val="auto"/>
        </w:rPr>
        <w:br w:type="page"/>
      </w:r>
      <w:r>
        <w:rPr>
          <w:rFonts w:hint="eastAsia" w:ascii="黑体" w:hAnsi="黑体" w:eastAsia="黑体" w:cs="Times New Roman"/>
          <w:snapToGrid w:val="0"/>
          <w:color w:val="auto"/>
          <w:kern w:val="0"/>
          <w:sz w:val="30"/>
          <w:szCs w:val="30"/>
          <w:lang w:val="en-US" w:eastAsia="zh-CN" w:bidi="ar-SA"/>
        </w:rPr>
        <w:t>七、结论</w:t>
      </w:r>
    </w:p>
    <w:tbl>
      <w:tblPr>
        <w:tblStyle w:val="7"/>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cs="宋体"/>
                <w:color w:val="auto"/>
                <w:szCs w:val="21"/>
              </w:rPr>
            </w:pPr>
            <w:r>
              <w:rPr>
                <w:rFonts w:hint="eastAsia" w:ascii="Times New Roman" w:hAnsi="Times New Roman" w:eastAsia="宋体" w:cs="宋体"/>
                <w:color w:val="auto"/>
                <w:szCs w:val="21"/>
                <w:lang w:val="en-US" w:eastAsia="zh-CN"/>
              </w:rPr>
              <w:t>平鲁区苏晋能源70MW光伏发电项目</w:t>
            </w:r>
            <w:r>
              <w:rPr>
                <w:rFonts w:hint="eastAsia" w:ascii="Times New Roman" w:hAnsi="Times New Roman" w:eastAsia="宋体" w:cs="Times New Roman"/>
                <w:b w:val="0"/>
                <w:bCs w:val="0"/>
                <w:color w:val="auto"/>
                <w:lang w:val="en-US" w:eastAsia="zh-CN"/>
              </w:rPr>
              <w:t>符合国家产业政策，施工生态防治措施实施后对外环境影响较小，在认真贯彻执行国家的环保法律、法规，认真落实环评提出的各种生态环境保护措施后，从环保的角度分析，本项目是可行的。</w:t>
            </w:r>
          </w:p>
        </w:tc>
      </w:tr>
    </w:tbl>
    <w:p>
      <w:pPr>
        <w:adjustRightInd w:val="0"/>
        <w:snapToGrid w:val="0"/>
        <w:spacing w:before="192" w:beforeLines="80"/>
        <w:rPr>
          <w:rFonts w:ascii="宋体" w:cs="宋体"/>
          <w:color w:val="auto"/>
          <w:szCs w:val="21"/>
        </w:rPr>
        <w:sectPr>
          <w:pgSz w:w="11906" w:h="16838"/>
          <w:pgMar w:top="1440" w:right="1800" w:bottom="1440" w:left="1800" w:header="851" w:footer="1077" w:gutter="0"/>
          <w:pgBorders>
            <w:top w:val="none" w:sz="0" w:space="0"/>
            <w:left w:val="none" w:sz="0" w:space="0"/>
            <w:bottom w:val="none" w:sz="0" w:space="0"/>
            <w:right w:val="none" w:sz="0" w:space="0"/>
          </w:pgBorders>
          <w:pgNumType w:fmt="decimal"/>
          <w:cols w:space="720" w:num="1"/>
          <w:docGrid w:linePitch="312" w:charSpace="0"/>
        </w:sectPr>
      </w:pPr>
    </w:p>
    <w:p>
      <w:pPr>
        <w:rPr>
          <w:rFonts w:hint="default"/>
          <w:lang w:val="en-US" w:eastAsia="zh-CN"/>
        </w:rPr>
      </w:pPr>
    </w:p>
    <w:p/>
    <w:sectPr>
      <w:footerReference r:id="rId6" w:type="default"/>
      <w:pgSz w:w="11906" w:h="16838"/>
      <w:pgMar w:top="720" w:right="720" w:bottom="720" w:left="720" w:header="851" w:footer="1077"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jBkNjZhMmYxN2NjNDI0ODYyMzI2MTgwMmU4ZmIifQ=="/>
  </w:docVars>
  <w:rsids>
    <w:rsidRoot w:val="50A044C8"/>
    <w:rsid w:val="47EF12BE"/>
    <w:rsid w:val="50A0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firstLineChars="200"/>
    </w:pPr>
  </w:style>
  <w:style w:type="paragraph" w:styleId="4">
    <w:name w:val="Plain Text"/>
    <w:basedOn w:val="1"/>
    <w:qFormat/>
    <w:uiPriority w:val="0"/>
    <w:rPr>
      <w:rFonts w:ascii="宋体" w:hAnsi="Courier New" w:cs="Courier New"/>
      <w:sz w:val="21"/>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iPriority w:val="0"/>
    <w:pPr>
      <w:widowControl/>
      <w:spacing w:before="100" w:beforeAutospacing="1" w:after="100" w:afterAutospacing="1"/>
      <w:jc w:val="left"/>
    </w:pPr>
    <w:rPr>
      <w:rFonts w:ascii="宋体" w:hAnsi="宋体"/>
      <w:kern w:val="0"/>
      <w:sz w:val="24"/>
    </w:rPr>
  </w:style>
  <w:style w:type="table" w:styleId="8">
    <w:name w:val="Table Grid"/>
    <w:basedOn w:val="7"/>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表格"/>
    <w:basedOn w:val="1"/>
    <w:next w:val="1"/>
    <w:uiPriority w:val="0"/>
    <w:pPr>
      <w:adjustRightInd w:val="0"/>
      <w:snapToGrid w:val="0"/>
      <w:spacing w:beforeLines="10" w:afterLines="10" w:line="259" w:lineRule="auto"/>
      <w:jc w:val="center"/>
    </w:pPr>
    <w:rPr>
      <w:rFonts w:ascii="宋体"/>
      <w:kern w:val="0"/>
      <w:sz w:val="20"/>
      <w:szCs w:val="21"/>
    </w:rPr>
  </w:style>
  <w:style w:type="paragraph" w:customStyle="1" w:styleId="12">
    <w:name w:val="Other|1"/>
    <w:basedOn w:val="1"/>
    <w:qFormat/>
    <w:uiPriority w:val="0"/>
    <w:pPr>
      <w:widowControl w:val="0"/>
      <w:shd w:val="clear" w:color="auto" w:fill="auto"/>
      <w:spacing w:line="274" w:lineRule="exact"/>
    </w:pPr>
    <w:rPr>
      <w:rFonts w:ascii="宋体" w:hAnsi="宋体" w:eastAsia="宋体" w:cs="宋体"/>
      <w:sz w:val="19"/>
      <w:szCs w:val="19"/>
      <w:u w:val="none"/>
      <w:shd w:val="clear" w:color="auto" w:fill="auto"/>
      <w:lang w:val="zh-TW" w:eastAsia="zh-TW" w:bidi="zh-TW"/>
    </w:rPr>
  </w:style>
  <w:style w:type="table" w:customStyle="1" w:styleId="13">
    <w:name w:val="Table Normal"/>
    <w:unhideWhenUsed/>
    <w:qFormat/>
    <w:uiPriority w:val="0"/>
    <w:tblPr>
      <w:tblCellMar>
        <w:top w:w="0" w:type="dxa"/>
        <w:left w:w="0" w:type="dxa"/>
        <w:bottom w:w="0" w:type="dxa"/>
        <w:right w:w="0" w:type="dxa"/>
      </w:tblCellMar>
    </w:tblPr>
  </w:style>
  <w:style w:type="paragraph" w:customStyle="1" w:styleId="14">
    <w:name w:val="表中文字"/>
    <w:basedOn w:val="1"/>
    <w:qFormat/>
    <w:uiPriority w:val="0"/>
    <w:pPr>
      <w:adjustRightInd w:val="0"/>
      <w:snapToGrid w:val="0"/>
      <w:spacing w:line="240" w:lineRule="auto"/>
      <w:ind w:firstLine="0" w:firstLineChars="0"/>
      <w:jc w:val="center"/>
    </w:pPr>
    <w:rPr>
      <w:rFonts w:ascii="Times New Roman" w:hAnsi="Times New Roman"/>
      <w:sz w:val="21"/>
    </w:rPr>
  </w:style>
  <w:style w:type="paragraph" w:customStyle="1" w:styleId="15">
    <w:name w:val="表格中文字"/>
    <w:basedOn w:val="1"/>
    <w:qFormat/>
    <w:uiPriority w:val="0"/>
    <w:pPr>
      <w:adjustRightInd w:val="0"/>
      <w:snapToGrid w:val="0"/>
      <w:spacing w:line="360" w:lineRule="exact"/>
      <w:jc w:val="center"/>
    </w:pPr>
    <w:rPr>
      <w:rFonts w:ascii="Times New Roman" w:hAnsi="Times New Roman"/>
      <w:snapToGrid w:val="0"/>
      <w:kern w:val="0"/>
      <w:sz w:val="21"/>
      <w:szCs w:val="21"/>
    </w:rPr>
  </w:style>
  <w:style w:type="paragraph" w:customStyle="1" w:styleId="16">
    <w:name w:val="6表内文字 居中"/>
    <w:basedOn w:val="1"/>
    <w:qFormat/>
    <w:uiPriority w:val="0"/>
    <w:pPr>
      <w:widowControl/>
      <w:adjustRightInd w:val="0"/>
      <w:spacing w:line="240" w:lineRule="atLeast"/>
      <w:jc w:val="center"/>
      <w:textAlignment w:val="baseline"/>
    </w:pPr>
    <w:rPr>
      <w:snapToGrid w:val="0"/>
      <w:kern w:val="0"/>
      <w:sz w:val="21"/>
      <w:szCs w:val="20"/>
    </w:rPr>
  </w:style>
  <w:style w:type="paragraph" w:customStyle="1" w:styleId="17">
    <w:name w:val="Table caption|1"/>
    <w:basedOn w:val="1"/>
    <w:qFormat/>
    <w:uiPriority w:val="0"/>
    <w:pPr>
      <w:widowControl w:val="0"/>
      <w:shd w:val="clear" w:color="auto" w:fill="auto"/>
      <w:spacing w:line="386" w:lineRule="auto"/>
      <w:jc w:val="center"/>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30864</Words>
  <Characters>34415</Characters>
  <Lines>0</Lines>
  <Paragraphs>0</Paragraphs>
  <TotalTime>0</TotalTime>
  <ScaleCrop>false</ScaleCrop>
  <LinksUpToDate>false</LinksUpToDate>
  <CharactersWithSpaces>34898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2022-05-06T07:54:00Z</dcterms:created>
  <dc:creator>　　　　　　　　</dc:creator>
  <cp:lastModifiedBy>　　　　　　　　</cp:lastModifiedBy>
  <dcterms:modified xsi:type="dcterms:W3CDTF">2022-05-06T07:55:24Z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6032777F37A74143BFDE16A05B4FD370</vt:lpwstr>
  </property>
</Properties>
</file>