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05" w:rsidRDefault="005D2505" w:rsidP="005D250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群众信访举报边督边改公开情况一览表</w:t>
      </w:r>
    </w:p>
    <w:p w:rsidR="005D2505" w:rsidRDefault="005D2505" w:rsidP="005D2505">
      <w:pPr>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（第十七批  2018年11月27日）</w:t>
      </w:r>
    </w:p>
    <w:tbl>
      <w:tblPr>
        <w:tblStyle w:val="a5"/>
        <w:tblW w:w="13800" w:type="dxa"/>
        <w:tblBorders>
          <w:top w:val="single" w:sz="8" w:space="0" w:color="auto"/>
          <w:left w:val="single" w:sz="8" w:space="0" w:color="auto"/>
          <w:bottom w:val="single" w:sz="8" w:space="0" w:color="auto"/>
          <w:right w:val="single" w:sz="8" w:space="0" w:color="auto"/>
        </w:tblBorders>
        <w:tblLayout w:type="fixed"/>
        <w:tblLook w:val="04A0"/>
      </w:tblPr>
      <w:tblGrid>
        <w:gridCol w:w="572"/>
        <w:gridCol w:w="1296"/>
        <w:gridCol w:w="1467"/>
        <w:gridCol w:w="819"/>
        <w:gridCol w:w="683"/>
        <w:gridCol w:w="5100"/>
        <w:gridCol w:w="750"/>
        <w:gridCol w:w="2434"/>
        <w:gridCol w:w="679"/>
      </w:tblGrid>
      <w:tr w:rsidR="005D2505" w:rsidTr="000E6D44">
        <w:trPr>
          <w:trHeight w:val="710"/>
        </w:trPr>
        <w:tc>
          <w:tcPr>
            <w:tcW w:w="572" w:type="dxa"/>
            <w:tcBorders>
              <w:tl2br w:val="nil"/>
              <w:tr2bl w:val="nil"/>
            </w:tcBorders>
            <w:vAlign w:val="center"/>
          </w:tcPr>
          <w:p w:rsidR="005D2505" w:rsidRDefault="005D2505" w:rsidP="000E6D44">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序号</w:t>
            </w:r>
          </w:p>
        </w:tc>
        <w:tc>
          <w:tcPr>
            <w:tcW w:w="1296" w:type="dxa"/>
            <w:tcBorders>
              <w:tl2br w:val="nil"/>
              <w:tr2bl w:val="nil"/>
            </w:tcBorders>
            <w:vAlign w:val="center"/>
          </w:tcPr>
          <w:p w:rsidR="005D2505" w:rsidRDefault="005D2505" w:rsidP="000E6D44">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受理编号</w:t>
            </w:r>
          </w:p>
        </w:tc>
        <w:tc>
          <w:tcPr>
            <w:tcW w:w="1467" w:type="dxa"/>
            <w:tcBorders>
              <w:tl2br w:val="nil"/>
              <w:tr2bl w:val="nil"/>
            </w:tcBorders>
            <w:vAlign w:val="center"/>
          </w:tcPr>
          <w:p w:rsidR="005D2505" w:rsidRDefault="005D2505" w:rsidP="000E6D44">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交办问题</w:t>
            </w:r>
          </w:p>
          <w:p w:rsidR="005D2505" w:rsidRDefault="005D2505" w:rsidP="000E6D44">
            <w:pPr>
              <w:widowControl/>
              <w:jc w:val="center"/>
              <w:textAlignment w:val="center"/>
              <w:rPr>
                <w:rFonts w:ascii="黑体" w:eastAsia="黑体" w:hAnsi="黑体" w:cs="黑体"/>
                <w:bCs/>
                <w:color w:val="000000"/>
                <w:sz w:val="22"/>
                <w:szCs w:val="22"/>
                <w:lang/>
              </w:rPr>
            </w:pPr>
            <w:r>
              <w:rPr>
                <w:rFonts w:ascii="黑体" w:eastAsia="黑体" w:hAnsi="黑体" w:cs="黑体" w:hint="eastAsia"/>
                <w:bCs/>
                <w:color w:val="000000"/>
                <w:sz w:val="22"/>
                <w:szCs w:val="22"/>
                <w:lang/>
              </w:rPr>
              <w:t>基本情况</w:t>
            </w:r>
          </w:p>
        </w:tc>
        <w:tc>
          <w:tcPr>
            <w:tcW w:w="819" w:type="dxa"/>
            <w:tcBorders>
              <w:tl2br w:val="nil"/>
              <w:tr2bl w:val="nil"/>
            </w:tcBorders>
            <w:vAlign w:val="center"/>
          </w:tcPr>
          <w:p w:rsidR="005D2505" w:rsidRDefault="005D2505" w:rsidP="000E6D44">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行政区域</w:t>
            </w:r>
          </w:p>
        </w:tc>
        <w:tc>
          <w:tcPr>
            <w:tcW w:w="683" w:type="dxa"/>
            <w:tcBorders>
              <w:tl2br w:val="nil"/>
              <w:tr2bl w:val="nil"/>
            </w:tcBorders>
            <w:vAlign w:val="center"/>
          </w:tcPr>
          <w:p w:rsidR="005D2505" w:rsidRDefault="005D2505" w:rsidP="000E6D44">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污染类型</w:t>
            </w:r>
          </w:p>
        </w:tc>
        <w:tc>
          <w:tcPr>
            <w:tcW w:w="5100" w:type="dxa"/>
            <w:tcBorders>
              <w:tl2br w:val="nil"/>
              <w:tr2bl w:val="nil"/>
            </w:tcBorders>
            <w:vAlign w:val="center"/>
          </w:tcPr>
          <w:p w:rsidR="005D2505" w:rsidRDefault="005D2505" w:rsidP="000E6D44">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调查核实情况</w:t>
            </w:r>
          </w:p>
        </w:tc>
        <w:tc>
          <w:tcPr>
            <w:tcW w:w="750" w:type="dxa"/>
            <w:tcBorders>
              <w:tl2br w:val="nil"/>
              <w:tr2bl w:val="nil"/>
            </w:tcBorders>
            <w:vAlign w:val="center"/>
          </w:tcPr>
          <w:p w:rsidR="005D2505" w:rsidRDefault="005D2505" w:rsidP="000E6D44">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是否属实</w:t>
            </w:r>
          </w:p>
        </w:tc>
        <w:tc>
          <w:tcPr>
            <w:tcW w:w="2434" w:type="dxa"/>
            <w:tcBorders>
              <w:tl2br w:val="nil"/>
              <w:tr2bl w:val="nil"/>
            </w:tcBorders>
            <w:vAlign w:val="center"/>
          </w:tcPr>
          <w:p w:rsidR="005D2505" w:rsidRDefault="005D2505" w:rsidP="000E6D44">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处理和整改情况</w:t>
            </w:r>
          </w:p>
        </w:tc>
        <w:tc>
          <w:tcPr>
            <w:tcW w:w="679" w:type="dxa"/>
            <w:tcBorders>
              <w:tl2br w:val="nil"/>
              <w:tr2bl w:val="nil"/>
            </w:tcBorders>
            <w:vAlign w:val="center"/>
          </w:tcPr>
          <w:p w:rsidR="005D2505" w:rsidRDefault="005D2505" w:rsidP="000E6D44">
            <w:pPr>
              <w:widowControl/>
              <w:jc w:val="center"/>
              <w:textAlignment w:val="center"/>
              <w:rPr>
                <w:rFonts w:ascii="黑体" w:eastAsia="黑体" w:hAnsi="黑体" w:cs="黑体"/>
                <w:bCs/>
                <w:sz w:val="44"/>
                <w:szCs w:val="44"/>
              </w:rPr>
            </w:pPr>
            <w:r>
              <w:rPr>
                <w:rFonts w:ascii="黑体" w:eastAsia="黑体" w:hAnsi="黑体" w:cs="黑体" w:hint="eastAsia"/>
                <w:bCs/>
                <w:color w:val="000000"/>
                <w:sz w:val="22"/>
                <w:szCs w:val="22"/>
                <w:lang/>
              </w:rPr>
              <w:t>问责情况</w:t>
            </w:r>
          </w:p>
        </w:tc>
      </w:tr>
      <w:tr w:rsidR="005D2505" w:rsidTr="000E6D44">
        <w:trPr>
          <w:trHeight w:val="6090"/>
        </w:trPr>
        <w:tc>
          <w:tcPr>
            <w:tcW w:w="572" w:type="dxa"/>
            <w:tcBorders>
              <w:tl2br w:val="nil"/>
              <w:tr2bl w:val="nil"/>
            </w:tcBorders>
            <w:vAlign w:val="center"/>
          </w:tcPr>
          <w:p w:rsidR="005D2505" w:rsidRDefault="005D2505" w:rsidP="000E6D44">
            <w:pPr>
              <w:jc w:val="center"/>
              <w:rPr>
                <w:rFonts w:ascii="仿宋_GB2312" w:eastAsia="仿宋_GB2312" w:hAnsi="仿宋_GB2312" w:cs="仿宋_GB2312"/>
                <w:bCs/>
                <w:szCs w:val="21"/>
              </w:rPr>
            </w:pPr>
            <w:r>
              <w:rPr>
                <w:rFonts w:ascii="仿宋_GB2312" w:eastAsia="仿宋_GB2312" w:hAnsi="仿宋_GB2312" w:cs="仿宋_GB2312" w:hint="eastAsia"/>
                <w:bCs/>
                <w:sz w:val="21"/>
                <w:szCs w:val="21"/>
              </w:rPr>
              <w:t>1</w:t>
            </w:r>
          </w:p>
        </w:tc>
        <w:tc>
          <w:tcPr>
            <w:tcW w:w="1296" w:type="dxa"/>
            <w:tcBorders>
              <w:tl2br w:val="nil"/>
              <w:tr2bl w:val="nil"/>
            </w:tcBorders>
            <w:vAlign w:val="center"/>
          </w:tcPr>
          <w:p w:rsidR="005D2505" w:rsidRDefault="005D2505" w:rsidP="000E6D44">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21"/>
                <w:szCs w:val="21"/>
              </w:rPr>
              <w:t>X140000201811230033</w:t>
            </w:r>
          </w:p>
        </w:tc>
        <w:tc>
          <w:tcPr>
            <w:tcW w:w="1467" w:type="dxa"/>
            <w:tcBorders>
              <w:tl2br w:val="nil"/>
              <w:tr2bl w:val="nil"/>
            </w:tcBorders>
            <w:vAlign w:val="center"/>
          </w:tcPr>
          <w:p w:rsidR="005D2505" w:rsidRDefault="005D2505" w:rsidP="000E6D44">
            <w:pPr>
              <w:spacing w:line="180" w:lineRule="exact"/>
              <w:rPr>
                <w:rFonts w:ascii="仿宋_GB2312" w:eastAsia="仿宋_GB2312" w:hAnsi="仿宋_GB2312" w:cs="仿宋_GB2312"/>
                <w:bCs/>
                <w:szCs w:val="21"/>
              </w:rPr>
            </w:pPr>
            <w:r>
              <w:rPr>
                <w:rFonts w:ascii="仿宋_GB2312" w:eastAsia="仿宋_GB2312" w:hAnsi="仿宋_GB2312" w:cs="仿宋_GB2312" w:hint="eastAsia"/>
                <w:bCs/>
                <w:sz w:val="21"/>
                <w:szCs w:val="21"/>
              </w:rPr>
              <w:t>"举报人对受理编号D140000201811080009的案件处理不满意，要求重新调查。</w:t>
            </w:r>
          </w:p>
          <w:p w:rsidR="005D2505" w:rsidRDefault="005D2505" w:rsidP="000E6D44">
            <w:pPr>
              <w:spacing w:line="180" w:lineRule="exact"/>
              <w:rPr>
                <w:rFonts w:ascii="仿宋_GB2312" w:eastAsia="仿宋_GB2312" w:hAnsi="仿宋_GB2312" w:cs="仿宋_GB2312"/>
                <w:bCs/>
                <w:szCs w:val="21"/>
              </w:rPr>
            </w:pPr>
          </w:p>
          <w:p w:rsidR="005D2505" w:rsidRDefault="005D2505" w:rsidP="000E6D44">
            <w:pPr>
              <w:spacing w:line="180" w:lineRule="exact"/>
              <w:rPr>
                <w:rFonts w:ascii="仿宋_GB2312" w:eastAsia="仿宋_GB2312" w:hAnsi="仿宋_GB2312" w:cs="仿宋_GB2312"/>
                <w:bCs/>
                <w:color w:val="000000" w:themeColor="text1"/>
                <w:szCs w:val="21"/>
              </w:rPr>
            </w:pPr>
            <w:r>
              <w:rPr>
                <w:rFonts w:ascii="仿宋_GB2312" w:eastAsia="仿宋_GB2312" w:hAnsi="仿宋_GB2312" w:cs="仿宋_GB2312" w:hint="eastAsia"/>
                <w:bCs/>
                <w:sz w:val="21"/>
                <w:szCs w:val="21"/>
              </w:rPr>
              <w:t>山西省朔州市平鲁区，中煤集团旗下三座特大型的露天矿（东露矿、中煤平朔安太堡露天矿、中煤平朔安家岭露天矿），三座现代化的井工矿（井工一矿、二矿、三矿），存在露天开采，农民的耕地（2007年至2015年大概有9.12万亩）遭到破坏，安家岭露天矿离居民区较近，影响比较大，以租代征来使用农民的耕地。"</w:t>
            </w:r>
          </w:p>
        </w:tc>
        <w:tc>
          <w:tcPr>
            <w:tcW w:w="819" w:type="dxa"/>
            <w:tcBorders>
              <w:tl2br w:val="nil"/>
              <w:tr2bl w:val="nil"/>
            </w:tcBorders>
            <w:vAlign w:val="center"/>
          </w:tcPr>
          <w:p w:rsidR="005D2505" w:rsidRDefault="005D2505" w:rsidP="000E6D44">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21"/>
                <w:szCs w:val="21"/>
              </w:rPr>
              <w:t>朔州市平鲁区</w:t>
            </w:r>
          </w:p>
        </w:tc>
        <w:tc>
          <w:tcPr>
            <w:tcW w:w="683" w:type="dxa"/>
            <w:tcBorders>
              <w:tl2br w:val="nil"/>
              <w:tr2bl w:val="nil"/>
            </w:tcBorders>
            <w:vAlign w:val="center"/>
          </w:tcPr>
          <w:p w:rsidR="005D2505" w:rsidRDefault="005D2505" w:rsidP="000E6D44">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21"/>
                <w:szCs w:val="21"/>
              </w:rPr>
              <w:t>生态,大气</w:t>
            </w:r>
          </w:p>
        </w:tc>
        <w:tc>
          <w:tcPr>
            <w:tcW w:w="5100" w:type="dxa"/>
            <w:tcBorders>
              <w:tl2br w:val="nil"/>
              <w:tr2bl w:val="nil"/>
            </w:tcBorders>
            <w:vAlign w:val="center"/>
          </w:tcPr>
          <w:p w:rsidR="005D2505" w:rsidRDefault="005D2505" w:rsidP="000E6D44">
            <w:pPr>
              <w:spacing w:line="12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经调查，该反映问题与中央第二生态环境保护督察组“回头看”交办第二批（D140000201811080009）案件属于同一问题。</w:t>
            </w:r>
          </w:p>
          <w:p w:rsidR="005D2505" w:rsidRDefault="005D2505" w:rsidP="000E6D44">
            <w:pPr>
              <w:spacing w:line="12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1、关于“三座露天矿、三座井工矿占地破坏耕地9.12万亩”问题</w:t>
            </w:r>
          </w:p>
          <w:p w:rsidR="005D2505" w:rsidRDefault="005D2505" w:rsidP="000E6D44">
            <w:pPr>
              <w:spacing w:line="120" w:lineRule="exact"/>
              <w:ind w:firstLineChars="200" w:firstLine="300"/>
              <w:rPr>
                <w:rFonts w:ascii="仿宋_GB2312" w:eastAsia="仿宋_GB2312" w:hAnsi="仿宋_GB2312" w:cs="仿宋_GB2312"/>
                <w:bCs/>
                <w:color w:val="000000" w:themeColor="text1"/>
                <w:sz w:val="15"/>
                <w:szCs w:val="15"/>
              </w:rPr>
            </w:pPr>
            <w:bookmarkStart w:id="0" w:name="_GoBack"/>
            <w:bookmarkEnd w:id="0"/>
            <w:r>
              <w:rPr>
                <w:rFonts w:ascii="仿宋_GB2312" w:eastAsia="仿宋_GB2312" w:hAnsi="仿宋_GB2312" w:cs="仿宋_GB2312" w:hint="eastAsia"/>
                <w:bCs/>
                <w:color w:val="000000" w:themeColor="text1"/>
                <w:sz w:val="15"/>
                <w:szCs w:val="15"/>
              </w:rPr>
              <w:t>2007年前，平朔矿区生产用地主要以划拨方式取得，用地主体为安太堡、安家岭两座露天矿，用地总面积60095亩，其中耕地面积35453亩。中煤平朔集团有限公司按照《土地法》要求已全部完成耕地占补平衡任务。</w:t>
            </w:r>
          </w:p>
          <w:p w:rsidR="005D2505" w:rsidRDefault="005D2505" w:rsidP="000E6D44">
            <w:pPr>
              <w:spacing w:line="12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2007年至2015年三座露天矿、三座井工矿共占用土地面积46444亩。其中露天采矿用地30444亩〔其中划拨用地4324亩（耕地2146亩），出让用地2596亩（耕地2485亩），临时用地23524亩（耕地9993亩）〕，临时用地均位于试点批复范围内，符合政策要求。井工矿采煤塌陷面积16000亩，其中耕地7568亩，用地均补偿到位，符合用地要求。</w:t>
            </w:r>
          </w:p>
          <w:p w:rsidR="005D2505" w:rsidRDefault="005D2505" w:rsidP="000E6D44">
            <w:pPr>
              <w:spacing w:line="12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平朔公司按照“边开采，边治理，边恢复”的原则，总体规划、分步实施，及时恢复矿区生态环境，建设绿色矿区。2007-2015年，露天矿采用“采、运、排、复”一条龙作业法，严格按照复垦标准和还低要求开展复垦工作，排土场到界一块，复垦一块，现已完成复垦面积12900亩，复垦率42.1%。露天开采受资源埋深、开采厚度、工艺特点、地质条件等因素制约，后续复垦任务将逐年纳入生产计划有序进行。井工矿塌陷区现已治理面积11000亩。未治理区域由于4#、9#煤采煤未结束，地面仍未达到沉降稳定期，存在安全隐患，条件成熟后逐年进行复垦治理。2018年，平朔集团有限公司编制完成《露天采矿用地改革试点2017-2021年复垦规划及初步设计方案》，并于6月10日获朔州市国土局批复。拟在5年内投入2.88亿元,复垦21404亩，亩均复垦标准较以往增加6000多元。2019年-2021年拟投入3000万元完成塌陷治理面积5000亩。</w:t>
            </w:r>
          </w:p>
          <w:p w:rsidR="005D2505" w:rsidRDefault="005D2505" w:rsidP="000E6D44">
            <w:pPr>
              <w:spacing w:line="12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2、关于“三座井工矿存在露天开采”问题的调查情况</w:t>
            </w:r>
          </w:p>
          <w:p w:rsidR="005D2505" w:rsidRDefault="005D2505" w:rsidP="000E6D44">
            <w:pPr>
              <w:spacing w:line="12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井工一矿、井工二矿和井工三矿均为井工开采(其中，井工二矿与安家岭露天矿为露井联采)，不存在露天开采。</w:t>
            </w:r>
          </w:p>
          <w:p w:rsidR="005D2505" w:rsidRDefault="005D2505" w:rsidP="000E6D44">
            <w:pPr>
              <w:spacing w:line="120" w:lineRule="exact"/>
              <w:ind w:firstLineChars="200" w:firstLine="300"/>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15"/>
                <w:szCs w:val="15"/>
              </w:rPr>
              <w:t>2、关于“以租代征来使用农民耕地”问题</w:t>
            </w:r>
          </w:p>
          <w:p w:rsidR="005D2505" w:rsidRDefault="005D2505" w:rsidP="000E6D44">
            <w:pPr>
              <w:spacing w:line="120" w:lineRule="exact"/>
              <w:ind w:firstLineChars="200" w:firstLine="300"/>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15"/>
                <w:szCs w:val="15"/>
              </w:rPr>
              <w:t>2010年11月国土部与山西省签订《创新矿业用地管理机制合作协议》，2011年8月，国土资源部以《关于山西省朔州市中煤平朔煤业有限责任公司露天煤矿采矿用地方式改革试点的复函》（国土资厅函[2011]715号）对平朔公司采矿用地进行批复，同意在平朔公司矿区内三座露天矿14万亩范围内开展露天采矿用地改革试点工作，以临时用地方式提供采矿用地。采矿用地涉及占用农村集体用地的，不再实施征收，而是以临时用地方式使用农民集体土地。在不改变农村土地所有权性质、不改变土地规划前提下，以临时用地的方式满足采矿用地需要，促进土地和矿产资源的合理开发利用。补偿费用按永久性征用补偿标准支付农民，采矿用地结束经复垦治理后归还村集体，农民不失去土地。临时用地不是“以租代征”。</w:t>
            </w:r>
          </w:p>
        </w:tc>
        <w:tc>
          <w:tcPr>
            <w:tcW w:w="750" w:type="dxa"/>
            <w:tcBorders>
              <w:tl2br w:val="nil"/>
              <w:tr2bl w:val="nil"/>
            </w:tcBorders>
            <w:vAlign w:val="center"/>
          </w:tcPr>
          <w:p w:rsidR="005D2505" w:rsidRDefault="005D2505" w:rsidP="000E6D44">
            <w:pPr>
              <w:jc w:val="center"/>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21"/>
                <w:szCs w:val="21"/>
              </w:rPr>
              <w:t>否</w:t>
            </w:r>
          </w:p>
        </w:tc>
        <w:tc>
          <w:tcPr>
            <w:tcW w:w="2434" w:type="dxa"/>
            <w:tcBorders>
              <w:tl2br w:val="nil"/>
              <w:tr2bl w:val="nil"/>
            </w:tcBorders>
            <w:vAlign w:val="center"/>
          </w:tcPr>
          <w:p w:rsidR="005D2505" w:rsidRDefault="005D2505" w:rsidP="000E6D44">
            <w:pPr>
              <w:spacing w:line="200" w:lineRule="exact"/>
              <w:ind w:firstLineChars="500" w:firstLine="1050"/>
              <w:rPr>
                <w:rFonts w:ascii="仿宋_GB2312" w:eastAsia="仿宋_GB2312" w:hAnsi="仿宋_GB2312" w:cs="仿宋_GB2312"/>
                <w:bCs/>
                <w:color w:val="000000" w:themeColor="text1"/>
                <w:szCs w:val="21"/>
              </w:rPr>
            </w:pPr>
            <w:r>
              <w:rPr>
                <w:rFonts w:ascii="仿宋_GB2312" w:eastAsia="仿宋_GB2312" w:hAnsi="仿宋_GB2312" w:cs="仿宋_GB2312" w:hint="eastAsia"/>
                <w:bCs/>
                <w:color w:val="000000" w:themeColor="text1"/>
                <w:sz w:val="21"/>
                <w:szCs w:val="21"/>
              </w:rPr>
              <w:t>无</w:t>
            </w:r>
          </w:p>
        </w:tc>
        <w:tc>
          <w:tcPr>
            <w:tcW w:w="679" w:type="dxa"/>
            <w:tcBorders>
              <w:tl2br w:val="nil"/>
              <w:tr2bl w:val="nil"/>
            </w:tcBorders>
            <w:vAlign w:val="center"/>
          </w:tcPr>
          <w:p w:rsidR="005D2505" w:rsidRDefault="005D2505" w:rsidP="000E6D44">
            <w:pPr>
              <w:spacing w:line="320" w:lineRule="exact"/>
              <w:jc w:val="center"/>
              <w:rPr>
                <w:rFonts w:ascii="仿宋_GB2312" w:eastAsia="仿宋_GB2312" w:hAnsi="仿宋_GB2312" w:cs="仿宋_GB2312"/>
                <w:bCs/>
                <w:color w:val="000000" w:themeColor="text1"/>
                <w:sz w:val="15"/>
                <w:szCs w:val="15"/>
              </w:rPr>
            </w:pPr>
            <w:r>
              <w:rPr>
                <w:rFonts w:ascii="仿宋_GB2312" w:eastAsia="仿宋_GB2312" w:hAnsi="仿宋_GB2312" w:cs="仿宋_GB2312" w:hint="eastAsia"/>
                <w:bCs/>
                <w:color w:val="000000" w:themeColor="text1"/>
                <w:sz w:val="21"/>
                <w:szCs w:val="21"/>
              </w:rPr>
              <w:t>无</w:t>
            </w:r>
          </w:p>
        </w:tc>
      </w:tr>
    </w:tbl>
    <w:p w:rsidR="005D2505" w:rsidRDefault="005D2505" w:rsidP="005D2505">
      <w:pPr>
        <w:rPr>
          <w:rFonts w:asciiTheme="minorEastAsia" w:eastAsiaTheme="minorEastAsia" w:hAnsiTheme="minorEastAsia"/>
          <w:szCs w:val="21"/>
        </w:rPr>
      </w:pPr>
    </w:p>
    <w:p w:rsidR="00545779" w:rsidRDefault="00545779"/>
    <w:sectPr w:rsidR="00545779" w:rsidSect="005D250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779" w:rsidRDefault="00545779" w:rsidP="005D2505">
      <w:r>
        <w:separator/>
      </w:r>
    </w:p>
  </w:endnote>
  <w:endnote w:type="continuationSeparator" w:id="1">
    <w:p w:rsidR="00545779" w:rsidRDefault="00545779" w:rsidP="005D25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779" w:rsidRDefault="00545779" w:rsidP="005D2505">
      <w:r>
        <w:separator/>
      </w:r>
    </w:p>
  </w:footnote>
  <w:footnote w:type="continuationSeparator" w:id="1">
    <w:p w:rsidR="00545779" w:rsidRDefault="00545779" w:rsidP="005D25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505"/>
    <w:rsid w:val="00545779"/>
    <w:rsid w:val="005D2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25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D2505"/>
    <w:rPr>
      <w:sz w:val="18"/>
      <w:szCs w:val="18"/>
    </w:rPr>
  </w:style>
  <w:style w:type="paragraph" w:styleId="a4">
    <w:name w:val="footer"/>
    <w:basedOn w:val="a"/>
    <w:link w:val="Char0"/>
    <w:uiPriority w:val="99"/>
    <w:semiHidden/>
    <w:unhideWhenUsed/>
    <w:rsid w:val="005D25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D2505"/>
    <w:rPr>
      <w:sz w:val="18"/>
      <w:szCs w:val="18"/>
    </w:rPr>
  </w:style>
  <w:style w:type="table" w:styleId="a5">
    <w:name w:val="Table Grid"/>
    <w:basedOn w:val="a1"/>
    <w:qFormat/>
    <w:rsid w:val="005D250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0</DocSecurity>
  <Lines>10</Lines>
  <Paragraphs>3</Paragraphs>
  <ScaleCrop>false</ScaleCrop>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2018-11-29T09:10:00Z</dcterms:created>
  <dcterms:modified xsi:type="dcterms:W3CDTF">2018-11-29T09:10:00Z</dcterms:modified>
</cp:coreProperties>
</file>