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60"/>
        <w:contextualSpacing/>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朔州市平鲁区</w:t>
      </w:r>
      <w:r>
        <w:rPr>
          <w:rFonts w:hint="eastAsia" w:ascii="仿宋" w:hAnsi="仿宋" w:eastAsia="仿宋"/>
          <w:color w:val="000000" w:themeColor="text1"/>
          <w:lang w:eastAsia="zh-CN"/>
          <w14:textFill>
            <w14:solidFill>
              <w14:schemeClr w14:val="tx1"/>
            </w14:solidFill>
          </w14:textFill>
        </w:rPr>
        <w:t>陶村乡卫生院</w:t>
      </w:r>
    </w:p>
    <w:p>
      <w:pPr>
        <w:pStyle w:val="12"/>
        <w:spacing w:before="60"/>
        <w:contextualSpacing/>
        <w:rPr>
          <w:rFonts w:ascii="仿宋" w:hAnsi="仿宋" w:eastAsia="仿宋"/>
        </w:rPr>
      </w:pPr>
      <w:r>
        <w:rPr>
          <w:rFonts w:hint="eastAsia" w:ascii="仿宋" w:hAnsi="仿宋" w:eastAsia="仿宋"/>
        </w:rPr>
        <w:t>202</w:t>
      </w:r>
      <w:r>
        <w:rPr>
          <w:rFonts w:hint="eastAsia" w:ascii="仿宋" w:hAnsi="仿宋" w:eastAsia="仿宋"/>
          <w:lang w:val="en-US" w:eastAsia="zh-CN"/>
        </w:rPr>
        <w:t>2</w:t>
      </w:r>
      <w:r>
        <w:rPr>
          <w:rFonts w:hint="eastAsia" w:ascii="仿宋" w:hAnsi="仿宋" w:eastAsia="仿宋"/>
        </w:rPr>
        <w:t>年度部门预算公开说明</w:t>
      </w:r>
    </w:p>
    <w:p>
      <w:pPr>
        <w:pStyle w:val="3"/>
        <w:tabs>
          <w:tab w:val="left" w:pos="6419"/>
        </w:tabs>
        <w:spacing w:before="12" w:line="360" w:lineRule="auto"/>
        <w:ind w:left="0" w:firstLine="0"/>
        <w:contextualSpacing/>
        <w:jc w:val="left"/>
        <w:rPr>
          <w:rFonts w:ascii="仿宋" w:hAnsi="仿宋" w:eastAsia="仿宋" w:cs="仿宋"/>
        </w:rPr>
      </w:pPr>
      <w:r>
        <w:rPr>
          <w:rFonts w:ascii="仿宋" w:hAnsi="仿宋" w:eastAsia="仿宋" w:cs="仿宋"/>
        </w:rPr>
        <w:tab/>
      </w:r>
    </w:p>
    <w:p>
      <w:pPr>
        <w:tabs>
          <w:tab w:val="left" w:pos="964"/>
        </w:tabs>
        <w:spacing w:line="360" w:lineRule="auto"/>
        <w:ind w:right="137"/>
        <w:contextualSpacing/>
        <w:jc w:val="center"/>
        <w:rPr>
          <w:rFonts w:ascii="仿宋" w:hAnsi="仿宋" w:eastAsia="仿宋" w:cs="仿宋"/>
          <w:b/>
          <w:sz w:val="32"/>
          <w:szCs w:val="32"/>
        </w:rPr>
      </w:pPr>
      <w:r>
        <w:rPr>
          <w:rFonts w:hint="eastAsia" w:ascii="仿宋" w:hAnsi="仿宋" w:eastAsia="仿宋" w:cs="仿宋"/>
          <w:b/>
          <w:sz w:val="32"/>
          <w:szCs w:val="32"/>
        </w:rPr>
        <w:t>目</w:t>
      </w:r>
      <w:r>
        <w:rPr>
          <w:rFonts w:hint="eastAsia" w:ascii="仿宋" w:hAnsi="仿宋" w:eastAsia="仿宋" w:cs="仿宋"/>
          <w:b/>
          <w:sz w:val="32"/>
          <w:szCs w:val="32"/>
        </w:rPr>
        <w:tab/>
      </w:r>
      <w:r>
        <w:rPr>
          <w:rFonts w:hint="eastAsia" w:ascii="仿宋" w:hAnsi="仿宋" w:eastAsia="仿宋" w:cs="仿宋"/>
          <w:b/>
          <w:sz w:val="32"/>
          <w:szCs w:val="32"/>
        </w:rPr>
        <w:t>录</w:t>
      </w:r>
    </w:p>
    <w:p>
      <w:pPr>
        <w:pStyle w:val="9"/>
        <w:tabs>
          <w:tab w:val="right" w:leader="dot" w:pos="8690"/>
        </w:tabs>
        <w:spacing w:line="360" w:lineRule="auto"/>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fldChar w:fldCharType="begin"/>
      </w:r>
      <w:r>
        <w:instrText xml:space="preserve"> HYPERLINK \l "_Toc27418" </w:instrText>
      </w:r>
      <w:r>
        <w:fldChar w:fldCharType="separate"/>
      </w:r>
      <w:r>
        <w:rPr>
          <w:rFonts w:hint="eastAsia" w:ascii="仿宋" w:hAnsi="仿宋" w:eastAsia="仿宋" w:cs="仿宋"/>
          <w:b/>
          <w:sz w:val="32"/>
          <w:szCs w:val="32"/>
        </w:rPr>
        <w:t>第一部分</w:t>
      </w:r>
      <w:r>
        <w:rPr>
          <w:rFonts w:hint="eastAsia" w:ascii="仿宋" w:hAnsi="仿宋" w:eastAsia="仿宋" w:cs="仿宋"/>
          <w:b/>
          <w:spacing w:val="-2"/>
          <w:sz w:val="32"/>
          <w:szCs w:val="32"/>
        </w:rPr>
        <w:t xml:space="preserve"> </w:t>
      </w:r>
      <w:r>
        <w:rPr>
          <w:rFonts w:hint="eastAsia" w:ascii="仿宋" w:hAnsi="仿宋" w:eastAsia="仿宋" w:cs="仿宋"/>
          <w:b/>
          <w:sz w:val="32"/>
          <w:szCs w:val="32"/>
        </w:rPr>
        <w:t>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_Toc27418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"_Toc30850" </w:instrText>
      </w:r>
      <w:r>
        <w:fldChar w:fldCharType="separate"/>
      </w:r>
      <w:r>
        <w:rPr>
          <w:rFonts w:hint="eastAsia" w:ascii="仿宋" w:hAnsi="仿宋" w:eastAsia="仿宋" w:cs="仿宋"/>
          <w:bCs/>
          <w:sz w:val="32"/>
          <w:szCs w:val="32"/>
        </w:rPr>
        <w:t>一、本部门职责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_Toc30850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"_Toc27699" </w:instrText>
      </w:r>
      <w:r>
        <w:fldChar w:fldCharType="separate"/>
      </w:r>
      <w:r>
        <w:rPr>
          <w:rFonts w:hint="eastAsia" w:ascii="仿宋" w:hAnsi="仿宋" w:eastAsia="仿宋" w:cs="仿宋"/>
          <w:bCs/>
          <w:sz w:val="32"/>
          <w:szCs w:val="32"/>
        </w:rPr>
        <w:t>二、机构设置及编制情况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_Toc27699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b/>
          <w:sz w:val="32"/>
          <w:szCs w:val="32"/>
        </w:rPr>
      </w:pPr>
      <w:r>
        <w:fldChar w:fldCharType="begin"/>
      </w:r>
      <w:r>
        <w:instrText xml:space="preserve"> HYPERLINK \l "_Toc5906" </w:instrText>
      </w:r>
      <w:r>
        <w:fldChar w:fldCharType="separate"/>
      </w:r>
      <w:r>
        <w:rPr>
          <w:rFonts w:hint="eastAsia" w:ascii="仿宋" w:hAnsi="仿宋" w:eastAsia="仿宋" w:cs="仿宋"/>
          <w:b/>
          <w:sz w:val="32"/>
          <w:szCs w:val="32"/>
        </w:rPr>
        <w:t>第二部分 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年度部门预算报表（见附表）</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_Toc5906 </w:instrText>
      </w:r>
      <w:r>
        <w:rPr>
          <w:rFonts w:hint="eastAsia" w:ascii="仿宋" w:hAnsi="仿宋" w:eastAsia="仿宋" w:cs="仿宋"/>
          <w:b/>
          <w:sz w:val="32"/>
          <w:szCs w:val="32"/>
        </w:rPr>
        <w:fldChar w:fldCharType="separate"/>
      </w:r>
      <w:r>
        <w:rPr>
          <w:rFonts w:ascii="仿宋" w:hAnsi="仿宋" w:eastAsia="仿宋" w:cs="仿宋"/>
          <w:b/>
          <w:sz w:val="32"/>
          <w:szCs w:val="32"/>
        </w:rPr>
        <w:t>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"_Toc14229" </w:instrText>
      </w:r>
      <w:r>
        <w:fldChar w:fldCharType="separate"/>
      </w:r>
      <w:r>
        <w:rPr>
          <w:rFonts w:hint="eastAsia" w:ascii="仿宋" w:hAnsi="仿宋" w:eastAsia="仿宋" w:cs="仿宋"/>
          <w:sz w:val="32"/>
          <w:szCs w:val="32"/>
        </w:rPr>
        <w:t>一、202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_Toc14229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"_Toc6618" </w:instrText>
      </w:r>
      <w:r>
        <w:fldChar w:fldCharType="separate"/>
      </w:r>
      <w:r>
        <w:rPr>
          <w:rFonts w:hint="eastAsia" w:ascii="仿宋" w:hAnsi="仿宋" w:eastAsia="仿宋" w:cs="仿宋"/>
          <w:sz w:val="32"/>
          <w:szCs w:val="32"/>
        </w:rPr>
        <w:t>二、202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年预算收入总表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_Toc6618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"_Toc29195" </w:instrText>
      </w:r>
      <w:r>
        <w:fldChar w:fldCharType="separate"/>
      </w:r>
      <w:r>
        <w:rPr>
          <w:rFonts w:hint="eastAsia" w:ascii="仿宋" w:hAnsi="仿宋" w:eastAsia="仿宋" w:cs="仿宋"/>
          <w:sz w:val="32"/>
          <w:szCs w:val="32"/>
        </w:rPr>
        <w:t>三、202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年预算支出总表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_Toc29195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"_Toc19750" </w:instrText>
      </w:r>
      <w:r>
        <w:fldChar w:fldCharType="separate"/>
      </w:r>
      <w:r>
        <w:rPr>
          <w:rFonts w:hint="eastAsia" w:ascii="仿宋" w:hAnsi="仿宋" w:eastAsia="仿宋" w:cs="仿宋"/>
          <w:sz w:val="32"/>
          <w:szCs w:val="32"/>
        </w:rPr>
        <w:t>四、202</w:t>
      </w:r>
      <w:r>
        <w:rPr>
          <w:rFonts w:hint="eastAsia" w:ascii="仿宋" w:hAnsi="仿宋" w:eastAsia="仿宋" w:cs="仿宋"/>
          <w:sz w:val="32"/>
          <w:szCs w:val="32"/>
          <w:lang w:val="en-US" w:eastAsia="zh-CN"/>
        </w:rPr>
        <w:t>2</w:t>
      </w:r>
      <w:r>
        <w:rPr>
          <w:rFonts w:hint="eastAsia" w:ascii="仿宋" w:hAnsi="仿宋" w:eastAsia="仿宋" w:cs="仿宋"/>
          <w:sz w:val="32"/>
          <w:szCs w:val="32"/>
        </w:rPr>
        <w:t>年财政拨款收支总表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_Toc19750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"_Toc11961" </w:instrText>
      </w:r>
      <w:r>
        <w:fldChar w:fldCharType="separate"/>
      </w:r>
      <w:r>
        <w:rPr>
          <w:rFonts w:hint="eastAsia" w:ascii="仿宋" w:hAnsi="仿宋" w:eastAsia="仿宋" w:cs="仿宋"/>
          <w:spacing w:val="-10"/>
          <w:sz w:val="32"/>
          <w:szCs w:val="32"/>
        </w:rPr>
        <w:t>五、</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41"/>
          <w:sz w:val="32"/>
          <w:szCs w:val="32"/>
        </w:rPr>
        <w:t>年一般公共预算支出预算表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_Toc11961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"_Toc6021" </w:instrText>
      </w:r>
      <w:r>
        <w:fldChar w:fldCharType="separate"/>
      </w:r>
      <w:r>
        <w:rPr>
          <w:rFonts w:hint="eastAsia" w:ascii="仿宋" w:hAnsi="仿宋" w:eastAsia="仿宋" w:cs="仿宋"/>
          <w:spacing w:val="-10"/>
          <w:sz w:val="32"/>
          <w:szCs w:val="32"/>
        </w:rPr>
        <w:t>六、</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年一般公共预算安排基本支出</w:t>
      </w:r>
      <w:r>
        <w:rPr>
          <w:rFonts w:hint="eastAsia" w:ascii="仿宋" w:hAnsi="仿宋" w:eastAsia="仿宋" w:cs="仿宋"/>
          <w:sz w:val="32"/>
          <w:szCs w:val="32"/>
        </w:rPr>
        <w:t>分经济科目表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_Toc6021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"_Toc16900" </w:instrText>
      </w:r>
      <w:r>
        <w:fldChar w:fldCharType="separate"/>
      </w:r>
      <w:r>
        <w:rPr>
          <w:rFonts w:hint="eastAsia" w:ascii="仿宋" w:hAnsi="仿宋" w:eastAsia="仿宋" w:cs="仿宋"/>
          <w:spacing w:val="-10"/>
          <w:sz w:val="32"/>
          <w:szCs w:val="32"/>
        </w:rPr>
        <w:t>七、</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年政府性基金收入预算表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_Toc16900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"_Toc11152" </w:instrText>
      </w:r>
      <w:r>
        <w:fldChar w:fldCharType="separate"/>
      </w:r>
      <w:r>
        <w:rPr>
          <w:rFonts w:hint="eastAsia" w:ascii="仿宋" w:hAnsi="仿宋" w:eastAsia="仿宋" w:cs="仿宋"/>
          <w:spacing w:val="-10"/>
          <w:sz w:val="32"/>
          <w:szCs w:val="32"/>
        </w:rPr>
        <w:t>八、</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年政府性基金支出预算表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_Toc11152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"_Toc11457" </w:instrText>
      </w:r>
      <w:r>
        <w:fldChar w:fldCharType="separate"/>
      </w:r>
      <w:r>
        <w:rPr>
          <w:rFonts w:hint="eastAsia" w:ascii="仿宋" w:hAnsi="仿宋" w:eastAsia="仿宋" w:cs="仿宋"/>
          <w:spacing w:val="-10"/>
          <w:sz w:val="32"/>
          <w:szCs w:val="32"/>
        </w:rPr>
        <w:t>九、</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年“三公”经费预算财政拨款</w:t>
      </w:r>
      <w:r>
        <w:rPr>
          <w:rFonts w:hint="eastAsia" w:ascii="仿宋" w:hAnsi="仿宋" w:eastAsia="仿宋" w:cs="仿宋"/>
          <w:sz w:val="32"/>
          <w:szCs w:val="32"/>
        </w:rPr>
        <w:t>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_Toc11457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"_Toc17634" </w:instrText>
      </w:r>
      <w:r>
        <w:fldChar w:fldCharType="separate"/>
      </w:r>
      <w:r>
        <w:rPr>
          <w:rFonts w:hint="eastAsia" w:ascii="仿宋" w:hAnsi="仿宋" w:eastAsia="仿宋" w:cs="仿宋"/>
          <w:sz w:val="32"/>
          <w:szCs w:val="32"/>
        </w:rPr>
        <w:t>十、202</w:t>
      </w:r>
      <w:r>
        <w:rPr>
          <w:rFonts w:hint="eastAsia" w:ascii="仿宋" w:hAnsi="仿宋" w:eastAsia="仿宋" w:cs="仿宋"/>
          <w:sz w:val="32"/>
          <w:szCs w:val="32"/>
          <w:lang w:val="en-US" w:eastAsia="zh-CN"/>
        </w:rPr>
        <w:t>2</w:t>
      </w:r>
      <w:r>
        <w:rPr>
          <w:rFonts w:hint="eastAsia" w:ascii="仿宋" w:hAnsi="仿宋" w:eastAsia="仿宋" w:cs="仿宋"/>
          <w:sz w:val="32"/>
          <w:szCs w:val="32"/>
        </w:rPr>
        <w:t>年机关运行经费预算财政拨款情况统计表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_Toc17634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"_Toc27086" </w:instrText>
      </w:r>
      <w:r>
        <w:fldChar w:fldCharType="separate"/>
      </w:r>
      <w:r>
        <w:rPr>
          <w:rFonts w:hint="eastAsia" w:ascii="仿宋" w:hAnsi="仿宋" w:eastAsia="仿宋" w:cs="仿宋"/>
          <w:b/>
          <w:sz w:val="32"/>
          <w:szCs w:val="32"/>
        </w:rPr>
        <w:t>第三部分 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年度部门预算情况说明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_Toc27086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"_Toc12747" </w:instrText>
      </w:r>
      <w:r>
        <w:fldChar w:fldCharType="separate"/>
      </w:r>
      <w:r>
        <w:rPr>
          <w:rFonts w:hint="eastAsia" w:ascii="仿宋" w:hAnsi="仿宋" w:eastAsia="仿宋" w:cs="仿宋"/>
          <w:bCs/>
          <w:sz w:val="32"/>
          <w:szCs w:val="32"/>
        </w:rPr>
        <w:t>一、202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年度部门预算数据变动情况及原因</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_Toc12747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"_Toc31108" </w:instrText>
      </w:r>
      <w:r>
        <w:fldChar w:fldCharType="separate"/>
      </w:r>
      <w:r>
        <w:rPr>
          <w:rFonts w:hint="eastAsia" w:ascii="仿宋" w:hAnsi="仿宋" w:eastAsia="仿宋" w:cs="仿宋"/>
          <w:bCs/>
          <w:sz w:val="32"/>
          <w:szCs w:val="32"/>
        </w:rPr>
        <w:t>二、“三公”经费增减变动原因说明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_Toc31108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"_Toc14203" </w:instrText>
      </w:r>
      <w:r>
        <w:fldChar w:fldCharType="separate"/>
      </w:r>
      <w:r>
        <w:rPr>
          <w:rFonts w:hint="eastAsia" w:ascii="仿宋" w:hAnsi="仿宋" w:eastAsia="仿宋" w:cs="仿宋"/>
          <w:bCs/>
          <w:sz w:val="32"/>
          <w:szCs w:val="32"/>
        </w:rPr>
        <w:t>三、机关运行经费增减变动原因说明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_Toc14203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"_Toc8609" </w:instrText>
      </w:r>
      <w:r>
        <w:fldChar w:fldCharType="separate"/>
      </w:r>
      <w:r>
        <w:rPr>
          <w:rFonts w:hint="eastAsia" w:ascii="仿宋" w:hAnsi="仿宋" w:eastAsia="仿宋" w:cs="仿宋"/>
          <w:bCs/>
          <w:sz w:val="32"/>
          <w:szCs w:val="32"/>
        </w:rPr>
        <w:t>四、政府采购情况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_Toc8609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"_Toc3264" </w:instrText>
      </w:r>
      <w:r>
        <w:fldChar w:fldCharType="separate"/>
      </w:r>
      <w:r>
        <w:rPr>
          <w:rFonts w:hint="eastAsia" w:ascii="仿宋" w:hAnsi="仿宋" w:eastAsia="仿宋" w:cs="仿宋"/>
          <w:bCs/>
          <w:sz w:val="32"/>
          <w:szCs w:val="32"/>
        </w:rPr>
        <w:t>五、绩效管理情况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_Toc3264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"_Toc19868" </w:instrText>
      </w:r>
      <w:r>
        <w:fldChar w:fldCharType="separate"/>
      </w:r>
      <w:r>
        <w:rPr>
          <w:rFonts w:hint="eastAsia" w:ascii="仿宋" w:hAnsi="仿宋" w:eastAsia="仿宋" w:cs="仿宋"/>
          <w:bCs/>
          <w:sz w:val="32"/>
          <w:szCs w:val="32"/>
        </w:rPr>
        <w:t>六、国有资产占有使用情况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_Toc19868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"_Toc18321" </w:instrText>
      </w:r>
      <w:r>
        <w:fldChar w:fldCharType="separate"/>
      </w:r>
      <w:r>
        <w:rPr>
          <w:rFonts w:hint="eastAsia" w:ascii="仿宋" w:hAnsi="仿宋" w:eastAsia="仿宋" w:cs="仿宋"/>
          <w:bCs/>
          <w:sz w:val="32"/>
          <w:szCs w:val="32"/>
        </w:rPr>
        <w:t>七、其他说明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_Toc18321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"_Toc6785" </w:instrText>
      </w:r>
      <w:r>
        <w:fldChar w:fldCharType="separate"/>
      </w:r>
      <w:r>
        <w:rPr>
          <w:rFonts w:hint="eastAsia" w:ascii="仿宋" w:hAnsi="仿宋" w:eastAsia="仿宋" w:cs="仿宋"/>
          <w:b/>
          <w:sz w:val="32"/>
          <w:szCs w:val="32"/>
        </w:rPr>
        <w:t>第四部分 名词解释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_Toc6785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pacing w:line="360" w:lineRule="auto"/>
        <w:contextualSpacing/>
        <w:rPr>
          <w:rFonts w:ascii="仿宋" w:hAnsi="仿宋" w:eastAsia="仿宋" w:cs="仿宋"/>
          <w:sz w:val="32"/>
          <w:szCs w:val="32"/>
        </w:rPr>
        <w:sectPr>
          <w:headerReference r:id="rId5" w:type="first"/>
          <w:footerReference r:id="rId8" w:type="first"/>
          <w:headerReference r:id="rId3" w:type="default"/>
          <w:footerReference r:id="rId6" w:type="default"/>
          <w:headerReference r:id="rId4" w:type="even"/>
          <w:footerReference r:id="rId7" w:type="even"/>
          <w:pgSz w:w="11910" w:h="16840"/>
          <w:pgMar w:top="1500" w:right="1540" w:bottom="280" w:left="1680" w:header="720" w:footer="720" w:gutter="0"/>
          <w:cols w:space="720" w:num="1"/>
        </w:sectPr>
      </w:pPr>
      <w:r>
        <w:rPr>
          <w:rFonts w:hint="eastAsia" w:ascii="仿宋" w:hAnsi="仿宋" w:eastAsia="仿宋" w:cs="仿宋"/>
          <w:sz w:val="32"/>
          <w:szCs w:val="32"/>
        </w:rPr>
        <w:fldChar w:fldCharType="end"/>
      </w:r>
    </w:p>
    <w:p>
      <w:pPr>
        <w:tabs>
          <w:tab w:val="right" w:leader="dot" w:pos="8427"/>
        </w:tabs>
        <w:spacing w:before="214" w:line="640" w:lineRule="exact"/>
        <w:contextualSpacing/>
        <w:jc w:val="center"/>
        <w:outlineLvl w:val="0"/>
        <w:rPr>
          <w:rFonts w:ascii="仿宋" w:hAnsi="仿宋" w:eastAsia="仿宋"/>
          <w:b/>
          <w:sz w:val="32"/>
          <w:szCs w:val="32"/>
        </w:rPr>
      </w:pPr>
      <w:bookmarkStart w:id="0" w:name="_Toc27418"/>
      <w:r>
        <w:rPr>
          <w:rFonts w:hint="eastAsia" w:ascii="仿宋" w:hAnsi="仿宋" w:eastAsia="仿宋"/>
          <w:b/>
          <w:sz w:val="32"/>
          <w:szCs w:val="32"/>
        </w:rPr>
        <w:t>第一部分</w:t>
      </w:r>
      <w:r>
        <w:rPr>
          <w:rFonts w:hint="eastAsia" w:ascii="仿宋" w:hAnsi="仿宋" w:eastAsia="仿宋"/>
          <w:b/>
          <w:spacing w:val="-2"/>
          <w:sz w:val="32"/>
          <w:szCs w:val="32"/>
        </w:rPr>
        <w:t xml:space="preserve"> </w:t>
      </w:r>
      <w:r>
        <w:rPr>
          <w:rFonts w:hint="eastAsia" w:ascii="仿宋" w:hAnsi="仿宋" w:eastAsia="仿宋"/>
          <w:b/>
          <w:sz w:val="32"/>
          <w:szCs w:val="32"/>
        </w:rPr>
        <w:t>概况</w:t>
      </w:r>
      <w:bookmarkEnd w:id="0"/>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 w:name="_Toc30850"/>
      <w:r>
        <w:rPr>
          <w:rFonts w:hint="eastAsia" w:ascii="仿宋" w:hAnsi="仿宋" w:eastAsia="仿宋" w:cs="黑体"/>
          <w:b/>
          <w:bCs/>
        </w:rPr>
        <w:t>一、本部门职责</w:t>
      </w:r>
      <w:bookmarkEnd w:id="1"/>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1、提供基本公共卫生服务：承担本镇农村居民健康档案规范建档指导，管理及服务。普及卫生保健常识，开展健康教育。对本镇65岁以上老人进行健康管理，定期随访体检。</w:t>
      </w:r>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2、提供基本医疗服务：使用农村适宜的医疗技术和中医药技术，正确处理常见病、多发症，对疑难重症进行适当的处理并转诊。提供政府卫生行政部门批准的其他适宜的医疗服务。</w:t>
      </w:r>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3、承担公共卫生管理：</w:t>
      </w:r>
      <w:r>
        <w:rPr>
          <w:rFonts w:hint="eastAsia" w:ascii="仿宋_GB2312" w:eastAsia="仿宋_GB2312"/>
        </w:rPr>
        <w:t>开展新技术、新项目，解决疑难问题，培养卫生技术和管理人才。为群众提供中西医医疗、预防、保健、计划生育、康复等医疗卫生管理。</w:t>
      </w:r>
    </w:p>
    <w:p>
      <w:pPr>
        <w:pStyle w:val="3"/>
        <w:tabs>
          <w:tab w:val="right" w:leader="dot" w:pos="8425"/>
        </w:tabs>
        <w:spacing w:line="640" w:lineRule="exact"/>
        <w:ind w:left="0" w:firstLine="643" w:firstLineChars="200"/>
        <w:contextualSpacing/>
        <w:jc w:val="left"/>
        <w:outlineLvl w:val="1"/>
        <w:rPr>
          <w:rFonts w:ascii="仿宋" w:hAnsi="仿宋" w:eastAsia="仿宋" w:cs="仿宋"/>
          <w:b/>
        </w:rPr>
      </w:pPr>
      <w:bookmarkStart w:id="2" w:name="_Toc27699"/>
      <w:r>
        <w:rPr>
          <w:rFonts w:hint="eastAsia" w:ascii="仿宋" w:hAnsi="仿宋" w:eastAsia="仿宋" w:cs="黑体"/>
          <w:b/>
          <w:bCs/>
        </w:rPr>
        <w:t>二、机构设置及编制情况</w:t>
      </w:r>
      <w:bookmarkEnd w:id="2"/>
    </w:p>
    <w:p>
      <w:pPr>
        <w:pStyle w:val="3"/>
        <w:tabs>
          <w:tab w:val="right" w:leader="dot" w:pos="8425"/>
        </w:tabs>
        <w:spacing w:line="640" w:lineRule="exact"/>
        <w:ind w:left="0" w:firstLineChars="200"/>
        <w:contextualSpacing/>
        <w:jc w:val="left"/>
        <w:rPr>
          <w:rFonts w:ascii="仿宋" w:hAnsi="仿宋" w:eastAsia="仿宋" w:cs="仿宋"/>
        </w:rPr>
      </w:pPr>
      <w:r>
        <w:rPr>
          <w:rFonts w:hint="eastAsia" w:ascii="仿宋" w:hAnsi="仿宋" w:eastAsia="仿宋" w:cs="楷体"/>
        </w:rPr>
        <w:t>1、机构设置：乡镇卫生院承担基本公共卫生服务、基本医疗服务、卫生管理、村卫生室的业务管理及技术指导等职能，设独立急诊（抢救）室、内儿科诊室</w:t>
      </w:r>
      <w:r>
        <w:rPr>
          <w:rFonts w:ascii="仿宋" w:hAnsi="仿宋" w:eastAsia="仿宋" w:cs="楷体"/>
        </w:rPr>
        <w:t>、外科诊室、妇产科及其检查室、全科医学室、中医诊室、换药处置室、注射室、留观室、传染病诊室与隔离留观室、中西医药房、医技科等。</w:t>
      </w:r>
    </w:p>
    <w:p>
      <w:pPr>
        <w:pStyle w:val="3"/>
        <w:tabs>
          <w:tab w:val="right" w:leader="dot" w:pos="8425"/>
        </w:tabs>
        <w:spacing w:line="640" w:lineRule="exact"/>
        <w:ind w:left="0" w:firstLineChars="200"/>
        <w:contextualSpacing/>
        <w:jc w:val="left"/>
        <w:rPr>
          <w:rFonts w:ascii="仿宋" w:hAnsi="仿宋" w:eastAsia="仿宋" w:cs="楷体"/>
        </w:rPr>
      </w:pPr>
      <w:r>
        <w:rPr>
          <w:rFonts w:hint="eastAsia" w:ascii="仿宋" w:hAnsi="仿宋" w:eastAsia="仿宋" w:cs="楷体"/>
        </w:rPr>
        <w:t>2、人员编制</w:t>
      </w:r>
      <w:r>
        <w:rPr>
          <w:rFonts w:hint="eastAsia" w:ascii="仿宋" w:hAnsi="仿宋" w:eastAsia="仿宋" w:cs="楷体"/>
          <w:lang w:val="en-US" w:eastAsia="zh-CN"/>
        </w:rPr>
        <w:t>20</w:t>
      </w:r>
      <w:r>
        <w:rPr>
          <w:rFonts w:hint="eastAsia" w:ascii="仿宋" w:hAnsi="仿宋" w:eastAsia="仿宋" w:cs="楷体"/>
        </w:rPr>
        <w:t>人，分为管理岗位、专业技术岗位、工勤技能岗位三种类别。</w:t>
      </w:r>
    </w:p>
    <w:p>
      <w:pPr>
        <w:tabs>
          <w:tab w:val="right" w:leader="dot" w:pos="8427"/>
        </w:tabs>
        <w:spacing w:before="214" w:line="640" w:lineRule="exact"/>
        <w:ind w:firstLine="643" w:firstLineChars="200"/>
        <w:contextualSpacing/>
        <w:jc w:val="center"/>
        <w:outlineLvl w:val="0"/>
        <w:rPr>
          <w:rFonts w:ascii="仿宋" w:hAnsi="仿宋" w:eastAsia="仿宋"/>
          <w:b/>
          <w:sz w:val="32"/>
          <w:szCs w:val="32"/>
        </w:rPr>
      </w:pPr>
      <w:bookmarkStart w:id="3" w:name="_Toc5906"/>
      <w:r>
        <w:rPr>
          <w:rFonts w:hint="eastAsia" w:ascii="仿宋" w:hAnsi="仿宋" w:eastAsia="仿宋"/>
          <w:b/>
          <w:sz w:val="32"/>
          <w:szCs w:val="32"/>
        </w:rPr>
        <w:t>第二部分 202</w:t>
      </w:r>
      <w:r>
        <w:rPr>
          <w:rFonts w:hint="eastAsia" w:ascii="仿宋" w:hAnsi="仿宋" w:eastAsia="仿宋"/>
          <w:b/>
          <w:sz w:val="32"/>
          <w:szCs w:val="32"/>
          <w:lang w:val="en-US" w:eastAsia="zh-CN"/>
        </w:rPr>
        <w:t>2</w:t>
      </w:r>
      <w:r>
        <w:rPr>
          <w:rFonts w:hint="eastAsia" w:ascii="仿宋" w:hAnsi="仿宋" w:eastAsia="仿宋"/>
          <w:b/>
          <w:sz w:val="32"/>
          <w:szCs w:val="32"/>
        </w:rPr>
        <w:t>年度部门预算报表（见附表）</w:t>
      </w:r>
      <w:bookmarkEnd w:id="3"/>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4" w:name="_Toc14229"/>
      <w:r>
        <w:rPr>
          <w:rFonts w:hint="eastAsia" w:ascii="仿宋" w:hAnsi="仿宋" w:eastAsia="仿宋" w:cs="仿宋"/>
        </w:rPr>
        <w:t>一、202</w:t>
      </w:r>
      <w:r>
        <w:rPr>
          <w:rFonts w:hint="eastAsia" w:ascii="仿宋" w:hAnsi="仿宋" w:eastAsia="仿宋" w:cs="仿宋"/>
          <w:lang w:val="en-US" w:eastAsia="zh-CN"/>
        </w:rPr>
        <w:t>2</w:t>
      </w:r>
      <w:r>
        <w:rPr>
          <w:rFonts w:hint="eastAsia" w:ascii="仿宋" w:hAnsi="仿宋" w:eastAsia="仿宋" w:cs="仿宋"/>
        </w:rPr>
        <w:t>年预算收支总表</w:t>
      </w:r>
      <w:bookmarkEnd w:id="4"/>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5" w:name="_Toc6618"/>
      <w:r>
        <w:rPr>
          <w:rFonts w:hint="eastAsia" w:ascii="仿宋" w:hAnsi="仿宋" w:eastAsia="仿宋" w:cs="仿宋"/>
        </w:rPr>
        <w:t>二、202</w:t>
      </w:r>
      <w:r>
        <w:rPr>
          <w:rFonts w:hint="eastAsia" w:ascii="仿宋" w:hAnsi="仿宋" w:eastAsia="仿宋" w:cs="仿宋"/>
          <w:lang w:val="en-US" w:eastAsia="zh-CN"/>
        </w:rPr>
        <w:t>2</w:t>
      </w:r>
      <w:r>
        <w:rPr>
          <w:rFonts w:hint="eastAsia" w:ascii="仿宋" w:hAnsi="仿宋" w:eastAsia="仿宋" w:cs="仿宋"/>
        </w:rPr>
        <w:t>年预算收入总表</w:t>
      </w:r>
      <w:bookmarkEnd w:id="5"/>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6" w:name="_Toc29195"/>
      <w:r>
        <w:rPr>
          <w:rFonts w:hint="eastAsia" w:ascii="仿宋" w:hAnsi="仿宋" w:eastAsia="仿宋" w:cs="仿宋"/>
        </w:rPr>
        <w:t>三、202</w:t>
      </w:r>
      <w:r>
        <w:rPr>
          <w:rFonts w:hint="eastAsia" w:ascii="仿宋" w:hAnsi="仿宋" w:eastAsia="仿宋" w:cs="仿宋"/>
          <w:lang w:val="en-US" w:eastAsia="zh-CN"/>
        </w:rPr>
        <w:t>2</w:t>
      </w:r>
      <w:r>
        <w:rPr>
          <w:rFonts w:hint="eastAsia" w:ascii="仿宋" w:hAnsi="仿宋" w:eastAsia="仿宋" w:cs="仿宋"/>
        </w:rPr>
        <w:t>年预算支出总表</w:t>
      </w:r>
      <w:bookmarkEnd w:id="6"/>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7" w:name="_Toc19750"/>
      <w:r>
        <w:rPr>
          <w:rFonts w:hint="eastAsia" w:ascii="仿宋" w:hAnsi="仿宋" w:eastAsia="仿宋" w:cs="仿宋"/>
        </w:rPr>
        <w:t>四、202</w:t>
      </w:r>
      <w:r>
        <w:rPr>
          <w:rFonts w:hint="eastAsia" w:ascii="仿宋" w:hAnsi="仿宋" w:eastAsia="仿宋" w:cs="仿宋"/>
          <w:lang w:val="en-US" w:eastAsia="zh-CN"/>
        </w:rPr>
        <w:t>2</w:t>
      </w:r>
      <w:r>
        <w:rPr>
          <w:rFonts w:hint="eastAsia" w:ascii="仿宋" w:hAnsi="仿宋" w:eastAsia="仿宋" w:cs="仿宋"/>
        </w:rPr>
        <w:t>年财政拨款收支总表</w:t>
      </w:r>
      <w:bookmarkEnd w:id="7"/>
    </w:p>
    <w:p>
      <w:pPr>
        <w:pStyle w:val="3"/>
        <w:spacing w:line="640" w:lineRule="exact"/>
        <w:ind w:left="0" w:right="258" w:firstLine="600" w:firstLineChars="200"/>
        <w:contextualSpacing/>
        <w:jc w:val="left"/>
        <w:outlineLvl w:val="1"/>
        <w:rPr>
          <w:rFonts w:ascii="仿宋" w:hAnsi="仿宋" w:eastAsia="仿宋" w:cs="仿宋"/>
          <w:spacing w:val="-41"/>
        </w:rPr>
      </w:pPr>
      <w:bookmarkStart w:id="8" w:name="_Toc11961"/>
      <w:r>
        <w:rPr>
          <w:rFonts w:hint="eastAsia" w:ascii="仿宋" w:hAnsi="仿宋" w:eastAsia="仿宋" w:cs="仿宋"/>
          <w:spacing w:val="-10"/>
        </w:rPr>
        <w:t>五、</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41"/>
        </w:rPr>
        <w:t>年一般公共预算支出预算表</w:t>
      </w:r>
      <w:bookmarkEnd w:id="8"/>
    </w:p>
    <w:p>
      <w:pPr>
        <w:pStyle w:val="3"/>
        <w:spacing w:line="640" w:lineRule="exact"/>
        <w:ind w:left="0" w:right="258" w:firstLine="600" w:firstLineChars="200"/>
        <w:contextualSpacing/>
        <w:jc w:val="left"/>
        <w:outlineLvl w:val="1"/>
        <w:rPr>
          <w:rFonts w:ascii="仿宋" w:hAnsi="仿宋" w:eastAsia="仿宋" w:cs="仿宋"/>
        </w:rPr>
      </w:pPr>
      <w:bookmarkStart w:id="9" w:name="_Toc6021"/>
      <w:r>
        <w:rPr>
          <w:rFonts w:hint="eastAsia" w:ascii="仿宋" w:hAnsi="仿宋" w:eastAsia="仿宋" w:cs="仿宋"/>
          <w:spacing w:val="-10"/>
        </w:rPr>
        <w:t>六、</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年一般公共预算安排基本支出</w:t>
      </w:r>
      <w:r>
        <w:rPr>
          <w:rFonts w:hint="eastAsia" w:ascii="仿宋" w:hAnsi="仿宋" w:eastAsia="仿宋" w:cs="仿宋"/>
        </w:rPr>
        <w:t>分经济科目表</w:t>
      </w:r>
      <w:bookmarkEnd w:id="9"/>
    </w:p>
    <w:p>
      <w:pPr>
        <w:pStyle w:val="3"/>
        <w:spacing w:line="640" w:lineRule="exact"/>
        <w:ind w:left="0" w:firstLine="600" w:firstLineChars="200"/>
        <w:contextualSpacing/>
        <w:jc w:val="left"/>
        <w:outlineLvl w:val="1"/>
        <w:rPr>
          <w:rFonts w:ascii="仿宋" w:hAnsi="仿宋" w:eastAsia="仿宋" w:cs="仿宋"/>
          <w:spacing w:val="-10"/>
        </w:rPr>
      </w:pPr>
      <w:bookmarkStart w:id="10" w:name="_Toc16900"/>
      <w:r>
        <w:rPr>
          <w:rFonts w:hint="eastAsia" w:ascii="仿宋" w:hAnsi="仿宋" w:eastAsia="仿宋" w:cs="仿宋"/>
          <w:spacing w:val="-10"/>
        </w:rPr>
        <w:t>七、</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年政府性基金收入预算表</w:t>
      </w:r>
      <w:bookmarkEnd w:id="10"/>
    </w:p>
    <w:p>
      <w:pPr>
        <w:pStyle w:val="3"/>
        <w:spacing w:line="640" w:lineRule="exact"/>
        <w:ind w:left="0" w:firstLine="600" w:firstLineChars="200"/>
        <w:contextualSpacing/>
        <w:jc w:val="left"/>
        <w:outlineLvl w:val="1"/>
        <w:rPr>
          <w:rFonts w:ascii="仿宋" w:hAnsi="仿宋" w:eastAsia="仿宋" w:cs="仿宋"/>
          <w:spacing w:val="-10"/>
        </w:rPr>
      </w:pPr>
      <w:bookmarkStart w:id="11" w:name="_Toc11152"/>
      <w:r>
        <w:rPr>
          <w:rFonts w:hint="eastAsia" w:ascii="仿宋" w:hAnsi="仿宋" w:eastAsia="仿宋" w:cs="仿宋"/>
          <w:spacing w:val="-10"/>
        </w:rPr>
        <w:t>八、</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年政府性基金支出预算表</w:t>
      </w:r>
      <w:bookmarkEnd w:id="11"/>
    </w:p>
    <w:p>
      <w:pPr>
        <w:pStyle w:val="3"/>
        <w:spacing w:line="640" w:lineRule="exact"/>
        <w:ind w:left="0" w:firstLine="600" w:firstLineChars="200"/>
        <w:contextualSpacing/>
        <w:jc w:val="left"/>
        <w:outlineLvl w:val="1"/>
        <w:rPr>
          <w:rFonts w:ascii="仿宋" w:hAnsi="仿宋" w:eastAsia="仿宋" w:cs="仿宋"/>
        </w:rPr>
      </w:pPr>
      <w:bookmarkStart w:id="12" w:name="_Toc11457"/>
      <w:r>
        <w:rPr>
          <w:rFonts w:hint="eastAsia" w:ascii="仿宋" w:hAnsi="仿宋" w:eastAsia="仿宋" w:cs="仿宋"/>
          <w:spacing w:val="-10"/>
        </w:rPr>
        <w:t>九、</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年“三公”经费预算财政拨款</w:t>
      </w:r>
      <w:r>
        <w:rPr>
          <w:rFonts w:hint="eastAsia" w:ascii="仿宋" w:hAnsi="仿宋" w:eastAsia="仿宋" w:cs="仿宋"/>
        </w:rPr>
        <w:t>情况统计表</w:t>
      </w:r>
      <w:bookmarkEnd w:id="12"/>
    </w:p>
    <w:p>
      <w:pPr>
        <w:pStyle w:val="3"/>
        <w:spacing w:line="640" w:lineRule="exact"/>
        <w:ind w:left="0" w:firstLineChars="200"/>
        <w:contextualSpacing/>
        <w:jc w:val="left"/>
        <w:outlineLvl w:val="1"/>
        <w:rPr>
          <w:rFonts w:ascii="仿宋" w:hAnsi="仿宋" w:eastAsia="仿宋" w:cs="仿宋"/>
        </w:rPr>
      </w:pPr>
      <w:bookmarkStart w:id="13" w:name="_Toc17634"/>
      <w:r>
        <w:rPr>
          <w:rFonts w:hint="eastAsia" w:ascii="仿宋" w:hAnsi="仿宋" w:eastAsia="仿宋" w:cs="仿宋"/>
        </w:rPr>
        <w:t>十、202</w:t>
      </w:r>
      <w:r>
        <w:rPr>
          <w:rFonts w:hint="eastAsia" w:ascii="仿宋" w:hAnsi="仿宋" w:eastAsia="仿宋" w:cs="仿宋"/>
          <w:lang w:val="en-US" w:eastAsia="zh-CN"/>
        </w:rPr>
        <w:t>2</w:t>
      </w:r>
      <w:r>
        <w:rPr>
          <w:rFonts w:hint="eastAsia" w:ascii="仿宋" w:hAnsi="仿宋" w:eastAsia="仿宋" w:cs="仿宋"/>
        </w:rPr>
        <w:t>年机关运行经费预算财政拨款情况统计表</w:t>
      </w:r>
      <w:bookmarkEnd w:id="13"/>
    </w:p>
    <w:p>
      <w:pPr>
        <w:tabs>
          <w:tab w:val="left" w:leader="dot" w:pos="8111"/>
        </w:tabs>
        <w:spacing w:before="1" w:line="640" w:lineRule="exact"/>
        <w:contextualSpacing/>
        <w:jc w:val="center"/>
        <w:rPr>
          <w:rFonts w:ascii="仿宋" w:hAnsi="仿宋" w:eastAsia="仿宋" w:cs="仿宋"/>
          <w:sz w:val="32"/>
          <w:szCs w:val="32"/>
        </w:rPr>
      </w:pPr>
    </w:p>
    <w:p>
      <w:pPr>
        <w:tabs>
          <w:tab w:val="right" w:leader="dot" w:pos="8427"/>
        </w:tabs>
        <w:spacing w:before="214" w:line="640" w:lineRule="exact"/>
        <w:contextualSpacing/>
        <w:jc w:val="center"/>
        <w:outlineLvl w:val="0"/>
        <w:rPr>
          <w:rFonts w:ascii="仿宋" w:hAnsi="仿宋" w:eastAsia="仿宋"/>
          <w:b/>
          <w:sz w:val="32"/>
          <w:szCs w:val="32"/>
        </w:rPr>
      </w:pPr>
      <w:bookmarkStart w:id="14" w:name="_Toc27086"/>
      <w:r>
        <w:rPr>
          <w:rFonts w:hint="eastAsia" w:ascii="仿宋" w:hAnsi="仿宋" w:eastAsia="仿宋"/>
          <w:b/>
          <w:sz w:val="32"/>
          <w:szCs w:val="32"/>
        </w:rPr>
        <w:t>第三部分 202</w:t>
      </w:r>
      <w:r>
        <w:rPr>
          <w:rFonts w:hint="eastAsia" w:ascii="仿宋" w:hAnsi="仿宋" w:eastAsia="仿宋"/>
          <w:b/>
          <w:sz w:val="32"/>
          <w:szCs w:val="32"/>
          <w:lang w:val="en-US" w:eastAsia="zh-CN"/>
        </w:rPr>
        <w:t>2</w:t>
      </w:r>
      <w:r>
        <w:rPr>
          <w:rFonts w:hint="eastAsia" w:ascii="仿宋" w:hAnsi="仿宋" w:eastAsia="仿宋"/>
          <w:b/>
          <w:sz w:val="32"/>
          <w:szCs w:val="32"/>
        </w:rPr>
        <w:t>年度部门预算情况说明</w:t>
      </w:r>
      <w:bookmarkEnd w:id="14"/>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5" w:name="_Toc12747"/>
      <w:r>
        <w:rPr>
          <w:rFonts w:hint="eastAsia" w:ascii="仿宋" w:hAnsi="仿宋" w:eastAsia="仿宋" w:cs="黑体"/>
          <w:b/>
          <w:bCs/>
        </w:rPr>
        <w:t>一、202</w:t>
      </w:r>
      <w:r>
        <w:rPr>
          <w:rFonts w:hint="eastAsia" w:ascii="仿宋" w:hAnsi="仿宋" w:eastAsia="仿宋" w:cs="黑体"/>
          <w:b/>
          <w:bCs/>
          <w:lang w:val="en-US" w:eastAsia="zh-CN"/>
        </w:rPr>
        <w:t>2</w:t>
      </w:r>
      <w:r>
        <w:rPr>
          <w:rFonts w:hint="eastAsia" w:ascii="仿宋" w:hAnsi="仿宋" w:eastAsia="仿宋" w:cs="黑体"/>
          <w:b/>
          <w:bCs/>
        </w:rPr>
        <w:t>年度部门预算数据变动情况及原因</w:t>
      </w:r>
      <w:bookmarkEnd w:id="15"/>
    </w:p>
    <w:p>
      <w:pPr>
        <w:pStyle w:val="3"/>
        <w:tabs>
          <w:tab w:val="left" w:leader="dot" w:pos="8104"/>
        </w:tabs>
        <w:spacing w:line="640" w:lineRule="exact"/>
        <w:ind w:left="0" w:firstLineChars="200"/>
        <w:contextualSpacing/>
        <w:jc w:val="left"/>
        <w:rPr>
          <w:rFonts w:ascii="仿宋" w:hAnsi="仿宋" w:eastAsia="仿宋" w:cs="仿宋"/>
        </w:rPr>
      </w:pP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年收入预算</w:t>
      </w:r>
      <w:r>
        <w:rPr>
          <w:rFonts w:hint="eastAsia" w:ascii="仿宋" w:hAnsi="仿宋" w:eastAsia="仿宋" w:cs="仿宋"/>
          <w:lang w:val="en-US" w:eastAsia="zh-CN"/>
        </w:rPr>
        <w:t>93.93万</w:t>
      </w:r>
      <w:r>
        <w:rPr>
          <w:rFonts w:hint="eastAsia" w:ascii="仿宋" w:hAnsi="仿宋" w:eastAsia="仿宋" w:cs="仿宋"/>
        </w:rPr>
        <w:t>元，支出预算</w:t>
      </w:r>
      <w:r>
        <w:rPr>
          <w:rFonts w:hint="eastAsia" w:ascii="仿宋" w:hAnsi="仿宋" w:eastAsia="仿宋" w:cs="仿宋"/>
          <w:lang w:val="en-US" w:eastAsia="zh-CN"/>
        </w:rPr>
        <w:t>93.93</w:t>
      </w:r>
      <w:r>
        <w:rPr>
          <w:rFonts w:hint="eastAsia" w:ascii="仿宋" w:hAnsi="仿宋" w:eastAsia="仿宋" w:cs="仿宋"/>
        </w:rPr>
        <w:t>万元，其中:卫生健康支出</w:t>
      </w:r>
      <w:r>
        <w:rPr>
          <w:rFonts w:hint="eastAsia" w:ascii="仿宋" w:hAnsi="仿宋" w:eastAsia="仿宋" w:cs="仿宋"/>
          <w:lang w:val="en-US" w:eastAsia="zh-CN"/>
        </w:rPr>
        <w:t>93.93</w:t>
      </w:r>
      <w:r>
        <w:rPr>
          <w:rFonts w:hint="eastAsia" w:ascii="仿宋" w:hAnsi="仿宋" w:eastAsia="仿宋" w:cs="仿宋"/>
        </w:rPr>
        <w:t>万元；支出预算</w:t>
      </w:r>
      <w:r>
        <w:rPr>
          <w:rFonts w:hint="eastAsia" w:ascii="仿宋" w:hAnsi="仿宋" w:eastAsia="仿宋" w:cs="仿宋"/>
          <w:lang w:val="en-US" w:eastAsia="zh-CN"/>
        </w:rPr>
        <w:t>93.93</w:t>
      </w:r>
      <w:r>
        <w:rPr>
          <w:rFonts w:hint="eastAsia" w:ascii="仿宋" w:hAnsi="仿宋" w:eastAsia="仿宋" w:cs="仿宋"/>
        </w:rPr>
        <w:t>万元，其中</w:t>
      </w:r>
      <w:r>
        <w:rPr>
          <w:rFonts w:ascii="仿宋" w:hAnsi="仿宋" w:eastAsia="仿宋" w:cs="仿宋"/>
        </w:rPr>
        <w:t>基本</w:t>
      </w:r>
      <w:r>
        <w:rPr>
          <w:rFonts w:hint="eastAsia" w:ascii="仿宋" w:hAnsi="仿宋" w:eastAsia="仿宋" w:cs="仿宋"/>
        </w:rPr>
        <w:t>支出</w:t>
      </w:r>
      <w:r>
        <w:rPr>
          <w:rFonts w:hint="eastAsia" w:ascii="仿宋" w:hAnsi="仿宋" w:eastAsia="仿宋" w:cs="仿宋"/>
          <w:lang w:val="en-US" w:eastAsia="zh-CN"/>
        </w:rPr>
        <w:t>36.73</w:t>
      </w:r>
      <w:r>
        <w:rPr>
          <w:rFonts w:hint="eastAsia" w:ascii="仿宋" w:hAnsi="仿宋" w:eastAsia="仿宋" w:cs="仿宋"/>
        </w:rPr>
        <w:t>万元；项目支出</w:t>
      </w:r>
      <w:r>
        <w:rPr>
          <w:rFonts w:hint="eastAsia" w:ascii="仿宋" w:hAnsi="仿宋" w:eastAsia="仿宋" w:cs="仿宋"/>
          <w:lang w:val="en-US" w:eastAsia="zh-CN"/>
        </w:rPr>
        <w:t>57.20</w:t>
      </w:r>
      <w:r>
        <w:rPr>
          <w:rFonts w:hint="eastAsia" w:ascii="仿宋" w:hAnsi="仿宋" w:eastAsia="仿宋" w:cs="仿宋"/>
        </w:rPr>
        <w:t>万元。</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6" w:name="_Toc31108"/>
      <w:r>
        <w:rPr>
          <w:rFonts w:hint="eastAsia" w:ascii="仿宋" w:hAnsi="仿宋" w:eastAsia="仿宋" w:cs="黑体"/>
          <w:b/>
          <w:bCs/>
        </w:rPr>
        <w:t>二、“三公”经费增减变动原因说明</w:t>
      </w:r>
      <w:bookmarkEnd w:id="16"/>
    </w:p>
    <w:p>
      <w:pPr>
        <w:pStyle w:val="3"/>
        <w:tabs>
          <w:tab w:val="right" w:leader="dot" w:pos="8425"/>
        </w:tabs>
        <w:spacing w:line="640" w:lineRule="exact"/>
        <w:ind w:left="0" w:firstLineChars="200"/>
        <w:contextualSpacing/>
        <w:jc w:val="left"/>
        <w:outlineLvl w:val="1"/>
        <w:rPr>
          <w:rFonts w:ascii="仿宋" w:hAnsi="仿宋" w:eastAsia="仿宋"/>
        </w:rPr>
      </w:pPr>
      <w:bookmarkStart w:id="17" w:name="_Toc14203"/>
      <w:r>
        <w:rPr>
          <w:rFonts w:hint="eastAsia" w:ascii="仿宋" w:hAnsi="仿宋" w:eastAsia="仿宋"/>
        </w:rPr>
        <w:t>2</w:t>
      </w:r>
      <w:r>
        <w:rPr>
          <w:rFonts w:ascii="仿宋" w:hAnsi="仿宋" w:eastAsia="仿宋"/>
        </w:rPr>
        <w:t>02</w:t>
      </w:r>
      <w:r>
        <w:rPr>
          <w:rFonts w:hint="eastAsia" w:ascii="仿宋" w:hAnsi="仿宋" w:eastAsia="仿宋"/>
          <w:lang w:val="en-US" w:eastAsia="zh-CN"/>
        </w:rPr>
        <w:t>2</w:t>
      </w:r>
      <w:r>
        <w:rPr>
          <w:rFonts w:ascii="仿宋" w:hAnsi="仿宋" w:eastAsia="仿宋"/>
        </w:rPr>
        <w:t>年一般公共预算</w:t>
      </w:r>
      <w:r>
        <w:rPr>
          <w:rFonts w:hint="eastAsia" w:ascii="仿宋" w:hAnsi="仿宋" w:eastAsia="仿宋"/>
        </w:rPr>
        <w:t>未</w:t>
      </w:r>
      <w:r>
        <w:rPr>
          <w:rFonts w:ascii="仿宋" w:hAnsi="仿宋" w:eastAsia="仿宋"/>
        </w:rPr>
        <w:t>安排的“三公”经费预算</w:t>
      </w:r>
      <w:r>
        <w:rPr>
          <w:rFonts w:hint="eastAsia" w:ascii="仿宋" w:hAnsi="仿宋" w:eastAsia="仿宋"/>
        </w:rPr>
        <w:t>，以前年度也未安排预算。</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r>
        <w:rPr>
          <w:rFonts w:hint="eastAsia" w:ascii="仿宋" w:hAnsi="仿宋" w:eastAsia="仿宋" w:cs="黑体"/>
          <w:b/>
          <w:bCs/>
        </w:rPr>
        <w:t>三、机关运行经费增减变动原因说明</w:t>
      </w:r>
      <w:bookmarkEnd w:id="17"/>
    </w:p>
    <w:p>
      <w:pPr>
        <w:pStyle w:val="3"/>
        <w:tabs>
          <w:tab w:val="right" w:leader="dot" w:pos="8425"/>
        </w:tabs>
        <w:spacing w:line="640" w:lineRule="exact"/>
        <w:ind w:left="0" w:firstLineChars="200"/>
        <w:contextualSpacing/>
        <w:jc w:val="left"/>
        <w:outlineLvl w:val="1"/>
        <w:rPr>
          <w:rFonts w:ascii="仿宋" w:hAnsi="仿宋" w:eastAsia="仿宋"/>
        </w:rPr>
      </w:pP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年本级机关运行财政拨款预算0万元。</w:t>
      </w:r>
      <w:r>
        <w:rPr>
          <w:rFonts w:hint="eastAsia" w:ascii="仿宋" w:hAnsi="仿宋" w:eastAsia="仿宋"/>
        </w:rPr>
        <w:t>以前年度也未安排预算。</w:t>
      </w:r>
    </w:p>
    <w:p>
      <w:pPr>
        <w:pStyle w:val="3"/>
        <w:tabs>
          <w:tab w:val="left" w:leader="dot" w:pos="8104"/>
        </w:tabs>
        <w:spacing w:line="640" w:lineRule="exact"/>
        <w:ind w:left="0" w:firstLineChars="200"/>
        <w:contextualSpacing/>
        <w:rPr>
          <w:rFonts w:ascii="仿宋" w:hAnsi="仿宋" w:eastAsia="仿宋" w:cs="仿宋"/>
        </w:rPr>
      </w:pP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8" w:name="_Toc8609"/>
      <w:r>
        <w:rPr>
          <w:rFonts w:hint="eastAsia" w:ascii="仿宋" w:hAnsi="仿宋" w:eastAsia="仿宋" w:cs="黑体"/>
          <w:b/>
          <w:bCs/>
        </w:rPr>
        <w:t>四、政府采购情况</w:t>
      </w:r>
      <w:bookmarkEnd w:id="18"/>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ascii="仿宋" w:hAnsi="仿宋" w:eastAsia="仿宋"/>
        </w:rPr>
        <w:t>202</w:t>
      </w:r>
      <w:r>
        <w:rPr>
          <w:rFonts w:hint="eastAsia" w:ascii="仿宋" w:hAnsi="仿宋" w:eastAsia="仿宋"/>
          <w:lang w:val="en-US" w:eastAsia="zh-CN"/>
        </w:rPr>
        <w:t>2</w:t>
      </w:r>
      <w:r>
        <w:rPr>
          <w:rFonts w:ascii="仿宋" w:hAnsi="仿宋" w:eastAsia="仿宋"/>
        </w:rPr>
        <w:t>年政府采购预算总额</w:t>
      </w:r>
      <w:r>
        <w:rPr>
          <w:rFonts w:hint="eastAsia" w:ascii="仿宋" w:hAnsi="仿宋" w:eastAsia="仿宋"/>
        </w:rPr>
        <w:t>0</w:t>
      </w:r>
      <w:r>
        <w:rPr>
          <w:rFonts w:ascii="仿宋" w:hAnsi="仿宋" w:eastAsia="仿宋"/>
        </w:rPr>
        <w:t xml:space="preserve">万元。 </w:t>
      </w:r>
    </w:p>
    <w:p>
      <w:pPr>
        <w:pStyle w:val="3"/>
        <w:numPr>
          <w:ilvl w:val="0"/>
          <w:numId w:val="1"/>
        </w:numPr>
        <w:tabs>
          <w:tab w:val="right" w:leader="dot" w:pos="8425"/>
        </w:tabs>
        <w:spacing w:line="640" w:lineRule="exact"/>
        <w:ind w:left="0" w:firstLine="643" w:firstLineChars="200"/>
        <w:contextualSpacing/>
        <w:jc w:val="left"/>
        <w:outlineLvl w:val="1"/>
        <w:rPr>
          <w:rFonts w:ascii="仿宋" w:hAnsi="仿宋" w:eastAsia="仿宋" w:cs="黑体"/>
          <w:b/>
          <w:bCs/>
        </w:rPr>
      </w:pPr>
      <w:bookmarkStart w:id="19" w:name="_Toc3264"/>
      <w:r>
        <w:rPr>
          <w:rFonts w:hint="eastAsia" w:ascii="仿宋" w:hAnsi="仿宋" w:eastAsia="仿宋" w:cs="黑体"/>
          <w:b/>
          <w:bCs/>
        </w:rPr>
        <w:t>绩效管理</w:t>
      </w:r>
      <w:bookmarkEnd w:id="19"/>
    </w:p>
    <w:p>
      <w:pPr>
        <w:pStyle w:val="3"/>
        <w:tabs>
          <w:tab w:val="left" w:leader="dot" w:pos="8104"/>
        </w:tabs>
        <w:spacing w:line="640" w:lineRule="exact"/>
        <w:ind w:left="0" w:firstLine="643" w:firstLineChars="200"/>
        <w:contextualSpacing/>
        <w:rPr>
          <w:rFonts w:ascii="仿宋" w:hAnsi="仿宋" w:eastAsia="仿宋"/>
          <w:b/>
        </w:rPr>
      </w:pPr>
      <w:r>
        <w:rPr>
          <w:rFonts w:hint="eastAsia" w:ascii="仿宋" w:hAnsi="仿宋" w:eastAsia="仿宋" w:cs="黑体"/>
          <w:b/>
          <w:bCs/>
        </w:rPr>
        <w:t xml:space="preserve"> </w:t>
      </w:r>
      <w:r>
        <w:rPr>
          <w:rFonts w:ascii="仿宋" w:hAnsi="仿宋" w:eastAsia="仿宋"/>
          <w:b/>
        </w:rPr>
        <w:t xml:space="preserve">1、绩效管理情况 </w:t>
      </w:r>
    </w:p>
    <w:p>
      <w:pPr>
        <w:pStyle w:val="3"/>
        <w:tabs>
          <w:tab w:val="left" w:leader="dot" w:pos="8104"/>
        </w:tabs>
        <w:spacing w:line="640" w:lineRule="exact"/>
        <w:ind w:left="0" w:firstLine="640" w:firstLineChars="200"/>
        <w:contextualSpacing/>
        <w:rPr>
          <w:rFonts w:hint="eastAsia" w:ascii="仿宋" w:hAnsi="仿宋" w:eastAsia="仿宋" w:cs="仿宋"/>
          <w:sz w:val="32"/>
          <w:szCs w:val="32"/>
          <w:lang w:val="en-US" w:eastAsia="zh-CN"/>
        </w:rPr>
      </w:pPr>
      <w:r>
        <w:rPr>
          <w:rFonts w:hint="eastAsia" w:ascii="仿宋" w:hAnsi="仿宋" w:eastAsia="仿宋" w:cs="仿宋"/>
          <w:sz w:val="32"/>
          <w:szCs w:val="32"/>
          <w:lang w:eastAsia="zh-CN"/>
        </w:rPr>
        <w:t>为认真贯彻落实全面实施预算绩效管理的精神，建立完善的预算绩效信息公开机制，推进预算绩效信息公开，按照《中共朔州市平鲁区委、平鲁区人民政府印发</w:t>
      </w:r>
      <w:r>
        <w:rPr>
          <w:rFonts w:hint="eastAsia" w:ascii="仿宋" w:hAnsi="仿宋" w:eastAsia="仿宋" w:cs="仿宋"/>
          <w:sz w:val="32"/>
          <w:szCs w:val="32"/>
          <w:lang w:val="en-US" w:eastAsia="zh-CN"/>
        </w:rPr>
        <w:t>&lt;关于全面实施预算绩效管理的实施办法&gt;》(平发【2020】18号)要求，我单位将预算项目支出绩效目标予以公开，公开的项目共涉及资金</w:t>
      </w:r>
      <w:r>
        <w:rPr>
          <w:rFonts w:hint="eastAsia" w:ascii="仿宋" w:hAnsi="仿宋" w:eastAsia="仿宋" w:cs="仿宋"/>
          <w:lang w:val="en-US" w:eastAsia="zh-CN"/>
        </w:rPr>
        <w:t>57.20</w:t>
      </w:r>
      <w:r>
        <w:rPr>
          <w:rFonts w:hint="eastAsia" w:ascii="仿宋" w:hAnsi="仿宋" w:eastAsia="仿宋" w:cs="仿宋"/>
          <w:sz w:val="32"/>
          <w:szCs w:val="32"/>
          <w:lang w:val="en-US" w:eastAsia="zh-CN"/>
        </w:rPr>
        <w:t>万元。</w:t>
      </w:r>
    </w:p>
    <w:p>
      <w:pPr>
        <w:pStyle w:val="3"/>
        <w:tabs>
          <w:tab w:val="left" w:leader="dot" w:pos="8104"/>
        </w:tabs>
        <w:spacing w:line="640" w:lineRule="exact"/>
        <w:ind w:left="0" w:firstLine="643" w:firstLineChars="200"/>
        <w:contextualSpacing/>
        <w:rPr>
          <w:rFonts w:ascii="仿宋" w:hAnsi="仿宋" w:eastAsia="仿宋"/>
          <w:b/>
        </w:rPr>
      </w:pPr>
      <w:r>
        <w:rPr>
          <w:rFonts w:ascii="仿宋" w:hAnsi="仿宋" w:eastAsia="仿宋"/>
          <w:b/>
        </w:rPr>
        <w:t>2、绩效目标情况</w:t>
      </w:r>
      <w:bookmarkStart w:id="23" w:name="_GoBack"/>
      <w:bookmarkEnd w:id="23"/>
    </w:p>
    <w:p>
      <w:pPr>
        <w:pStyle w:val="3"/>
        <w:tabs>
          <w:tab w:val="left" w:leader="dot" w:pos="8104"/>
        </w:tabs>
        <w:spacing w:line="640" w:lineRule="exact"/>
        <w:ind w:left="0" w:firstLineChars="200"/>
        <w:contextualSpacing/>
        <w:rPr>
          <w:rFonts w:ascii="仿宋" w:hAnsi="仿宋" w:eastAsia="仿宋"/>
        </w:rPr>
      </w:pPr>
      <w:r>
        <w:rPr>
          <w:rFonts w:ascii="仿宋" w:hAnsi="仿宋" w:eastAsia="仿宋"/>
        </w:rPr>
        <w:t>202</w:t>
      </w:r>
      <w:r>
        <w:rPr>
          <w:rFonts w:hint="eastAsia" w:ascii="仿宋" w:hAnsi="仿宋" w:eastAsia="仿宋"/>
          <w:lang w:val="en-US" w:eastAsia="zh-CN"/>
        </w:rPr>
        <w:t>2</w:t>
      </w:r>
      <w:r>
        <w:rPr>
          <w:rFonts w:ascii="仿宋" w:hAnsi="仿宋" w:eastAsia="仿宋"/>
        </w:rPr>
        <w:t>年度无绩效目标。</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0" w:name="_Toc19868"/>
      <w:r>
        <w:rPr>
          <w:rFonts w:hint="eastAsia" w:ascii="仿宋" w:hAnsi="仿宋" w:eastAsia="仿宋" w:cs="黑体"/>
          <w:b/>
          <w:bCs/>
        </w:rPr>
        <w:t>六、国有资产占有使用情况</w:t>
      </w:r>
      <w:bookmarkEnd w:id="20"/>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1、车辆情况 </w:t>
      </w:r>
    </w:p>
    <w:p>
      <w:pPr>
        <w:pStyle w:val="3"/>
        <w:tabs>
          <w:tab w:val="left" w:leader="dot" w:pos="8104"/>
        </w:tabs>
        <w:spacing w:line="640" w:lineRule="exact"/>
        <w:ind w:left="0" w:firstLineChars="200"/>
        <w:contextualSpacing/>
        <w:rPr>
          <w:rFonts w:ascii="仿宋" w:hAnsi="仿宋" w:eastAsia="仿宋" w:cs="仿宋"/>
        </w:rPr>
      </w:pPr>
      <w:r>
        <w:rPr>
          <w:rFonts w:hint="eastAsia" w:ascii="仿宋" w:hAnsi="仿宋" w:eastAsia="仿宋"/>
        </w:rPr>
        <w:t>本单位现</w:t>
      </w:r>
      <w:r>
        <w:rPr>
          <w:rFonts w:ascii="仿宋" w:hAnsi="仿宋" w:eastAsia="仿宋"/>
        </w:rPr>
        <w:t>有车辆</w:t>
      </w:r>
      <w:r>
        <w:rPr>
          <w:rFonts w:hint="eastAsia" w:ascii="仿宋" w:hAnsi="仿宋" w:eastAsia="仿宋"/>
        </w:rPr>
        <w:t>0</w:t>
      </w:r>
      <w:r>
        <w:rPr>
          <w:rFonts w:ascii="仿宋" w:hAnsi="仿宋" w:eastAsia="仿宋"/>
        </w:rPr>
        <w:t>辆，其中一般公务用车</w:t>
      </w:r>
      <w:r>
        <w:rPr>
          <w:rFonts w:hint="eastAsia" w:ascii="仿宋" w:hAnsi="仿宋" w:eastAsia="仿宋"/>
        </w:rPr>
        <w:t>0</w:t>
      </w:r>
      <w:r>
        <w:rPr>
          <w:rFonts w:ascii="仿宋" w:hAnsi="仿宋" w:eastAsia="仿宋"/>
        </w:rPr>
        <w:t>辆。</w:t>
      </w:r>
      <w:r>
        <w:rPr>
          <w:rFonts w:hint="eastAsia" w:ascii="仿宋" w:hAnsi="仿宋" w:eastAsia="仿宋" w:cs="仿宋"/>
        </w:rPr>
        <w:t xml:space="preserve"> </w:t>
      </w:r>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2、房屋情况 </w:t>
      </w:r>
    </w:p>
    <w:p>
      <w:pPr>
        <w:pStyle w:val="3"/>
        <w:tabs>
          <w:tab w:val="left" w:leader="dot" w:pos="8104"/>
        </w:tabs>
        <w:spacing w:line="640" w:lineRule="exact"/>
        <w:ind w:left="0" w:firstLine="630"/>
        <w:contextualSpacing/>
        <w:rPr>
          <w:rFonts w:ascii="仿宋" w:hAnsi="仿宋" w:eastAsia="仿宋" w:cs="仿宋"/>
        </w:rPr>
      </w:pPr>
      <w:r>
        <w:rPr>
          <w:rFonts w:hint="eastAsia" w:ascii="仿宋" w:hAnsi="仿宋" w:eastAsia="仿宋" w:cs="仿宋"/>
        </w:rPr>
        <w:t>单位办公用房为自有单位房屋。</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1" w:name="_Toc18321"/>
      <w:r>
        <w:rPr>
          <w:rFonts w:hint="eastAsia" w:ascii="仿宋" w:hAnsi="仿宋" w:eastAsia="仿宋" w:cs="黑体"/>
          <w:b/>
          <w:bCs/>
        </w:rPr>
        <w:t>七、其他说明</w:t>
      </w:r>
      <w:bookmarkEnd w:id="21"/>
    </w:p>
    <w:p>
      <w:pPr>
        <w:tabs>
          <w:tab w:val="right" w:leader="dot" w:pos="8427"/>
        </w:tabs>
        <w:spacing w:before="214" w:line="640" w:lineRule="exact"/>
        <w:contextualSpacing/>
        <w:jc w:val="center"/>
        <w:outlineLvl w:val="0"/>
        <w:rPr>
          <w:rFonts w:ascii="仿宋" w:hAnsi="仿宋" w:eastAsia="仿宋"/>
          <w:b/>
          <w:sz w:val="32"/>
          <w:szCs w:val="32"/>
        </w:rPr>
      </w:pPr>
      <w:bookmarkStart w:id="22" w:name="_Toc6785"/>
      <w:r>
        <w:rPr>
          <w:rFonts w:hint="eastAsia" w:ascii="仿宋" w:hAnsi="仿宋" w:eastAsia="仿宋"/>
          <w:b/>
          <w:sz w:val="32"/>
          <w:szCs w:val="32"/>
        </w:rPr>
        <w:t>第四部分 名词解释</w:t>
      </w:r>
      <w:bookmarkEnd w:id="22"/>
    </w:p>
    <w:p>
      <w:pPr>
        <w:tabs>
          <w:tab w:val="right" w:leader="dot" w:pos="8427"/>
        </w:tabs>
        <w:spacing w:before="214" w:line="640" w:lineRule="exact"/>
        <w:contextualSpacing/>
        <w:jc w:val="center"/>
        <w:outlineLvl w:val="0"/>
        <w:rPr>
          <w:rFonts w:ascii="仿宋" w:hAnsi="仿宋" w:eastAsia="仿宋"/>
          <w:b/>
          <w:sz w:val="32"/>
          <w:szCs w:val="32"/>
        </w:rPr>
      </w:pP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（一）基本支出：指为保障机构正常运转、完成日常工作任务而发生的人员支出和公用支出。</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（二）项目支出：指在基本支出之外为完成特定行政任务和事业发展目标所发生的支出。 </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（三）“三公”经费：指用一般公共预算安排的因公出国（境）费、公务用车购置及运行费和公务接待费。其中，因公出国 （境）费反映单位公务出国（境）的国际旅费、国 外城市间交通费、住宿费、伙食费、培训费、公杂费等支出；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公务接待费反映单位按规定开支的各类公务接待（含外宾接待）支出。 </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（四）机关运行经费；指行政单位和参照公务员法管理的事业单位使用一般公共预算安排的基本支出中的日常公用经费支出。</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 </w:t>
      </w:r>
    </w:p>
    <w:p>
      <w:pPr>
        <w:tabs>
          <w:tab w:val="left" w:leader="dot" w:pos="8109"/>
        </w:tabs>
        <w:spacing w:before="214" w:line="360" w:lineRule="auto"/>
        <w:ind w:firstLine="6400" w:firstLineChars="2000"/>
        <w:contextualSpacing/>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sectPr>
      <w:footerReference r:id="rId9" w:type="default"/>
      <w:pgSz w:w="11910" w:h="16840"/>
      <w:pgMar w:top="1500" w:right="1540" w:bottom="1180" w:left="1680" w:header="0" w:footer="98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jc w:val="left"/>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9924415</wp:posOffset>
              </wp:positionV>
              <wp:extent cx="1333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45pt;height:12pt;width:10.5pt;mso-position-horizontal:center;mso-position-horizontal-relative:margin;mso-position-vertical-relative:page;z-index:251659264;mso-width-relative:page;mso-height-relative:page;" filled="f" stroked="f" coordsize="21600,21600" o:gfxdata="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GpIw3WAAAACQEAAA8AAAAAAAAAAQAg&#10;AAAAIgAAAGRycy9kb3ducmV2LnhtbFBLAQIUABQAAAAIAIdO4kAxd2KVngEAACMDAAAOAAAAAAAA&#10;AAEAIAAAACUBAABkcnMvZTJvRG9jLnhtbFBLBQYAAAAABgAGAFkBAAA1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AA97"/>
    <w:multiLevelType w:val="singleLevel"/>
    <w:tmpl w:val="32BEAA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31"/>
    <w:rsid w:val="00012FF6"/>
    <w:rsid w:val="000360A4"/>
    <w:rsid w:val="00052744"/>
    <w:rsid w:val="0007403F"/>
    <w:rsid w:val="000B7B5B"/>
    <w:rsid w:val="000C62A0"/>
    <w:rsid w:val="000E01EF"/>
    <w:rsid w:val="00133DB1"/>
    <w:rsid w:val="001615F9"/>
    <w:rsid w:val="001818DA"/>
    <w:rsid w:val="001A66EE"/>
    <w:rsid w:val="001B07A0"/>
    <w:rsid w:val="001E262A"/>
    <w:rsid w:val="00236718"/>
    <w:rsid w:val="0026401A"/>
    <w:rsid w:val="00274691"/>
    <w:rsid w:val="00287669"/>
    <w:rsid w:val="00343614"/>
    <w:rsid w:val="00357EA2"/>
    <w:rsid w:val="00381350"/>
    <w:rsid w:val="003E702E"/>
    <w:rsid w:val="00402712"/>
    <w:rsid w:val="0043148F"/>
    <w:rsid w:val="00482995"/>
    <w:rsid w:val="004A211C"/>
    <w:rsid w:val="004B75A3"/>
    <w:rsid w:val="004C4A02"/>
    <w:rsid w:val="004D2511"/>
    <w:rsid w:val="004D7BFB"/>
    <w:rsid w:val="00510523"/>
    <w:rsid w:val="0052701A"/>
    <w:rsid w:val="005D0C7B"/>
    <w:rsid w:val="005D1E36"/>
    <w:rsid w:val="005D5575"/>
    <w:rsid w:val="00637F8C"/>
    <w:rsid w:val="00640A24"/>
    <w:rsid w:val="00670531"/>
    <w:rsid w:val="006832B1"/>
    <w:rsid w:val="006A5F85"/>
    <w:rsid w:val="006C2346"/>
    <w:rsid w:val="006F7B47"/>
    <w:rsid w:val="0072603F"/>
    <w:rsid w:val="00727354"/>
    <w:rsid w:val="0074337E"/>
    <w:rsid w:val="0077516B"/>
    <w:rsid w:val="007C4049"/>
    <w:rsid w:val="007D200A"/>
    <w:rsid w:val="008002FB"/>
    <w:rsid w:val="00803B9E"/>
    <w:rsid w:val="008055F9"/>
    <w:rsid w:val="0084008A"/>
    <w:rsid w:val="00842232"/>
    <w:rsid w:val="00852C45"/>
    <w:rsid w:val="008874C5"/>
    <w:rsid w:val="00891AB8"/>
    <w:rsid w:val="008B384A"/>
    <w:rsid w:val="008D1A25"/>
    <w:rsid w:val="009F5962"/>
    <w:rsid w:val="00A045AF"/>
    <w:rsid w:val="00A504FB"/>
    <w:rsid w:val="00AA2229"/>
    <w:rsid w:val="00AC2BF6"/>
    <w:rsid w:val="00AC5971"/>
    <w:rsid w:val="00BA213E"/>
    <w:rsid w:val="00BC4764"/>
    <w:rsid w:val="00C006CF"/>
    <w:rsid w:val="00C112E9"/>
    <w:rsid w:val="00C41BA1"/>
    <w:rsid w:val="00CA3FE2"/>
    <w:rsid w:val="00D20F6F"/>
    <w:rsid w:val="00D66B90"/>
    <w:rsid w:val="00D828F4"/>
    <w:rsid w:val="00DD0D72"/>
    <w:rsid w:val="00DE04D0"/>
    <w:rsid w:val="00E00B18"/>
    <w:rsid w:val="00E24904"/>
    <w:rsid w:val="00E42ED6"/>
    <w:rsid w:val="00E57CCC"/>
    <w:rsid w:val="00E61CBF"/>
    <w:rsid w:val="00E7550F"/>
    <w:rsid w:val="00E91561"/>
    <w:rsid w:val="00EB2AA4"/>
    <w:rsid w:val="00F006AE"/>
    <w:rsid w:val="00F1292D"/>
    <w:rsid w:val="00F1743E"/>
    <w:rsid w:val="00F23AC0"/>
    <w:rsid w:val="00F25BBD"/>
    <w:rsid w:val="00F34DB8"/>
    <w:rsid w:val="00FA0EE5"/>
    <w:rsid w:val="024E1292"/>
    <w:rsid w:val="08BB24B7"/>
    <w:rsid w:val="0A70529C"/>
    <w:rsid w:val="0B1D0D0B"/>
    <w:rsid w:val="0F924985"/>
    <w:rsid w:val="11053E9E"/>
    <w:rsid w:val="18A1445D"/>
    <w:rsid w:val="1D9E0C10"/>
    <w:rsid w:val="1E9D406B"/>
    <w:rsid w:val="2D7C6D6B"/>
    <w:rsid w:val="2EFD6987"/>
    <w:rsid w:val="327155C9"/>
    <w:rsid w:val="34450490"/>
    <w:rsid w:val="38585555"/>
    <w:rsid w:val="3B9B2D6B"/>
    <w:rsid w:val="44682782"/>
    <w:rsid w:val="49074577"/>
    <w:rsid w:val="529533BF"/>
    <w:rsid w:val="5DEC147D"/>
    <w:rsid w:val="649E7396"/>
    <w:rsid w:val="672610DE"/>
    <w:rsid w:val="70553AE3"/>
    <w:rsid w:val="7777397D"/>
    <w:rsid w:val="7DF80F81"/>
    <w:rsid w:val="7E13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214"/>
      <w:ind w:left="120" w:firstLine="640"/>
      <w:jc w:val="both"/>
    </w:pPr>
    <w:rPr>
      <w:sz w:val="32"/>
      <w:szCs w:val="32"/>
    </w:rPr>
  </w:style>
  <w:style w:type="paragraph" w:styleId="4">
    <w:name w:val="toc 3"/>
    <w:basedOn w:val="1"/>
    <w:next w:val="1"/>
    <w:semiHidden/>
    <w:unhideWhenUsed/>
    <w:qFormat/>
    <w:uiPriority w:val="39"/>
    <w:pPr>
      <w:widowControl/>
      <w:autoSpaceDE/>
      <w:autoSpaceDN/>
      <w:spacing w:after="100" w:line="276" w:lineRule="auto"/>
      <w:ind w:left="440"/>
    </w:pPr>
    <w:rPr>
      <w:rFonts w:asciiTheme="minorHAnsi" w:hAnsiTheme="minorHAnsi" w:eastAsiaTheme="minorEastAsia" w:cstheme="minorBidi"/>
    </w:rPr>
  </w:style>
  <w:style w:type="paragraph" w:styleId="5">
    <w:name w:val="Plain Text"/>
    <w:basedOn w:val="1"/>
    <w:link w:val="18"/>
    <w:unhideWhenUsed/>
    <w:qFormat/>
    <w:uiPriority w:val="99"/>
    <w:pPr>
      <w:autoSpaceDE/>
      <w:autoSpaceDN/>
      <w:jc w:val="both"/>
    </w:pPr>
    <w:rPr>
      <w:rFonts w:hAnsi="Courier New" w:cs="Courier New"/>
      <w:kern w:val="2"/>
      <w:sz w:val="21"/>
      <w:szCs w:val="21"/>
    </w:rPr>
  </w:style>
  <w:style w:type="paragraph" w:styleId="6">
    <w:name w:val="Balloon Text"/>
    <w:basedOn w:val="1"/>
    <w:link w:val="23"/>
    <w:semiHidden/>
    <w:unhideWhenUsed/>
    <w:qFormat/>
    <w:uiPriority w:val="99"/>
    <w:rPr>
      <w:sz w:val="18"/>
      <w:szCs w:val="18"/>
    </w:rPr>
  </w:style>
  <w:style w:type="paragraph" w:styleId="7">
    <w:name w:val="footer"/>
    <w:basedOn w:val="1"/>
    <w:link w:val="20"/>
    <w:semiHidden/>
    <w:unhideWhenUsed/>
    <w:qFormat/>
    <w:uiPriority w:val="99"/>
    <w:pPr>
      <w:tabs>
        <w:tab w:val="center" w:pos="4153"/>
        <w:tab w:val="right" w:pos="8306"/>
      </w:tabs>
      <w:snapToGrid w:val="0"/>
    </w:pPr>
    <w:rPr>
      <w:sz w:val="18"/>
      <w:szCs w:val="18"/>
    </w:rPr>
  </w:style>
  <w:style w:type="paragraph" w:styleId="8">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semiHidden/>
    <w:unhideWhenUsed/>
    <w:qFormat/>
    <w:uiPriority w:val="99"/>
    <w:pPr>
      <w:spacing w:beforeAutospacing="1" w:afterAutospacing="1"/>
    </w:pPr>
    <w:rPr>
      <w:rFonts w:cs="Times New Roman"/>
      <w:sz w:val="24"/>
    </w:rPr>
  </w:style>
  <w:style w:type="paragraph" w:styleId="12">
    <w:name w:val="Title"/>
    <w:basedOn w:val="1"/>
    <w:qFormat/>
    <w:uiPriority w:val="1"/>
    <w:pPr>
      <w:spacing w:before="11"/>
      <w:ind w:right="130"/>
      <w:jc w:val="center"/>
    </w:pPr>
    <w:rPr>
      <w:b/>
      <w:bCs/>
      <w:sz w:val="44"/>
      <w:szCs w:val="44"/>
    </w:rPr>
  </w:style>
  <w:style w:type="table" w:customStyle="1" w:styleId="15">
    <w:name w:val="Table Normal"/>
    <w:semiHidden/>
    <w:unhideWhenUsed/>
    <w:qFormat/>
    <w:uiPriority w:val="2"/>
    <w:tblPr>
      <w:tblLayout w:type="fixed"/>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纯文本 Char"/>
    <w:basedOn w:val="14"/>
    <w:link w:val="5"/>
    <w:qFormat/>
    <w:uiPriority w:val="99"/>
    <w:rPr>
      <w:rFonts w:ascii="宋体" w:hAnsi="Courier New" w:eastAsia="宋体" w:cs="Courier New"/>
      <w:kern w:val="2"/>
      <w:sz w:val="21"/>
      <w:szCs w:val="21"/>
      <w:lang w:eastAsia="zh-CN"/>
    </w:rPr>
  </w:style>
  <w:style w:type="character" w:customStyle="1" w:styleId="19">
    <w:name w:val="页眉 Char"/>
    <w:basedOn w:val="14"/>
    <w:link w:val="8"/>
    <w:semiHidden/>
    <w:qFormat/>
    <w:uiPriority w:val="99"/>
    <w:rPr>
      <w:rFonts w:ascii="宋体" w:hAnsi="宋体" w:eastAsia="宋体" w:cs="宋体"/>
      <w:sz w:val="18"/>
      <w:szCs w:val="18"/>
      <w:lang w:eastAsia="zh-CN"/>
    </w:rPr>
  </w:style>
  <w:style w:type="character" w:customStyle="1" w:styleId="20">
    <w:name w:val="页脚 Char"/>
    <w:basedOn w:val="14"/>
    <w:link w:val="7"/>
    <w:semiHidden/>
    <w:qFormat/>
    <w:uiPriority w:val="99"/>
    <w:rPr>
      <w:rFonts w:ascii="宋体" w:hAnsi="宋体" w:eastAsia="宋体" w:cs="宋体"/>
      <w:sz w:val="18"/>
      <w:szCs w:val="18"/>
      <w:lang w:eastAsia="zh-CN"/>
    </w:rPr>
  </w:style>
  <w:style w:type="character" w:customStyle="1" w:styleId="21">
    <w:name w:val="标题 1 Char"/>
    <w:basedOn w:val="14"/>
    <w:link w:val="2"/>
    <w:qFormat/>
    <w:uiPriority w:val="9"/>
    <w:rPr>
      <w:rFonts w:ascii="宋体" w:hAnsi="宋体" w:cs="宋体"/>
      <w:b/>
      <w:bCs/>
      <w:kern w:val="44"/>
      <w:sz w:val="44"/>
      <w:szCs w:val="44"/>
    </w:rPr>
  </w:style>
  <w:style w:type="paragraph" w:customStyle="1" w:styleId="22">
    <w:name w:val="TOC 标题1"/>
    <w:basedOn w:val="2"/>
    <w:next w:val="1"/>
    <w:semiHidden/>
    <w:unhideWhenUsed/>
    <w:qFormat/>
    <w:uiPriority w:val="39"/>
    <w:pPr>
      <w:widowControl/>
      <w:autoSpaceDE/>
      <w:autoSpaceDN/>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23">
    <w:name w:val="批注框文本 Char"/>
    <w:basedOn w:val="14"/>
    <w:link w:val="6"/>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B8337-74C2-4874-87D4-75189799F24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494</Words>
  <Characters>2819</Characters>
  <Lines>23</Lines>
  <Paragraphs>6</Paragraphs>
  <TotalTime>0</TotalTime>
  <ScaleCrop>false</ScaleCrop>
  <LinksUpToDate>false</LinksUpToDate>
  <CharactersWithSpaces>3307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2021-05-08T01:14:00Z</dcterms:created>
  <dc:creator>Administrator</dc:creator>
  <cp:lastModifiedBy>Administrator</cp:lastModifiedBy>
  <cp:lastPrinted>2021-04-27T06:16:00Z</cp:lastPrinted>
  <dcterms:modified xsi:type="dcterms:W3CDTF">2022-06-09T03:22:08Z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Office</vt:lpwstr>
  </property>
  <property fmtid="{D5CDD505-2E9C-101B-9397-08002B2CF9AE}" pid="4" name="LastSaved">
    <vt:filetime>2021-04-22T00:00:00Z</vt:filetime>
  </property>
  <property fmtid="{D5CDD505-2E9C-101B-9397-08002B2CF9AE}" pid="5" name="KSOProductBuildVer">
    <vt:lpwstr>2052-11.1.0.9021</vt:lpwstr>
  </property>
  <property fmtid="{D5CDD505-2E9C-101B-9397-08002B2CF9AE}" pid="6" name="ICV">
    <vt:lpwstr>690B9D34A2E646F495BCCBD98F86DBF4</vt:lpwstr>
  </property>
</Properties>
</file>