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60"/>
        <w:contextualSpacing/>
        <w:rPr>
          <w:rFonts w:ascii="仿宋" w:hAnsi="仿宋" w:eastAsia="仿宋"/>
        </w:rPr>
      </w:pPr>
      <w:r>
        <w:rPr>
          <w:rFonts w:hint="eastAsia" w:ascii="仿宋" w:hAnsi="仿宋" w:eastAsia="仿宋"/>
          <w:b/>
          <w:bCs/>
          <w:spacing w:val="-57"/>
          <w:sz w:val="44"/>
          <w:lang w:val="en-US" w:eastAsia="zh-CN"/>
        </w:rPr>
        <w:t>中国共产党朔州市平鲁区直属机关机关工作委员会</w:t>
      </w:r>
      <w:r>
        <w:rPr>
          <w:rFonts w:hint="eastAsia" w:ascii="仿宋" w:hAnsi="仿宋" w:eastAsia="仿宋"/>
        </w:rPr>
        <w:t>2021年度部门预算公开说明</w:t>
      </w:r>
    </w:p>
    <w:p>
      <w:pPr>
        <w:pStyle w:val="3"/>
        <w:tabs>
          <w:tab w:val="left" w:pos="6419"/>
        </w:tabs>
        <w:spacing w:before="12" w:line="360" w:lineRule="auto"/>
        <w:ind w:left="0" w:firstLine="0"/>
        <w:contextualSpacing/>
        <w:jc w:val="left"/>
        <w:rPr>
          <w:rFonts w:ascii="仿宋" w:hAnsi="仿宋" w:eastAsia="仿宋" w:cs="仿宋"/>
        </w:rPr>
      </w:pPr>
      <w:r>
        <w:rPr>
          <w:rFonts w:ascii="仿宋" w:hAnsi="仿宋" w:eastAsia="仿宋" w:cs="仿宋"/>
        </w:rPr>
        <w:tab/>
      </w:r>
    </w:p>
    <w:p>
      <w:pPr>
        <w:tabs>
          <w:tab w:val="left" w:pos="964"/>
        </w:tabs>
        <w:spacing w:line="360" w:lineRule="auto"/>
        <w:ind w:right="137"/>
        <w:contextualSpacing/>
        <w:jc w:val="center"/>
        <w:rPr>
          <w:rFonts w:ascii="仿宋" w:hAnsi="仿宋" w:eastAsia="仿宋" w:cs="仿宋"/>
          <w:b/>
          <w:sz w:val="32"/>
          <w:szCs w:val="32"/>
        </w:rPr>
      </w:pPr>
      <w:r>
        <w:rPr>
          <w:rFonts w:hint="eastAsia" w:ascii="仿宋" w:hAnsi="仿宋" w:eastAsia="仿宋" w:cs="仿宋"/>
          <w:b/>
          <w:sz w:val="32"/>
          <w:szCs w:val="32"/>
        </w:rPr>
        <w:t>目</w:t>
      </w:r>
      <w:r>
        <w:rPr>
          <w:rFonts w:hint="eastAsia" w:ascii="仿宋" w:hAnsi="仿宋" w:eastAsia="仿宋" w:cs="仿宋"/>
          <w:b/>
          <w:sz w:val="32"/>
          <w:szCs w:val="32"/>
        </w:rPr>
        <w:tab/>
      </w:r>
      <w:r>
        <w:rPr>
          <w:rFonts w:hint="eastAsia" w:ascii="仿宋" w:hAnsi="仿宋" w:eastAsia="仿宋" w:cs="仿宋"/>
          <w:b/>
          <w:sz w:val="32"/>
          <w:szCs w:val="32"/>
        </w:rPr>
        <w:t>录</w:t>
      </w:r>
    </w:p>
    <w:p>
      <w:pPr>
        <w:pStyle w:val="9"/>
        <w:tabs>
          <w:tab w:val="right" w:leader="dot" w:pos="8690"/>
        </w:tabs>
        <w:spacing w:line="360" w:lineRule="auto"/>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TOC \o "1-3" \h \u </w:instrText>
      </w:r>
      <w:r>
        <w:rPr>
          <w:rFonts w:hint="eastAsia" w:ascii="仿宋" w:hAnsi="仿宋" w:eastAsia="仿宋" w:cs="仿宋"/>
          <w:sz w:val="32"/>
          <w:szCs w:val="32"/>
        </w:rPr>
        <w:fldChar w:fldCharType="separate"/>
      </w:r>
      <w:r>
        <w:fldChar w:fldCharType="begin"/>
      </w:r>
      <w:r>
        <w:instrText xml:space="preserve"> HYPERLINK \l "_Toc27418" </w:instrText>
      </w:r>
      <w:r>
        <w:fldChar w:fldCharType="separate"/>
      </w:r>
      <w:r>
        <w:rPr>
          <w:rFonts w:hint="eastAsia" w:ascii="仿宋" w:hAnsi="仿宋" w:eastAsia="仿宋" w:cs="仿宋"/>
          <w:b/>
          <w:sz w:val="32"/>
          <w:szCs w:val="32"/>
        </w:rPr>
        <w:t>第一部分</w:t>
      </w:r>
      <w:r>
        <w:rPr>
          <w:rFonts w:hint="eastAsia" w:ascii="仿宋" w:hAnsi="仿宋" w:eastAsia="仿宋" w:cs="仿宋"/>
          <w:b/>
          <w:spacing w:val="-2"/>
          <w:sz w:val="32"/>
          <w:szCs w:val="32"/>
        </w:rPr>
        <w:t xml:space="preserve"> </w:t>
      </w:r>
      <w:r>
        <w:rPr>
          <w:rFonts w:hint="eastAsia" w:ascii="仿宋" w:hAnsi="仿宋" w:eastAsia="仿宋" w:cs="仿宋"/>
          <w:b/>
          <w:sz w:val="32"/>
          <w:szCs w:val="32"/>
        </w:rPr>
        <w:t>概况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_Toc27418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firstLine="220" w:firstLineChars="100"/>
        <w:rPr>
          <w:rFonts w:ascii="仿宋" w:hAnsi="仿宋" w:eastAsia="仿宋" w:cs="仿宋"/>
          <w:sz w:val="32"/>
          <w:szCs w:val="32"/>
        </w:rPr>
      </w:pPr>
      <w:r>
        <w:fldChar w:fldCharType="begin"/>
      </w:r>
      <w:r>
        <w:instrText xml:space="preserve"> HYPERLINK \l "_Toc30850" </w:instrText>
      </w:r>
      <w:r>
        <w:fldChar w:fldCharType="separate"/>
      </w:r>
      <w:r>
        <w:rPr>
          <w:rFonts w:hint="eastAsia" w:ascii="仿宋" w:hAnsi="仿宋" w:eastAsia="仿宋" w:cs="仿宋"/>
          <w:bCs/>
          <w:sz w:val="32"/>
          <w:szCs w:val="32"/>
        </w:rPr>
        <w:t>一、本部门职责</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_Toc30850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firstLine="220" w:firstLineChars="100"/>
        <w:rPr>
          <w:rFonts w:ascii="仿宋" w:hAnsi="仿宋" w:eastAsia="仿宋" w:cs="仿宋"/>
          <w:sz w:val="32"/>
          <w:szCs w:val="32"/>
        </w:rPr>
      </w:pPr>
      <w:r>
        <w:fldChar w:fldCharType="begin"/>
      </w:r>
      <w:r>
        <w:instrText xml:space="preserve"> HYPERLINK \l "_Toc27699" </w:instrText>
      </w:r>
      <w:r>
        <w:fldChar w:fldCharType="separate"/>
      </w:r>
      <w:r>
        <w:rPr>
          <w:rFonts w:hint="eastAsia" w:ascii="仿宋" w:hAnsi="仿宋" w:eastAsia="仿宋" w:cs="仿宋"/>
          <w:bCs/>
          <w:sz w:val="32"/>
          <w:szCs w:val="32"/>
        </w:rPr>
        <w:t>二、机构设置及编制情况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_Toc27699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690"/>
        </w:tabs>
        <w:spacing w:line="360" w:lineRule="auto"/>
        <w:rPr>
          <w:rFonts w:ascii="仿宋" w:hAnsi="仿宋" w:eastAsia="仿宋" w:cs="仿宋"/>
          <w:b/>
          <w:sz w:val="32"/>
          <w:szCs w:val="32"/>
        </w:rPr>
      </w:pPr>
      <w:r>
        <w:fldChar w:fldCharType="begin"/>
      </w:r>
      <w:r>
        <w:instrText xml:space="preserve"> HYPERLINK \l "_Toc5906" </w:instrText>
      </w:r>
      <w:r>
        <w:fldChar w:fldCharType="separate"/>
      </w:r>
      <w:r>
        <w:rPr>
          <w:rFonts w:hint="eastAsia" w:ascii="仿宋" w:hAnsi="仿宋" w:eastAsia="仿宋" w:cs="仿宋"/>
          <w:b/>
          <w:sz w:val="32"/>
          <w:szCs w:val="32"/>
        </w:rPr>
        <w:t>第二部分 2021 年度部门预算报表（见附表）</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_Toc5906 </w:instrText>
      </w:r>
      <w:r>
        <w:rPr>
          <w:rFonts w:hint="eastAsia" w:ascii="仿宋" w:hAnsi="仿宋" w:eastAsia="仿宋" w:cs="仿宋"/>
          <w:b/>
          <w:sz w:val="32"/>
          <w:szCs w:val="32"/>
        </w:rPr>
        <w:fldChar w:fldCharType="separate"/>
      </w:r>
      <w:r>
        <w:rPr>
          <w:rFonts w:hint="eastAsia" w:ascii="仿宋" w:hAnsi="仿宋" w:eastAsia="仿宋" w:cs="仿宋"/>
          <w:b/>
          <w:sz w:val="32"/>
          <w:szCs w:val="32"/>
        </w:rPr>
        <w:t>1</w:t>
      </w:r>
      <w:r>
        <w:rPr>
          <w:rFonts w:hint="eastAsia" w:ascii="仿宋" w:hAnsi="仿宋" w:eastAsia="仿宋" w:cs="仿宋"/>
          <w:b/>
          <w:sz w:val="32"/>
          <w:szCs w:val="32"/>
        </w:rPr>
        <w:fldChar w:fldCharType="end"/>
      </w:r>
      <w:r>
        <w:rPr>
          <w:rFonts w:hint="eastAsia" w:ascii="仿宋" w:hAnsi="仿宋" w:eastAsia="仿宋" w:cs="仿宋"/>
          <w:b/>
          <w:sz w:val="32"/>
          <w:szCs w:val="32"/>
        </w:rPr>
        <w:fldChar w:fldCharType="end"/>
      </w:r>
    </w:p>
    <w:p>
      <w:pPr>
        <w:pStyle w:val="10"/>
        <w:tabs>
          <w:tab w:val="right" w:leader="dot" w:pos="8690"/>
        </w:tabs>
        <w:spacing w:line="360" w:lineRule="auto"/>
        <w:ind w:left="440" w:firstLine="220" w:firstLineChars="100"/>
        <w:rPr>
          <w:rFonts w:ascii="仿宋" w:hAnsi="仿宋" w:eastAsia="仿宋" w:cs="仿宋"/>
          <w:sz w:val="32"/>
          <w:szCs w:val="32"/>
        </w:rPr>
      </w:pPr>
      <w:r>
        <w:fldChar w:fldCharType="begin"/>
      </w:r>
      <w:r>
        <w:instrText xml:space="preserve"> HYPERLINK \l "_Toc14229" </w:instrText>
      </w:r>
      <w:r>
        <w:fldChar w:fldCharType="separate"/>
      </w:r>
      <w:r>
        <w:rPr>
          <w:rFonts w:hint="eastAsia" w:ascii="仿宋" w:hAnsi="仿宋" w:eastAsia="仿宋" w:cs="仿宋"/>
          <w:sz w:val="32"/>
          <w:szCs w:val="32"/>
        </w:rPr>
        <w:t>一、2021</w:t>
      </w:r>
      <w:r>
        <w:rPr>
          <w:rFonts w:hint="eastAsia" w:ascii="仿宋" w:hAnsi="仿宋" w:eastAsia="仿宋" w:cs="仿宋"/>
          <w:spacing w:val="-80"/>
          <w:sz w:val="32"/>
          <w:szCs w:val="32"/>
        </w:rPr>
        <w:t xml:space="preserve"> </w:t>
      </w:r>
      <w:r>
        <w:rPr>
          <w:rFonts w:hint="eastAsia" w:ascii="仿宋" w:hAnsi="仿宋" w:eastAsia="仿宋" w:cs="仿宋"/>
          <w:sz w:val="32"/>
          <w:szCs w:val="32"/>
        </w:rPr>
        <w:t>年预算收支总表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_Toc14229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firstLine="220" w:firstLineChars="100"/>
        <w:rPr>
          <w:rFonts w:ascii="仿宋" w:hAnsi="仿宋" w:eastAsia="仿宋" w:cs="仿宋"/>
          <w:sz w:val="32"/>
          <w:szCs w:val="32"/>
        </w:rPr>
      </w:pPr>
      <w:r>
        <w:fldChar w:fldCharType="begin"/>
      </w:r>
      <w:r>
        <w:instrText xml:space="preserve"> HYPERLINK \l "_Toc6618" </w:instrText>
      </w:r>
      <w:r>
        <w:fldChar w:fldCharType="separate"/>
      </w:r>
      <w:r>
        <w:rPr>
          <w:rFonts w:hint="eastAsia" w:ascii="仿宋" w:hAnsi="仿宋" w:eastAsia="仿宋" w:cs="仿宋"/>
          <w:sz w:val="32"/>
          <w:szCs w:val="32"/>
        </w:rPr>
        <w:t>二、2021</w:t>
      </w:r>
      <w:r>
        <w:rPr>
          <w:rFonts w:hint="eastAsia" w:ascii="仿宋" w:hAnsi="仿宋" w:eastAsia="仿宋" w:cs="仿宋"/>
          <w:spacing w:val="-80"/>
          <w:sz w:val="32"/>
          <w:szCs w:val="32"/>
        </w:rPr>
        <w:t xml:space="preserve"> </w:t>
      </w:r>
      <w:r>
        <w:rPr>
          <w:rFonts w:hint="eastAsia" w:ascii="仿宋" w:hAnsi="仿宋" w:eastAsia="仿宋" w:cs="仿宋"/>
          <w:sz w:val="32"/>
          <w:szCs w:val="32"/>
        </w:rPr>
        <w:t>年预算收入总表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_Toc6618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firstLine="220" w:firstLineChars="100"/>
        <w:rPr>
          <w:rFonts w:ascii="仿宋" w:hAnsi="仿宋" w:eastAsia="仿宋" w:cs="仿宋"/>
          <w:sz w:val="32"/>
          <w:szCs w:val="32"/>
        </w:rPr>
      </w:pPr>
      <w:r>
        <w:fldChar w:fldCharType="begin"/>
      </w:r>
      <w:r>
        <w:instrText xml:space="preserve"> HYPERLINK \l "_Toc29195" </w:instrText>
      </w:r>
      <w:r>
        <w:fldChar w:fldCharType="separate"/>
      </w:r>
      <w:r>
        <w:rPr>
          <w:rFonts w:hint="eastAsia" w:ascii="仿宋" w:hAnsi="仿宋" w:eastAsia="仿宋" w:cs="仿宋"/>
          <w:sz w:val="32"/>
          <w:szCs w:val="32"/>
        </w:rPr>
        <w:t>三、2021</w:t>
      </w:r>
      <w:r>
        <w:rPr>
          <w:rFonts w:hint="eastAsia" w:ascii="仿宋" w:hAnsi="仿宋" w:eastAsia="仿宋" w:cs="仿宋"/>
          <w:spacing w:val="-80"/>
          <w:sz w:val="32"/>
          <w:szCs w:val="32"/>
        </w:rPr>
        <w:t xml:space="preserve"> </w:t>
      </w:r>
      <w:r>
        <w:rPr>
          <w:rFonts w:hint="eastAsia" w:ascii="仿宋" w:hAnsi="仿宋" w:eastAsia="仿宋" w:cs="仿宋"/>
          <w:sz w:val="32"/>
          <w:szCs w:val="32"/>
        </w:rPr>
        <w:t>年预算支出总表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_Toc29195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firstLine="220" w:firstLineChars="100"/>
        <w:rPr>
          <w:rFonts w:ascii="仿宋" w:hAnsi="仿宋" w:eastAsia="仿宋" w:cs="仿宋"/>
          <w:sz w:val="32"/>
          <w:szCs w:val="32"/>
        </w:rPr>
      </w:pPr>
      <w:r>
        <w:fldChar w:fldCharType="begin"/>
      </w:r>
      <w:r>
        <w:instrText xml:space="preserve"> HYPERLINK \l "_Toc19750" </w:instrText>
      </w:r>
      <w:r>
        <w:fldChar w:fldCharType="separate"/>
      </w:r>
      <w:r>
        <w:rPr>
          <w:rFonts w:hint="eastAsia" w:ascii="仿宋" w:hAnsi="仿宋" w:eastAsia="仿宋" w:cs="仿宋"/>
          <w:sz w:val="32"/>
          <w:szCs w:val="32"/>
        </w:rPr>
        <w:t>四、2021</w:t>
      </w:r>
      <w:r>
        <w:rPr>
          <w:rFonts w:hint="eastAsia" w:ascii="仿宋" w:hAnsi="仿宋" w:eastAsia="仿宋" w:cs="仿宋"/>
          <w:spacing w:val="-81"/>
          <w:sz w:val="32"/>
          <w:szCs w:val="32"/>
        </w:rPr>
        <w:t xml:space="preserve"> </w:t>
      </w:r>
      <w:r>
        <w:rPr>
          <w:rFonts w:hint="eastAsia" w:ascii="仿宋" w:hAnsi="仿宋" w:eastAsia="仿宋" w:cs="仿宋"/>
          <w:sz w:val="32"/>
          <w:szCs w:val="32"/>
        </w:rPr>
        <w:t>年财政拨款收支总表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_Toc19750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firstLine="220" w:firstLineChars="100"/>
        <w:rPr>
          <w:rFonts w:ascii="仿宋" w:hAnsi="仿宋" w:eastAsia="仿宋" w:cs="仿宋"/>
          <w:sz w:val="32"/>
          <w:szCs w:val="32"/>
        </w:rPr>
      </w:pPr>
      <w:r>
        <w:fldChar w:fldCharType="begin"/>
      </w:r>
      <w:r>
        <w:instrText xml:space="preserve"> HYPERLINK \l "_Toc11961" </w:instrText>
      </w:r>
      <w:r>
        <w:fldChar w:fldCharType="separate"/>
      </w:r>
      <w:r>
        <w:rPr>
          <w:rFonts w:hint="eastAsia" w:ascii="仿宋" w:hAnsi="仿宋" w:eastAsia="仿宋" w:cs="仿宋"/>
          <w:spacing w:val="-10"/>
          <w:sz w:val="32"/>
          <w:szCs w:val="32"/>
        </w:rPr>
        <w:t>五、</w:t>
      </w:r>
      <w:r>
        <w:rPr>
          <w:rFonts w:hint="eastAsia" w:ascii="仿宋" w:hAnsi="仿宋" w:eastAsia="仿宋" w:cs="仿宋"/>
          <w:sz w:val="32"/>
          <w:szCs w:val="32"/>
        </w:rPr>
        <w:t>2021</w:t>
      </w:r>
      <w:r>
        <w:rPr>
          <w:rFonts w:hint="eastAsia" w:ascii="仿宋" w:hAnsi="仿宋" w:eastAsia="仿宋" w:cs="仿宋"/>
          <w:spacing w:val="-41"/>
          <w:sz w:val="32"/>
          <w:szCs w:val="32"/>
        </w:rPr>
        <w:t xml:space="preserve"> 年一般公共预算支出预算表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_Toc11961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firstLine="220" w:firstLineChars="100"/>
        <w:rPr>
          <w:rFonts w:ascii="仿宋" w:hAnsi="仿宋" w:eastAsia="仿宋" w:cs="仿宋"/>
          <w:sz w:val="32"/>
          <w:szCs w:val="32"/>
        </w:rPr>
      </w:pPr>
      <w:r>
        <w:fldChar w:fldCharType="begin"/>
      </w:r>
      <w:r>
        <w:instrText xml:space="preserve"> HYPERLINK \l "_Toc6021" </w:instrText>
      </w:r>
      <w:r>
        <w:fldChar w:fldCharType="separate"/>
      </w:r>
      <w:r>
        <w:rPr>
          <w:rFonts w:hint="eastAsia" w:ascii="仿宋" w:hAnsi="仿宋" w:eastAsia="仿宋" w:cs="仿宋"/>
          <w:spacing w:val="-10"/>
          <w:sz w:val="32"/>
          <w:szCs w:val="32"/>
        </w:rPr>
        <w:t>六、</w:t>
      </w:r>
      <w:r>
        <w:rPr>
          <w:rFonts w:hint="eastAsia" w:ascii="仿宋" w:hAnsi="仿宋" w:eastAsia="仿宋" w:cs="仿宋"/>
          <w:sz w:val="32"/>
          <w:szCs w:val="32"/>
        </w:rPr>
        <w:t>2021</w:t>
      </w:r>
      <w:r>
        <w:rPr>
          <w:rFonts w:hint="eastAsia" w:ascii="仿宋" w:hAnsi="仿宋" w:eastAsia="仿宋" w:cs="仿宋"/>
          <w:spacing w:val="-10"/>
          <w:sz w:val="32"/>
          <w:szCs w:val="32"/>
        </w:rPr>
        <w:t xml:space="preserve"> 年一般公共预算安排基本支出</w:t>
      </w:r>
      <w:r>
        <w:rPr>
          <w:rFonts w:hint="eastAsia" w:ascii="仿宋" w:hAnsi="仿宋" w:eastAsia="仿宋" w:cs="仿宋"/>
          <w:sz w:val="32"/>
          <w:szCs w:val="32"/>
        </w:rPr>
        <w:t>分经济科目表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_Toc6021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firstLine="220" w:firstLineChars="100"/>
        <w:rPr>
          <w:rFonts w:ascii="仿宋" w:hAnsi="仿宋" w:eastAsia="仿宋" w:cs="仿宋"/>
          <w:sz w:val="32"/>
          <w:szCs w:val="32"/>
        </w:rPr>
      </w:pPr>
      <w:r>
        <w:fldChar w:fldCharType="begin"/>
      </w:r>
      <w:r>
        <w:instrText xml:space="preserve"> HYPERLINK \l "_Toc16900" </w:instrText>
      </w:r>
      <w:r>
        <w:fldChar w:fldCharType="separate"/>
      </w:r>
      <w:r>
        <w:rPr>
          <w:rFonts w:hint="eastAsia" w:ascii="仿宋" w:hAnsi="仿宋" w:eastAsia="仿宋" w:cs="仿宋"/>
          <w:spacing w:val="-10"/>
          <w:sz w:val="32"/>
          <w:szCs w:val="32"/>
        </w:rPr>
        <w:t>七、</w:t>
      </w:r>
      <w:r>
        <w:rPr>
          <w:rFonts w:hint="eastAsia" w:ascii="仿宋" w:hAnsi="仿宋" w:eastAsia="仿宋" w:cs="仿宋"/>
          <w:sz w:val="32"/>
          <w:szCs w:val="32"/>
        </w:rPr>
        <w:t>2021</w:t>
      </w:r>
      <w:r>
        <w:rPr>
          <w:rFonts w:hint="eastAsia" w:ascii="仿宋" w:hAnsi="仿宋" w:eastAsia="仿宋" w:cs="仿宋"/>
          <w:spacing w:val="-10"/>
          <w:sz w:val="32"/>
          <w:szCs w:val="32"/>
        </w:rPr>
        <w:t xml:space="preserve"> 年政府性基金收入预算表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_Toc16900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firstLine="220" w:firstLineChars="100"/>
        <w:rPr>
          <w:rFonts w:ascii="仿宋" w:hAnsi="仿宋" w:eastAsia="仿宋" w:cs="仿宋"/>
          <w:sz w:val="32"/>
          <w:szCs w:val="32"/>
        </w:rPr>
      </w:pPr>
      <w:r>
        <w:fldChar w:fldCharType="begin"/>
      </w:r>
      <w:r>
        <w:instrText xml:space="preserve"> HYPERLINK \l "_Toc11152" </w:instrText>
      </w:r>
      <w:r>
        <w:fldChar w:fldCharType="separate"/>
      </w:r>
      <w:r>
        <w:rPr>
          <w:rFonts w:hint="eastAsia" w:ascii="仿宋" w:hAnsi="仿宋" w:eastAsia="仿宋" w:cs="仿宋"/>
          <w:spacing w:val="-10"/>
          <w:sz w:val="32"/>
          <w:szCs w:val="32"/>
        </w:rPr>
        <w:t>八、</w:t>
      </w:r>
      <w:r>
        <w:rPr>
          <w:rFonts w:hint="eastAsia" w:ascii="仿宋" w:hAnsi="仿宋" w:eastAsia="仿宋" w:cs="仿宋"/>
          <w:sz w:val="32"/>
          <w:szCs w:val="32"/>
        </w:rPr>
        <w:t>2021</w:t>
      </w:r>
      <w:r>
        <w:rPr>
          <w:rFonts w:hint="eastAsia" w:ascii="仿宋" w:hAnsi="仿宋" w:eastAsia="仿宋" w:cs="仿宋"/>
          <w:spacing w:val="-10"/>
          <w:sz w:val="32"/>
          <w:szCs w:val="32"/>
        </w:rPr>
        <w:t xml:space="preserve"> 年政府性基金支出预算表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_Toc11152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firstLine="220" w:firstLineChars="100"/>
        <w:rPr>
          <w:rFonts w:ascii="仿宋" w:hAnsi="仿宋" w:eastAsia="仿宋" w:cs="仿宋"/>
          <w:sz w:val="32"/>
          <w:szCs w:val="32"/>
        </w:rPr>
      </w:pPr>
      <w:r>
        <w:fldChar w:fldCharType="begin"/>
      </w:r>
      <w:r>
        <w:instrText xml:space="preserve"> HYPERLINK \l "_Toc11457" </w:instrText>
      </w:r>
      <w:r>
        <w:fldChar w:fldCharType="separate"/>
      </w:r>
      <w:r>
        <w:rPr>
          <w:rFonts w:hint="eastAsia" w:ascii="仿宋" w:hAnsi="仿宋" w:eastAsia="仿宋" w:cs="仿宋"/>
          <w:spacing w:val="-10"/>
          <w:sz w:val="32"/>
          <w:szCs w:val="32"/>
        </w:rPr>
        <w:t>九、</w:t>
      </w:r>
      <w:r>
        <w:rPr>
          <w:rFonts w:hint="eastAsia" w:ascii="仿宋" w:hAnsi="仿宋" w:eastAsia="仿宋" w:cs="仿宋"/>
          <w:sz w:val="32"/>
          <w:szCs w:val="32"/>
        </w:rPr>
        <w:t>2021</w:t>
      </w:r>
      <w:r>
        <w:rPr>
          <w:rFonts w:hint="eastAsia" w:ascii="仿宋" w:hAnsi="仿宋" w:eastAsia="仿宋" w:cs="仿宋"/>
          <w:spacing w:val="-10"/>
          <w:sz w:val="32"/>
          <w:szCs w:val="32"/>
        </w:rPr>
        <w:t xml:space="preserve"> 年“三公”经费预算财政拨款</w:t>
      </w:r>
      <w:r>
        <w:rPr>
          <w:rFonts w:hint="eastAsia" w:ascii="仿宋" w:hAnsi="仿宋" w:eastAsia="仿宋" w:cs="仿宋"/>
          <w:sz w:val="32"/>
          <w:szCs w:val="32"/>
        </w:rPr>
        <w:t>情况统计表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_Toc11457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firstLine="220" w:firstLineChars="100"/>
        <w:rPr>
          <w:rFonts w:ascii="仿宋" w:hAnsi="仿宋" w:eastAsia="仿宋" w:cs="仿宋"/>
          <w:sz w:val="32"/>
          <w:szCs w:val="32"/>
        </w:rPr>
      </w:pPr>
      <w:r>
        <w:fldChar w:fldCharType="begin"/>
      </w:r>
      <w:r>
        <w:instrText xml:space="preserve"> HYPERLINK \l "_Toc17634" </w:instrText>
      </w:r>
      <w:r>
        <w:fldChar w:fldCharType="separate"/>
      </w:r>
      <w:r>
        <w:rPr>
          <w:rFonts w:hint="eastAsia" w:ascii="仿宋" w:hAnsi="仿宋" w:eastAsia="仿宋" w:cs="仿宋"/>
          <w:sz w:val="32"/>
          <w:szCs w:val="32"/>
        </w:rPr>
        <w:t>十、2021</w:t>
      </w:r>
      <w:r>
        <w:rPr>
          <w:rFonts w:hint="eastAsia" w:ascii="仿宋" w:hAnsi="仿宋" w:eastAsia="仿宋" w:cs="仿宋"/>
          <w:spacing w:val="-85"/>
          <w:sz w:val="32"/>
          <w:szCs w:val="32"/>
        </w:rPr>
        <w:t xml:space="preserve"> </w:t>
      </w:r>
      <w:r>
        <w:rPr>
          <w:rFonts w:hint="eastAsia" w:ascii="仿宋" w:hAnsi="仿宋" w:eastAsia="仿宋" w:cs="仿宋"/>
          <w:sz w:val="32"/>
          <w:szCs w:val="32"/>
        </w:rPr>
        <w:t>年机关运行经费预算财政拨款情况统计表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_Toc17634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690"/>
        </w:tabs>
        <w:spacing w:line="360" w:lineRule="auto"/>
        <w:rPr>
          <w:rFonts w:ascii="仿宋" w:hAnsi="仿宋" w:eastAsia="仿宋" w:cs="仿宋"/>
          <w:sz w:val="32"/>
          <w:szCs w:val="32"/>
        </w:rPr>
      </w:pPr>
      <w:r>
        <w:fldChar w:fldCharType="begin"/>
      </w:r>
      <w:r>
        <w:instrText xml:space="preserve"> HYPERLINK \l "_Toc27086" </w:instrText>
      </w:r>
      <w:r>
        <w:fldChar w:fldCharType="separate"/>
      </w:r>
      <w:r>
        <w:rPr>
          <w:rFonts w:hint="eastAsia" w:ascii="仿宋" w:hAnsi="仿宋" w:eastAsia="仿宋" w:cs="仿宋"/>
          <w:b/>
          <w:sz w:val="32"/>
          <w:szCs w:val="32"/>
        </w:rPr>
        <w:t>第三部分 2021 年度部门预算情况说明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_Toc27086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firstLine="220" w:firstLineChars="100"/>
        <w:rPr>
          <w:rFonts w:ascii="仿宋" w:hAnsi="仿宋" w:eastAsia="仿宋" w:cs="仿宋"/>
          <w:sz w:val="32"/>
          <w:szCs w:val="32"/>
        </w:rPr>
      </w:pPr>
      <w:r>
        <w:fldChar w:fldCharType="begin"/>
      </w:r>
      <w:r>
        <w:instrText xml:space="preserve"> HYPERLINK \l "_Toc12747" </w:instrText>
      </w:r>
      <w:r>
        <w:fldChar w:fldCharType="separate"/>
      </w:r>
      <w:r>
        <w:rPr>
          <w:rFonts w:hint="eastAsia" w:ascii="仿宋" w:hAnsi="仿宋" w:eastAsia="仿宋" w:cs="仿宋"/>
          <w:bCs/>
          <w:sz w:val="32"/>
          <w:szCs w:val="32"/>
        </w:rPr>
        <w:t>一、2021 年度部门预算数据变动情况及原因</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_Toc12747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firstLine="220" w:firstLineChars="100"/>
        <w:rPr>
          <w:rFonts w:ascii="仿宋" w:hAnsi="仿宋" w:eastAsia="仿宋" w:cs="仿宋"/>
          <w:sz w:val="32"/>
          <w:szCs w:val="32"/>
        </w:rPr>
      </w:pPr>
      <w:r>
        <w:fldChar w:fldCharType="begin"/>
      </w:r>
      <w:r>
        <w:instrText xml:space="preserve"> HYPERLINK \l "_Toc31108" </w:instrText>
      </w:r>
      <w:r>
        <w:fldChar w:fldCharType="separate"/>
      </w:r>
      <w:r>
        <w:rPr>
          <w:rFonts w:hint="eastAsia" w:ascii="仿宋" w:hAnsi="仿宋" w:eastAsia="仿宋" w:cs="仿宋"/>
          <w:bCs/>
          <w:sz w:val="32"/>
          <w:szCs w:val="32"/>
        </w:rPr>
        <w:t>二、“三公”经费增减变动原因说明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_Toc31108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firstLine="220" w:firstLineChars="100"/>
        <w:rPr>
          <w:rFonts w:ascii="仿宋" w:hAnsi="仿宋" w:eastAsia="仿宋" w:cs="仿宋"/>
          <w:sz w:val="32"/>
          <w:szCs w:val="32"/>
        </w:rPr>
      </w:pPr>
      <w:r>
        <w:fldChar w:fldCharType="begin"/>
      </w:r>
      <w:r>
        <w:instrText xml:space="preserve"> HYPERLINK \l "_Toc14203" </w:instrText>
      </w:r>
      <w:r>
        <w:fldChar w:fldCharType="separate"/>
      </w:r>
      <w:r>
        <w:rPr>
          <w:rFonts w:hint="eastAsia" w:ascii="仿宋" w:hAnsi="仿宋" w:eastAsia="仿宋" w:cs="仿宋"/>
          <w:bCs/>
          <w:sz w:val="32"/>
          <w:szCs w:val="32"/>
        </w:rPr>
        <w:t>三、机关运行经费增减变动原因说明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_Toc14203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firstLine="220" w:firstLineChars="100"/>
        <w:rPr>
          <w:rFonts w:ascii="仿宋" w:hAnsi="仿宋" w:eastAsia="仿宋" w:cs="仿宋"/>
          <w:sz w:val="32"/>
          <w:szCs w:val="32"/>
        </w:rPr>
      </w:pPr>
      <w:r>
        <w:fldChar w:fldCharType="begin"/>
      </w:r>
      <w:r>
        <w:instrText xml:space="preserve"> HYPERLINK \l "_Toc8609" </w:instrText>
      </w:r>
      <w:r>
        <w:fldChar w:fldCharType="separate"/>
      </w:r>
      <w:r>
        <w:rPr>
          <w:rFonts w:hint="eastAsia" w:ascii="仿宋" w:hAnsi="仿宋" w:eastAsia="仿宋" w:cs="仿宋"/>
          <w:bCs/>
          <w:sz w:val="32"/>
          <w:szCs w:val="32"/>
        </w:rPr>
        <w:t>四、政府采购情况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_Toc8609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firstLine="220" w:firstLineChars="100"/>
        <w:rPr>
          <w:rFonts w:ascii="仿宋" w:hAnsi="仿宋" w:eastAsia="仿宋" w:cs="仿宋"/>
          <w:sz w:val="32"/>
          <w:szCs w:val="32"/>
        </w:rPr>
      </w:pPr>
      <w:r>
        <w:fldChar w:fldCharType="begin"/>
      </w:r>
      <w:r>
        <w:instrText xml:space="preserve"> HYPERLINK \l "_Toc3264" </w:instrText>
      </w:r>
      <w:r>
        <w:fldChar w:fldCharType="separate"/>
      </w:r>
      <w:r>
        <w:rPr>
          <w:rFonts w:hint="eastAsia" w:ascii="仿宋" w:hAnsi="仿宋" w:eastAsia="仿宋" w:cs="仿宋"/>
          <w:bCs/>
          <w:sz w:val="32"/>
          <w:szCs w:val="32"/>
        </w:rPr>
        <w:t>五、绩效管理情况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_Toc3264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firstLine="220" w:firstLineChars="100"/>
        <w:rPr>
          <w:rFonts w:ascii="仿宋" w:hAnsi="仿宋" w:eastAsia="仿宋" w:cs="仿宋"/>
          <w:sz w:val="32"/>
          <w:szCs w:val="32"/>
        </w:rPr>
      </w:pPr>
      <w:r>
        <w:fldChar w:fldCharType="begin"/>
      </w:r>
      <w:r>
        <w:instrText xml:space="preserve"> HYPERLINK \l "_Toc19868" </w:instrText>
      </w:r>
      <w:r>
        <w:fldChar w:fldCharType="separate"/>
      </w:r>
      <w:r>
        <w:rPr>
          <w:rFonts w:hint="eastAsia" w:ascii="仿宋" w:hAnsi="仿宋" w:eastAsia="仿宋" w:cs="仿宋"/>
          <w:bCs/>
          <w:sz w:val="32"/>
          <w:szCs w:val="32"/>
        </w:rPr>
        <w:t>六、国有资产占有使用情况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_Toc19868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firstLine="220" w:firstLineChars="100"/>
        <w:rPr>
          <w:rFonts w:ascii="仿宋" w:hAnsi="仿宋" w:eastAsia="仿宋" w:cs="仿宋"/>
          <w:sz w:val="32"/>
          <w:szCs w:val="32"/>
        </w:rPr>
      </w:pPr>
      <w:r>
        <w:fldChar w:fldCharType="begin"/>
      </w:r>
      <w:r>
        <w:instrText xml:space="preserve"> HYPERLINK \l "_Toc18321" </w:instrText>
      </w:r>
      <w:r>
        <w:fldChar w:fldCharType="separate"/>
      </w:r>
      <w:r>
        <w:rPr>
          <w:rFonts w:hint="eastAsia" w:ascii="仿宋" w:hAnsi="仿宋" w:eastAsia="仿宋" w:cs="仿宋"/>
          <w:bCs/>
          <w:sz w:val="32"/>
          <w:szCs w:val="32"/>
        </w:rPr>
        <w:t>七、其他说明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_Toc18321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690"/>
        </w:tabs>
        <w:spacing w:line="360" w:lineRule="auto"/>
        <w:rPr>
          <w:rFonts w:ascii="仿宋" w:hAnsi="仿宋" w:eastAsia="仿宋" w:cs="仿宋"/>
          <w:sz w:val="32"/>
          <w:szCs w:val="32"/>
        </w:rPr>
      </w:pPr>
      <w:r>
        <w:fldChar w:fldCharType="begin"/>
      </w:r>
      <w:r>
        <w:instrText xml:space="preserve"> HYPERLINK \l "_Toc6785" </w:instrText>
      </w:r>
      <w:r>
        <w:fldChar w:fldCharType="separate"/>
      </w:r>
      <w:r>
        <w:rPr>
          <w:rFonts w:hint="eastAsia" w:ascii="仿宋" w:hAnsi="仿宋" w:eastAsia="仿宋" w:cs="仿宋"/>
          <w:b/>
          <w:sz w:val="32"/>
          <w:szCs w:val="32"/>
        </w:rPr>
        <w:t>第四部分 名词解释</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_Toc6785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spacing w:line="360" w:lineRule="auto"/>
        <w:contextualSpacing/>
        <w:rPr>
          <w:rFonts w:ascii="仿宋" w:hAnsi="仿宋" w:eastAsia="仿宋" w:cs="仿宋"/>
          <w:sz w:val="32"/>
          <w:szCs w:val="32"/>
        </w:rPr>
        <w:sectPr>
          <w:headerReference r:id="rId5" w:type="first"/>
          <w:footerReference r:id="rId8" w:type="first"/>
          <w:headerReference r:id="rId3" w:type="default"/>
          <w:footerReference r:id="rId6" w:type="default"/>
          <w:headerReference r:id="rId4" w:type="even"/>
          <w:footerReference r:id="rId7" w:type="even"/>
          <w:pgSz w:w="11910" w:h="16840"/>
          <w:pgMar w:top="1500" w:right="1540" w:bottom="280" w:left="1680" w:header="720" w:footer="720" w:gutter="0"/>
          <w:cols w:space="720" w:num="1"/>
        </w:sectPr>
      </w:pPr>
      <w:r>
        <w:rPr>
          <w:rFonts w:hint="eastAsia" w:ascii="仿宋" w:hAnsi="仿宋" w:eastAsia="仿宋" w:cs="仿宋"/>
          <w:sz w:val="32"/>
          <w:szCs w:val="32"/>
        </w:rPr>
        <w:fldChar w:fldCharType="end"/>
      </w:r>
    </w:p>
    <w:p>
      <w:pPr>
        <w:tabs>
          <w:tab w:val="right" w:leader="dot" w:pos="8427"/>
        </w:tabs>
        <w:spacing w:before="214" w:line="640" w:lineRule="exact"/>
        <w:contextualSpacing/>
        <w:jc w:val="center"/>
        <w:outlineLvl w:val="0"/>
        <w:rPr>
          <w:rFonts w:ascii="仿宋" w:hAnsi="仿宋" w:eastAsia="仿宋"/>
          <w:b/>
          <w:sz w:val="32"/>
          <w:szCs w:val="32"/>
        </w:rPr>
      </w:pPr>
      <w:bookmarkStart w:id="0" w:name="_Toc27418"/>
      <w:r>
        <w:rPr>
          <w:rFonts w:hint="eastAsia" w:ascii="仿宋" w:hAnsi="仿宋" w:eastAsia="仿宋"/>
          <w:b/>
          <w:sz w:val="32"/>
          <w:szCs w:val="32"/>
        </w:rPr>
        <w:t>第一部分</w:t>
      </w:r>
      <w:r>
        <w:rPr>
          <w:rFonts w:hint="eastAsia" w:ascii="仿宋" w:hAnsi="仿宋" w:eastAsia="仿宋"/>
          <w:b/>
          <w:spacing w:val="-2"/>
          <w:sz w:val="32"/>
          <w:szCs w:val="32"/>
        </w:rPr>
        <w:t xml:space="preserve"> </w:t>
      </w:r>
      <w:r>
        <w:rPr>
          <w:rFonts w:hint="eastAsia" w:ascii="仿宋" w:hAnsi="仿宋" w:eastAsia="仿宋"/>
          <w:b/>
          <w:sz w:val="32"/>
          <w:szCs w:val="32"/>
        </w:rPr>
        <w:t>概况</w:t>
      </w:r>
      <w:bookmarkEnd w:id="0"/>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1" w:name="_Toc30850"/>
      <w:r>
        <w:rPr>
          <w:rFonts w:hint="eastAsia" w:ascii="仿宋" w:hAnsi="仿宋" w:eastAsia="仿宋" w:cs="黑体"/>
          <w:b/>
          <w:bCs/>
        </w:rPr>
        <w:t>一、本部门职责</w:t>
      </w:r>
      <w:bookmarkEnd w:id="1"/>
    </w:p>
    <w:p>
      <w:pPr>
        <w:pStyle w:val="3"/>
        <w:tabs>
          <w:tab w:val="right" w:leader="dot" w:pos="8425"/>
        </w:tabs>
        <w:spacing w:line="640" w:lineRule="exact"/>
        <w:ind w:left="0" w:firstLine="640" w:firstLineChars="200"/>
        <w:contextualSpacing/>
        <w:jc w:val="left"/>
        <w:outlineLvl w:val="1"/>
        <w:rPr>
          <w:rFonts w:hint="eastAsia" w:ascii="仿宋" w:hAnsi="仿宋" w:eastAsia="仿宋" w:cs="黑体"/>
          <w:bCs/>
        </w:rPr>
      </w:pPr>
      <w:bookmarkStart w:id="2" w:name="_Toc27699"/>
      <w:r>
        <w:rPr>
          <w:rFonts w:hint="eastAsia" w:ascii="仿宋" w:hAnsi="仿宋" w:eastAsia="仿宋" w:cs="黑体"/>
          <w:bCs/>
        </w:rPr>
        <w:t>1.统一组织部署区直机关党的工作，提出加强和改进区直机关党的建设的意见和建议，研究制定工作意见，并抓好组织实施。</w:t>
      </w:r>
    </w:p>
    <w:p>
      <w:pPr>
        <w:pStyle w:val="3"/>
        <w:tabs>
          <w:tab w:val="right" w:leader="dot" w:pos="8425"/>
        </w:tabs>
        <w:spacing w:line="640" w:lineRule="exact"/>
        <w:ind w:left="0" w:firstLine="640" w:firstLineChars="200"/>
        <w:contextualSpacing/>
        <w:jc w:val="left"/>
        <w:outlineLvl w:val="1"/>
        <w:rPr>
          <w:rFonts w:hint="eastAsia" w:ascii="仿宋" w:hAnsi="仿宋" w:eastAsia="仿宋" w:cs="黑体"/>
          <w:bCs/>
        </w:rPr>
      </w:pPr>
      <w:r>
        <w:rPr>
          <w:rFonts w:hint="eastAsia" w:ascii="仿宋" w:hAnsi="仿宋" w:eastAsia="仿宋" w:cs="黑体"/>
          <w:bCs/>
        </w:rPr>
        <w:t>2.指导区直机关党的政治建设、思想建设、组织建设、作风建设、纪律建设，把制度建设贯穿其中，深入推进反腐败斗争。</w:t>
      </w:r>
    </w:p>
    <w:p>
      <w:pPr>
        <w:pStyle w:val="3"/>
        <w:tabs>
          <w:tab w:val="right" w:leader="dot" w:pos="8425"/>
        </w:tabs>
        <w:spacing w:line="640" w:lineRule="exact"/>
        <w:ind w:left="0" w:firstLine="640" w:firstLineChars="200"/>
        <w:contextualSpacing/>
        <w:jc w:val="left"/>
        <w:outlineLvl w:val="1"/>
        <w:rPr>
          <w:rFonts w:hint="eastAsia" w:ascii="仿宋" w:hAnsi="仿宋" w:eastAsia="仿宋" w:cs="黑体"/>
          <w:bCs/>
        </w:rPr>
      </w:pPr>
      <w:r>
        <w:rPr>
          <w:rFonts w:hint="eastAsia" w:ascii="仿宋" w:hAnsi="仿宋" w:eastAsia="仿宋" w:cs="黑体"/>
          <w:bCs/>
        </w:rPr>
        <w:t>3.指导区直机关各级党组织和广大党员学习马克思列宁主义、毛泽东思想、邓小平理论、“三个代表”重要思想、科学发展观、习近平新时代中国特色社会主义思想。</w:t>
      </w:r>
    </w:p>
    <w:p>
      <w:pPr>
        <w:pStyle w:val="3"/>
        <w:tabs>
          <w:tab w:val="right" w:leader="dot" w:pos="8425"/>
        </w:tabs>
        <w:spacing w:line="640" w:lineRule="exact"/>
        <w:ind w:left="0" w:firstLine="640" w:firstLineChars="200"/>
        <w:contextualSpacing/>
        <w:jc w:val="left"/>
        <w:outlineLvl w:val="1"/>
        <w:rPr>
          <w:rFonts w:hint="eastAsia" w:ascii="仿宋" w:hAnsi="仿宋" w:eastAsia="仿宋" w:cs="黑体"/>
          <w:bCs/>
        </w:rPr>
      </w:pPr>
      <w:r>
        <w:rPr>
          <w:rFonts w:hint="eastAsia" w:ascii="仿宋" w:hAnsi="仿宋" w:eastAsia="仿宋" w:cs="黑体"/>
          <w:bCs/>
        </w:rPr>
        <w:t>4.督促指导区直机关党组（党委）认真履行机关党建主体责任，对区直机关各级党组织、党员领导干部落实党建责任制、遵守政治纪律和政治规矩情况进行监督检查，并向区委报告。</w:t>
      </w:r>
    </w:p>
    <w:p>
      <w:pPr>
        <w:pStyle w:val="3"/>
        <w:tabs>
          <w:tab w:val="right" w:leader="dot" w:pos="8425"/>
        </w:tabs>
        <w:spacing w:line="640" w:lineRule="exact"/>
        <w:ind w:left="0" w:firstLine="640" w:firstLineChars="200"/>
        <w:contextualSpacing/>
        <w:jc w:val="left"/>
        <w:outlineLvl w:val="1"/>
        <w:rPr>
          <w:rFonts w:hint="eastAsia" w:ascii="仿宋" w:hAnsi="仿宋" w:eastAsia="仿宋" w:cs="黑体"/>
          <w:bCs/>
        </w:rPr>
      </w:pPr>
      <w:r>
        <w:rPr>
          <w:rFonts w:hint="eastAsia" w:ascii="仿宋" w:hAnsi="仿宋" w:eastAsia="仿宋" w:cs="黑体"/>
          <w:bCs/>
        </w:rPr>
        <w:t>5.指导区直机关各级党组织实施对党员特别是党员领导干部的监督和管理，及时向区委反映区直各单位领导班子、领导干部的情况。</w:t>
      </w:r>
    </w:p>
    <w:p>
      <w:pPr>
        <w:pStyle w:val="3"/>
        <w:tabs>
          <w:tab w:val="right" w:leader="dot" w:pos="8425"/>
        </w:tabs>
        <w:spacing w:line="640" w:lineRule="exact"/>
        <w:ind w:left="0" w:firstLine="640" w:firstLineChars="200"/>
        <w:contextualSpacing/>
        <w:jc w:val="left"/>
        <w:outlineLvl w:val="1"/>
        <w:rPr>
          <w:rFonts w:hint="eastAsia" w:ascii="仿宋" w:hAnsi="仿宋" w:eastAsia="仿宋" w:cs="黑体"/>
          <w:bCs/>
        </w:rPr>
      </w:pPr>
      <w:r>
        <w:rPr>
          <w:rFonts w:hint="eastAsia" w:ascii="仿宋" w:hAnsi="仿宋" w:eastAsia="仿宋" w:cs="黑体"/>
          <w:bCs/>
        </w:rPr>
        <w:t>6.配合区委有关部门抓好区直机关领导班子思想政治建设，参与对党员领导干部民主生活会和区直机关各部门党组（党委）理论学习中心组学习的督促检查和指导，了解掌握情况，按规定报送情况报告。</w:t>
      </w:r>
    </w:p>
    <w:p>
      <w:pPr>
        <w:pStyle w:val="3"/>
        <w:tabs>
          <w:tab w:val="right" w:leader="dot" w:pos="8425"/>
        </w:tabs>
        <w:spacing w:line="640" w:lineRule="exact"/>
        <w:ind w:left="0" w:firstLine="640" w:firstLineChars="200"/>
        <w:contextualSpacing/>
        <w:jc w:val="left"/>
        <w:outlineLvl w:val="1"/>
        <w:rPr>
          <w:rFonts w:hint="eastAsia" w:ascii="仿宋" w:hAnsi="仿宋" w:eastAsia="仿宋" w:cs="黑体"/>
          <w:bCs/>
        </w:rPr>
      </w:pPr>
      <w:r>
        <w:rPr>
          <w:rFonts w:hint="eastAsia" w:ascii="仿宋" w:hAnsi="仿宋" w:eastAsia="仿宋" w:cs="黑体"/>
          <w:bCs/>
        </w:rPr>
        <w:t>7.督促指导区直机关各部门基层党组织按期换届，审批关于召开党员大会或党员代表大会的请示，负责对区直机关各部门机关党组织书记、副书记、委员的任免。指导区直机关各级党组织加强基层组织建设，做好党员发展、教育和管理等工作。培训轮训区直机关党务干部。</w:t>
      </w:r>
    </w:p>
    <w:p>
      <w:pPr>
        <w:pStyle w:val="3"/>
        <w:tabs>
          <w:tab w:val="right" w:leader="dot" w:pos="8425"/>
        </w:tabs>
        <w:spacing w:line="640" w:lineRule="exact"/>
        <w:ind w:left="0" w:firstLine="640" w:firstLineChars="200"/>
        <w:contextualSpacing/>
        <w:jc w:val="left"/>
        <w:outlineLvl w:val="1"/>
        <w:rPr>
          <w:rFonts w:hint="eastAsia" w:ascii="仿宋" w:hAnsi="仿宋" w:eastAsia="仿宋" w:cs="黑体"/>
          <w:bCs/>
        </w:rPr>
      </w:pPr>
      <w:r>
        <w:rPr>
          <w:rFonts w:hint="eastAsia" w:ascii="仿宋" w:hAnsi="仿宋" w:eastAsia="仿宋" w:cs="黑体"/>
          <w:bCs/>
        </w:rPr>
        <w:t>8.指导区直机关各部门机关党的纪律检查工作。</w:t>
      </w:r>
    </w:p>
    <w:p>
      <w:pPr>
        <w:pStyle w:val="3"/>
        <w:tabs>
          <w:tab w:val="right" w:leader="dot" w:pos="8425"/>
        </w:tabs>
        <w:spacing w:line="640" w:lineRule="exact"/>
        <w:ind w:left="0" w:firstLine="640" w:firstLineChars="200"/>
        <w:contextualSpacing/>
        <w:jc w:val="left"/>
        <w:outlineLvl w:val="1"/>
        <w:rPr>
          <w:rFonts w:hint="eastAsia" w:ascii="仿宋" w:hAnsi="仿宋" w:eastAsia="仿宋" w:cs="黑体"/>
          <w:bCs/>
        </w:rPr>
      </w:pPr>
      <w:r>
        <w:rPr>
          <w:rFonts w:hint="eastAsia" w:ascii="仿宋" w:hAnsi="仿宋" w:eastAsia="仿宋" w:cs="黑体"/>
          <w:bCs/>
        </w:rPr>
        <w:t>9.了解掌握区直机关工作人员的思想状况，指导区直机关各级党组织加强思想政治工作和精神文明建设。</w:t>
      </w:r>
    </w:p>
    <w:p>
      <w:pPr>
        <w:pStyle w:val="3"/>
        <w:tabs>
          <w:tab w:val="right" w:leader="dot" w:pos="8425"/>
        </w:tabs>
        <w:spacing w:line="640" w:lineRule="exact"/>
        <w:ind w:left="0" w:firstLine="640" w:firstLineChars="200"/>
        <w:contextualSpacing/>
        <w:jc w:val="left"/>
        <w:outlineLvl w:val="1"/>
        <w:rPr>
          <w:rFonts w:hint="eastAsia" w:ascii="仿宋" w:hAnsi="仿宋" w:eastAsia="仿宋" w:cs="黑体"/>
          <w:bCs/>
        </w:rPr>
      </w:pPr>
      <w:r>
        <w:rPr>
          <w:rFonts w:hint="eastAsia" w:ascii="仿宋" w:hAnsi="仿宋" w:eastAsia="仿宋" w:cs="黑体"/>
          <w:bCs/>
        </w:rPr>
        <w:t>10.指导区直机关工会、共青团、妇委会等群团组织的工作，指导区直机关各级党组织做好党的群众工作和统战工作。</w:t>
      </w:r>
    </w:p>
    <w:p>
      <w:pPr>
        <w:pStyle w:val="3"/>
        <w:tabs>
          <w:tab w:val="right" w:leader="dot" w:pos="8425"/>
        </w:tabs>
        <w:spacing w:line="640" w:lineRule="exact"/>
        <w:ind w:left="0" w:firstLine="640" w:firstLineChars="200"/>
        <w:contextualSpacing/>
        <w:jc w:val="left"/>
        <w:outlineLvl w:val="1"/>
        <w:rPr>
          <w:rFonts w:hint="eastAsia" w:ascii="仿宋" w:hAnsi="仿宋" w:eastAsia="仿宋" w:cs="黑体"/>
          <w:bCs/>
        </w:rPr>
      </w:pPr>
      <w:r>
        <w:rPr>
          <w:rFonts w:hint="eastAsia" w:ascii="仿宋" w:hAnsi="仿宋" w:eastAsia="仿宋" w:cs="黑体"/>
          <w:bCs/>
        </w:rPr>
        <w:t>11.完成区委交办的其他任务。</w:t>
      </w:r>
    </w:p>
    <w:p>
      <w:pPr>
        <w:pStyle w:val="3"/>
        <w:tabs>
          <w:tab w:val="right" w:leader="dot" w:pos="8425"/>
        </w:tabs>
        <w:spacing w:line="640" w:lineRule="exact"/>
        <w:ind w:left="0" w:firstLine="643" w:firstLineChars="200"/>
        <w:contextualSpacing/>
        <w:jc w:val="left"/>
        <w:outlineLvl w:val="1"/>
        <w:rPr>
          <w:rFonts w:ascii="仿宋" w:hAnsi="仿宋" w:eastAsia="仿宋" w:cs="仿宋"/>
          <w:b/>
        </w:rPr>
      </w:pPr>
      <w:r>
        <w:rPr>
          <w:rFonts w:hint="eastAsia" w:ascii="仿宋" w:hAnsi="仿宋" w:eastAsia="仿宋" w:cs="黑体"/>
          <w:b/>
          <w:bCs/>
        </w:rPr>
        <w:t>二、机构设置及编制情况</w:t>
      </w:r>
      <w:bookmarkEnd w:id="2"/>
    </w:p>
    <w:p>
      <w:pPr>
        <w:pStyle w:val="3"/>
        <w:tabs>
          <w:tab w:val="right" w:leader="dot" w:pos="8425"/>
        </w:tabs>
        <w:spacing w:line="640" w:lineRule="exact"/>
        <w:ind w:left="0" w:firstLineChars="200"/>
        <w:contextualSpacing/>
        <w:jc w:val="left"/>
        <w:rPr>
          <w:rFonts w:hint="eastAsia" w:ascii="仿宋" w:hAnsi="仿宋" w:eastAsia="仿宋" w:cs="楷体"/>
          <w:lang w:val="en-US" w:eastAsia="zh-CN"/>
        </w:rPr>
      </w:pPr>
      <w:r>
        <w:rPr>
          <w:rFonts w:hint="eastAsia" w:ascii="仿宋" w:hAnsi="仿宋" w:eastAsia="仿宋" w:cs="楷体"/>
          <w:lang w:val="en-US" w:eastAsia="zh-CN"/>
        </w:rPr>
        <w:t>1、办公室：负责文电、会务、机要、档案、文稿起草等机关日常运转和综合协调工作。承担信息、安全、保密、新闻宣传等工作。承担机关财务、资产管理、内部审计等工作。</w:t>
      </w:r>
    </w:p>
    <w:p>
      <w:pPr>
        <w:pStyle w:val="3"/>
        <w:tabs>
          <w:tab w:val="right" w:leader="dot" w:pos="8425"/>
        </w:tabs>
        <w:spacing w:line="640" w:lineRule="exact"/>
        <w:ind w:left="0" w:firstLineChars="200"/>
        <w:contextualSpacing/>
        <w:jc w:val="left"/>
        <w:rPr>
          <w:rFonts w:hint="eastAsia" w:ascii="仿宋" w:hAnsi="仿宋" w:eastAsia="仿宋" w:cs="楷体"/>
          <w:lang w:val="en-US" w:eastAsia="zh-CN"/>
        </w:rPr>
      </w:pPr>
      <w:r>
        <w:rPr>
          <w:rFonts w:hint="eastAsia" w:ascii="仿宋" w:hAnsi="仿宋" w:eastAsia="仿宋" w:cs="楷体"/>
          <w:lang w:val="en-US" w:eastAsia="zh-CN"/>
        </w:rPr>
        <w:t>2、组织股：负责指导区直机关基层组织建设，提出和制定加强改进工作的意见、制度。对不同类型基层党组织实施分类指导，落实“三会一课”等党内生活制度，提升组织力。研究、指导党员发展、教育和管理工作，做好流动党员管理、党费管理。负责督促指导区直机关各部门基层党组织按期换届，负责直属机关党组织关于召开党员大会或者党员代表大会请示的报批工作，机关党组织书记、副书记、委员任免的报批工作。承担参加领导干部民主生活会督促检查和指导有关工作。承担有关党的代表大会和党代表会议代表的推选和报批工作。承担对区直机关各级党组织、党员领导干部落实党建责任制、遵守政治纪律和政治规矩情况的督查工作。承担对区直机关各部门党组（党委）和各级党组织落实机关党建重点工作、重要制度情况的督查工作。负责指导区直机关党组织做好团的工作、妇女工作、工会工作和统战工作。承担区委及区直工委交办的其他督查工作。</w:t>
      </w:r>
    </w:p>
    <w:p>
      <w:pPr>
        <w:pStyle w:val="3"/>
        <w:tabs>
          <w:tab w:val="right" w:leader="dot" w:pos="8425"/>
        </w:tabs>
        <w:spacing w:line="640" w:lineRule="exact"/>
        <w:ind w:left="0" w:firstLineChars="200"/>
        <w:contextualSpacing/>
        <w:jc w:val="left"/>
        <w:rPr>
          <w:rFonts w:hint="eastAsia" w:ascii="仿宋" w:hAnsi="仿宋" w:eastAsia="仿宋" w:cs="楷体"/>
          <w:lang w:val="en-US" w:eastAsia="zh-CN"/>
        </w:rPr>
      </w:pPr>
      <w:r>
        <w:rPr>
          <w:rFonts w:hint="eastAsia" w:ascii="仿宋" w:hAnsi="仿宋" w:eastAsia="仿宋" w:cs="楷体"/>
          <w:lang w:val="en-US" w:eastAsia="zh-CN"/>
        </w:rPr>
        <w:t>3、宣传股：负责指导区直机关党的宣传思想工作，指导各级党组织和党员干部学习党的理论和路线方针政策。督促检查和指导区直机关部门党组（党委）理论学习中心组学习。了解掌握意识形态工作责任制落实情况。了解掌握、分析研判干部职工思想动态。负责区直机关党建工作的调查研究，研究制定工作意见，提出加强和改进工作的措施。配合区委宣传部对区直机关及其所属单位文明创建工作进行检查验收、命名表彰，对申报市级、省级及全国文明单位的区直单位进行考核并提出推荐意见。</w:t>
      </w:r>
    </w:p>
    <w:p>
      <w:pPr>
        <w:pStyle w:val="3"/>
        <w:tabs>
          <w:tab w:val="right" w:leader="dot" w:pos="8425"/>
        </w:tabs>
        <w:spacing w:line="640" w:lineRule="exact"/>
        <w:ind w:left="0" w:firstLineChars="200"/>
        <w:contextualSpacing/>
        <w:jc w:val="left"/>
        <w:rPr>
          <w:rFonts w:hint="eastAsia" w:ascii="仿宋" w:hAnsi="仿宋" w:eastAsia="仿宋" w:cs="楷体"/>
          <w:lang w:val="en-US" w:eastAsia="zh-CN"/>
        </w:rPr>
      </w:pPr>
      <w:r>
        <w:rPr>
          <w:rFonts w:hint="eastAsia" w:ascii="仿宋" w:hAnsi="仿宋" w:eastAsia="仿宋" w:cs="楷体"/>
          <w:lang w:val="en-US" w:eastAsia="zh-CN"/>
        </w:rPr>
        <w:t>4、党员教育中心：负责指导区直机关党员教育、干部理论学习的规划、实施和检查监督工作；负责调查了解和反映区直机关党员和干部职工的思想动态；负责会同区有关部门指导区直机关干部职工的普法教育工作；负责区直机关入党积极分子的培训教育工作；完成区直机关工委交办的其他工作。</w:t>
      </w:r>
    </w:p>
    <w:p>
      <w:pPr>
        <w:pStyle w:val="3"/>
        <w:tabs>
          <w:tab w:val="right" w:leader="dot" w:pos="8425"/>
        </w:tabs>
        <w:spacing w:line="640" w:lineRule="exact"/>
        <w:ind w:left="0" w:firstLineChars="200"/>
        <w:contextualSpacing/>
        <w:jc w:val="left"/>
        <w:rPr>
          <w:rFonts w:hint="eastAsia" w:ascii="仿宋" w:hAnsi="仿宋" w:eastAsia="仿宋" w:cs="楷体"/>
          <w:lang w:val="en-US" w:eastAsia="zh-CN"/>
        </w:rPr>
      </w:pPr>
      <w:r>
        <w:rPr>
          <w:rFonts w:hint="eastAsia" w:ascii="仿宋" w:hAnsi="仿宋" w:eastAsia="仿宋" w:cs="楷体"/>
          <w:lang w:val="en-US" w:eastAsia="zh-CN"/>
        </w:rPr>
        <w:t>（三）部门预算单位构成</w:t>
      </w:r>
    </w:p>
    <w:p>
      <w:pPr>
        <w:pStyle w:val="3"/>
        <w:tabs>
          <w:tab w:val="right" w:leader="dot" w:pos="8425"/>
        </w:tabs>
        <w:spacing w:line="640" w:lineRule="exact"/>
        <w:ind w:left="0" w:firstLineChars="200"/>
        <w:contextualSpacing/>
        <w:jc w:val="left"/>
        <w:rPr>
          <w:rFonts w:ascii="仿宋" w:hAnsi="仿宋" w:eastAsia="仿宋" w:cs="楷体"/>
        </w:rPr>
      </w:pPr>
      <w:r>
        <w:rPr>
          <w:rFonts w:hint="eastAsia" w:ascii="仿宋" w:hAnsi="仿宋" w:eastAsia="仿宋" w:cs="楷体"/>
          <w:lang w:val="en-US" w:eastAsia="zh-CN"/>
        </w:rPr>
        <w:t>朔州市平鲁区直属机关工作委员会是区行政机关，现有编人数4人，（党员4人），其中正科1人，职级并行副科3人。</w:t>
      </w:r>
    </w:p>
    <w:p>
      <w:pPr>
        <w:tabs>
          <w:tab w:val="right" w:leader="dot" w:pos="8427"/>
        </w:tabs>
        <w:spacing w:before="214" w:line="640" w:lineRule="exact"/>
        <w:ind w:firstLine="643" w:firstLineChars="200"/>
        <w:contextualSpacing/>
        <w:jc w:val="center"/>
        <w:outlineLvl w:val="0"/>
        <w:rPr>
          <w:rFonts w:ascii="仿宋" w:hAnsi="仿宋" w:eastAsia="仿宋"/>
          <w:b/>
          <w:sz w:val="32"/>
          <w:szCs w:val="32"/>
        </w:rPr>
      </w:pPr>
      <w:bookmarkStart w:id="3" w:name="_Toc5906"/>
      <w:r>
        <w:rPr>
          <w:rFonts w:hint="eastAsia" w:ascii="仿宋" w:hAnsi="仿宋" w:eastAsia="仿宋"/>
          <w:b/>
          <w:sz w:val="32"/>
          <w:szCs w:val="32"/>
        </w:rPr>
        <w:t>第二部分 2021 年度部门预算报表（见附表）</w:t>
      </w:r>
      <w:bookmarkEnd w:id="3"/>
    </w:p>
    <w:p>
      <w:pPr>
        <w:pStyle w:val="3"/>
        <w:tabs>
          <w:tab w:val="right" w:leader="dot" w:pos="8425"/>
        </w:tabs>
        <w:spacing w:line="640" w:lineRule="exact"/>
        <w:ind w:left="0" w:firstLineChars="200"/>
        <w:contextualSpacing/>
        <w:jc w:val="left"/>
        <w:outlineLvl w:val="1"/>
        <w:rPr>
          <w:rFonts w:ascii="仿宋" w:hAnsi="仿宋" w:eastAsia="仿宋" w:cs="仿宋"/>
        </w:rPr>
      </w:pPr>
      <w:bookmarkStart w:id="4" w:name="_Toc14229"/>
      <w:r>
        <w:rPr>
          <w:rFonts w:hint="eastAsia" w:ascii="仿宋" w:hAnsi="仿宋" w:eastAsia="仿宋" w:cs="仿宋"/>
        </w:rPr>
        <w:t>一、2021</w:t>
      </w:r>
      <w:r>
        <w:rPr>
          <w:rFonts w:hint="eastAsia" w:ascii="仿宋" w:hAnsi="仿宋" w:eastAsia="仿宋" w:cs="仿宋"/>
          <w:spacing w:val="-80"/>
        </w:rPr>
        <w:t xml:space="preserve"> </w:t>
      </w:r>
      <w:r>
        <w:rPr>
          <w:rFonts w:hint="eastAsia" w:ascii="仿宋" w:hAnsi="仿宋" w:eastAsia="仿宋" w:cs="仿宋"/>
        </w:rPr>
        <w:t>年预算收支总表</w:t>
      </w:r>
      <w:bookmarkEnd w:id="4"/>
    </w:p>
    <w:p>
      <w:pPr>
        <w:pStyle w:val="3"/>
        <w:tabs>
          <w:tab w:val="right" w:leader="dot" w:pos="8425"/>
        </w:tabs>
        <w:spacing w:line="640" w:lineRule="exact"/>
        <w:ind w:left="0" w:firstLineChars="200"/>
        <w:contextualSpacing/>
        <w:jc w:val="left"/>
        <w:outlineLvl w:val="1"/>
        <w:rPr>
          <w:rFonts w:ascii="仿宋" w:hAnsi="仿宋" w:eastAsia="仿宋" w:cs="仿宋"/>
        </w:rPr>
      </w:pPr>
      <w:bookmarkStart w:id="5" w:name="_Toc6618"/>
      <w:r>
        <w:rPr>
          <w:rFonts w:hint="eastAsia" w:ascii="仿宋" w:hAnsi="仿宋" w:eastAsia="仿宋" w:cs="仿宋"/>
        </w:rPr>
        <w:t>二、2021</w:t>
      </w:r>
      <w:r>
        <w:rPr>
          <w:rFonts w:hint="eastAsia" w:ascii="仿宋" w:hAnsi="仿宋" w:eastAsia="仿宋" w:cs="仿宋"/>
          <w:spacing w:val="-80"/>
        </w:rPr>
        <w:t xml:space="preserve"> </w:t>
      </w:r>
      <w:r>
        <w:rPr>
          <w:rFonts w:hint="eastAsia" w:ascii="仿宋" w:hAnsi="仿宋" w:eastAsia="仿宋" w:cs="仿宋"/>
        </w:rPr>
        <w:t>年预算收入总表</w:t>
      </w:r>
      <w:bookmarkEnd w:id="5"/>
    </w:p>
    <w:p>
      <w:pPr>
        <w:pStyle w:val="3"/>
        <w:tabs>
          <w:tab w:val="right" w:leader="dot" w:pos="8425"/>
        </w:tabs>
        <w:spacing w:line="640" w:lineRule="exact"/>
        <w:ind w:left="0" w:firstLineChars="200"/>
        <w:contextualSpacing/>
        <w:jc w:val="left"/>
        <w:outlineLvl w:val="1"/>
        <w:rPr>
          <w:rFonts w:ascii="仿宋" w:hAnsi="仿宋" w:eastAsia="仿宋" w:cs="仿宋"/>
        </w:rPr>
      </w:pPr>
      <w:bookmarkStart w:id="6" w:name="_Toc29195"/>
      <w:r>
        <w:rPr>
          <w:rFonts w:hint="eastAsia" w:ascii="仿宋" w:hAnsi="仿宋" w:eastAsia="仿宋" w:cs="仿宋"/>
        </w:rPr>
        <w:t>三、2021</w:t>
      </w:r>
      <w:r>
        <w:rPr>
          <w:rFonts w:hint="eastAsia" w:ascii="仿宋" w:hAnsi="仿宋" w:eastAsia="仿宋" w:cs="仿宋"/>
          <w:spacing w:val="-80"/>
        </w:rPr>
        <w:t xml:space="preserve"> </w:t>
      </w:r>
      <w:r>
        <w:rPr>
          <w:rFonts w:hint="eastAsia" w:ascii="仿宋" w:hAnsi="仿宋" w:eastAsia="仿宋" w:cs="仿宋"/>
        </w:rPr>
        <w:t>年预算支出总表</w:t>
      </w:r>
      <w:bookmarkEnd w:id="6"/>
    </w:p>
    <w:p>
      <w:pPr>
        <w:pStyle w:val="3"/>
        <w:tabs>
          <w:tab w:val="right" w:leader="dot" w:pos="8425"/>
        </w:tabs>
        <w:spacing w:line="640" w:lineRule="exact"/>
        <w:ind w:left="0" w:firstLineChars="200"/>
        <w:contextualSpacing/>
        <w:jc w:val="left"/>
        <w:outlineLvl w:val="1"/>
        <w:rPr>
          <w:rFonts w:ascii="仿宋" w:hAnsi="仿宋" w:eastAsia="仿宋" w:cs="仿宋"/>
        </w:rPr>
      </w:pPr>
      <w:bookmarkStart w:id="7" w:name="_Toc19750"/>
      <w:r>
        <w:rPr>
          <w:rFonts w:hint="eastAsia" w:ascii="仿宋" w:hAnsi="仿宋" w:eastAsia="仿宋" w:cs="仿宋"/>
        </w:rPr>
        <w:t>四、2021</w:t>
      </w:r>
      <w:r>
        <w:rPr>
          <w:rFonts w:hint="eastAsia" w:ascii="仿宋" w:hAnsi="仿宋" w:eastAsia="仿宋" w:cs="仿宋"/>
          <w:spacing w:val="-81"/>
        </w:rPr>
        <w:t xml:space="preserve"> </w:t>
      </w:r>
      <w:r>
        <w:rPr>
          <w:rFonts w:hint="eastAsia" w:ascii="仿宋" w:hAnsi="仿宋" w:eastAsia="仿宋" w:cs="仿宋"/>
        </w:rPr>
        <w:t>年财政拨款收支总表</w:t>
      </w:r>
      <w:bookmarkEnd w:id="7"/>
    </w:p>
    <w:p>
      <w:pPr>
        <w:pStyle w:val="3"/>
        <w:spacing w:line="640" w:lineRule="exact"/>
        <w:ind w:left="0" w:right="258" w:firstLine="600" w:firstLineChars="200"/>
        <w:contextualSpacing/>
        <w:jc w:val="left"/>
        <w:outlineLvl w:val="1"/>
        <w:rPr>
          <w:rFonts w:ascii="仿宋" w:hAnsi="仿宋" w:eastAsia="仿宋" w:cs="仿宋"/>
          <w:spacing w:val="-41"/>
        </w:rPr>
      </w:pPr>
      <w:bookmarkStart w:id="8" w:name="_Toc11961"/>
      <w:r>
        <w:rPr>
          <w:rFonts w:hint="eastAsia" w:ascii="仿宋" w:hAnsi="仿宋" w:eastAsia="仿宋" w:cs="仿宋"/>
          <w:spacing w:val="-10"/>
        </w:rPr>
        <w:t>五、</w:t>
      </w:r>
      <w:r>
        <w:rPr>
          <w:rFonts w:hint="eastAsia" w:ascii="仿宋" w:hAnsi="仿宋" w:eastAsia="仿宋" w:cs="仿宋"/>
        </w:rPr>
        <w:t>2021</w:t>
      </w:r>
      <w:r>
        <w:rPr>
          <w:rFonts w:hint="eastAsia" w:ascii="仿宋" w:hAnsi="仿宋" w:eastAsia="仿宋" w:cs="仿宋"/>
          <w:spacing w:val="-41"/>
        </w:rPr>
        <w:t xml:space="preserve"> 年一般公共预算支出预算表</w:t>
      </w:r>
      <w:bookmarkEnd w:id="8"/>
    </w:p>
    <w:p>
      <w:pPr>
        <w:pStyle w:val="3"/>
        <w:spacing w:line="640" w:lineRule="exact"/>
        <w:ind w:left="0" w:right="258" w:firstLine="600" w:firstLineChars="200"/>
        <w:contextualSpacing/>
        <w:jc w:val="left"/>
        <w:outlineLvl w:val="1"/>
        <w:rPr>
          <w:rFonts w:ascii="仿宋" w:hAnsi="仿宋" w:eastAsia="仿宋" w:cs="仿宋"/>
        </w:rPr>
      </w:pPr>
      <w:bookmarkStart w:id="9" w:name="_Toc6021"/>
      <w:r>
        <w:rPr>
          <w:rFonts w:hint="eastAsia" w:ascii="仿宋" w:hAnsi="仿宋" w:eastAsia="仿宋" w:cs="仿宋"/>
          <w:spacing w:val="-10"/>
        </w:rPr>
        <w:t>六、</w:t>
      </w:r>
      <w:r>
        <w:rPr>
          <w:rFonts w:hint="eastAsia" w:ascii="仿宋" w:hAnsi="仿宋" w:eastAsia="仿宋" w:cs="仿宋"/>
        </w:rPr>
        <w:t>2021</w:t>
      </w:r>
      <w:r>
        <w:rPr>
          <w:rFonts w:hint="eastAsia" w:ascii="仿宋" w:hAnsi="仿宋" w:eastAsia="仿宋" w:cs="仿宋"/>
          <w:spacing w:val="-10"/>
        </w:rPr>
        <w:t xml:space="preserve"> 年一般公共预算安排基本支出</w:t>
      </w:r>
      <w:r>
        <w:rPr>
          <w:rFonts w:hint="eastAsia" w:ascii="仿宋" w:hAnsi="仿宋" w:eastAsia="仿宋" w:cs="仿宋"/>
        </w:rPr>
        <w:t>分经济科目表</w:t>
      </w:r>
      <w:bookmarkEnd w:id="9"/>
    </w:p>
    <w:p>
      <w:pPr>
        <w:pStyle w:val="3"/>
        <w:spacing w:line="640" w:lineRule="exact"/>
        <w:ind w:left="0" w:firstLine="600" w:firstLineChars="200"/>
        <w:contextualSpacing/>
        <w:jc w:val="left"/>
        <w:outlineLvl w:val="1"/>
        <w:rPr>
          <w:rFonts w:ascii="仿宋" w:hAnsi="仿宋" w:eastAsia="仿宋" w:cs="仿宋"/>
          <w:spacing w:val="-10"/>
        </w:rPr>
      </w:pPr>
      <w:bookmarkStart w:id="10" w:name="_Toc16900"/>
      <w:r>
        <w:rPr>
          <w:rFonts w:hint="eastAsia" w:ascii="仿宋" w:hAnsi="仿宋" w:eastAsia="仿宋" w:cs="仿宋"/>
          <w:spacing w:val="-10"/>
        </w:rPr>
        <w:t>七、</w:t>
      </w:r>
      <w:r>
        <w:rPr>
          <w:rFonts w:hint="eastAsia" w:ascii="仿宋" w:hAnsi="仿宋" w:eastAsia="仿宋" w:cs="仿宋"/>
        </w:rPr>
        <w:t>2021</w:t>
      </w:r>
      <w:r>
        <w:rPr>
          <w:rFonts w:hint="eastAsia" w:ascii="仿宋" w:hAnsi="仿宋" w:eastAsia="仿宋" w:cs="仿宋"/>
          <w:spacing w:val="-10"/>
        </w:rPr>
        <w:t xml:space="preserve"> 年政府性基金收入预算表</w:t>
      </w:r>
      <w:bookmarkEnd w:id="10"/>
    </w:p>
    <w:p>
      <w:pPr>
        <w:pStyle w:val="3"/>
        <w:spacing w:line="640" w:lineRule="exact"/>
        <w:ind w:left="0" w:firstLine="600" w:firstLineChars="200"/>
        <w:contextualSpacing/>
        <w:jc w:val="left"/>
        <w:outlineLvl w:val="1"/>
        <w:rPr>
          <w:rFonts w:ascii="仿宋" w:hAnsi="仿宋" w:eastAsia="仿宋" w:cs="仿宋"/>
          <w:spacing w:val="-10"/>
        </w:rPr>
      </w:pPr>
      <w:bookmarkStart w:id="11" w:name="_Toc11152"/>
      <w:r>
        <w:rPr>
          <w:rFonts w:hint="eastAsia" w:ascii="仿宋" w:hAnsi="仿宋" w:eastAsia="仿宋" w:cs="仿宋"/>
          <w:spacing w:val="-10"/>
        </w:rPr>
        <w:t>八、</w:t>
      </w:r>
      <w:r>
        <w:rPr>
          <w:rFonts w:hint="eastAsia" w:ascii="仿宋" w:hAnsi="仿宋" w:eastAsia="仿宋" w:cs="仿宋"/>
        </w:rPr>
        <w:t>2021</w:t>
      </w:r>
      <w:r>
        <w:rPr>
          <w:rFonts w:hint="eastAsia" w:ascii="仿宋" w:hAnsi="仿宋" w:eastAsia="仿宋" w:cs="仿宋"/>
          <w:spacing w:val="-10"/>
        </w:rPr>
        <w:t xml:space="preserve"> 年政府性基金支出预算表</w:t>
      </w:r>
      <w:bookmarkEnd w:id="11"/>
    </w:p>
    <w:p>
      <w:pPr>
        <w:pStyle w:val="3"/>
        <w:spacing w:line="640" w:lineRule="exact"/>
        <w:ind w:left="0" w:firstLine="600" w:firstLineChars="200"/>
        <w:contextualSpacing/>
        <w:jc w:val="left"/>
        <w:outlineLvl w:val="1"/>
        <w:rPr>
          <w:rFonts w:ascii="仿宋" w:hAnsi="仿宋" w:eastAsia="仿宋" w:cs="仿宋"/>
        </w:rPr>
      </w:pPr>
      <w:bookmarkStart w:id="12" w:name="_Toc11457"/>
      <w:r>
        <w:rPr>
          <w:rFonts w:hint="eastAsia" w:ascii="仿宋" w:hAnsi="仿宋" w:eastAsia="仿宋" w:cs="仿宋"/>
          <w:spacing w:val="-10"/>
        </w:rPr>
        <w:t>九、</w:t>
      </w:r>
      <w:r>
        <w:rPr>
          <w:rFonts w:hint="eastAsia" w:ascii="仿宋" w:hAnsi="仿宋" w:eastAsia="仿宋" w:cs="仿宋"/>
        </w:rPr>
        <w:t>2021</w:t>
      </w:r>
      <w:r>
        <w:rPr>
          <w:rFonts w:hint="eastAsia" w:ascii="仿宋" w:hAnsi="仿宋" w:eastAsia="仿宋" w:cs="仿宋"/>
          <w:spacing w:val="-10"/>
        </w:rPr>
        <w:t xml:space="preserve"> 年“三公”经费预算财政拨款</w:t>
      </w:r>
      <w:r>
        <w:rPr>
          <w:rFonts w:hint="eastAsia" w:ascii="仿宋" w:hAnsi="仿宋" w:eastAsia="仿宋" w:cs="仿宋"/>
        </w:rPr>
        <w:t>情况统计表</w:t>
      </w:r>
      <w:bookmarkEnd w:id="12"/>
    </w:p>
    <w:p>
      <w:pPr>
        <w:pStyle w:val="3"/>
        <w:spacing w:line="640" w:lineRule="exact"/>
        <w:ind w:left="0" w:firstLineChars="200"/>
        <w:contextualSpacing/>
        <w:jc w:val="left"/>
        <w:outlineLvl w:val="1"/>
        <w:rPr>
          <w:rFonts w:ascii="仿宋" w:hAnsi="仿宋" w:eastAsia="仿宋" w:cs="仿宋"/>
        </w:rPr>
      </w:pPr>
      <w:bookmarkStart w:id="13" w:name="_Toc17634"/>
      <w:r>
        <w:rPr>
          <w:rFonts w:hint="eastAsia" w:ascii="仿宋" w:hAnsi="仿宋" w:eastAsia="仿宋" w:cs="仿宋"/>
        </w:rPr>
        <w:t>十、2021</w:t>
      </w:r>
      <w:r>
        <w:rPr>
          <w:rFonts w:hint="eastAsia" w:ascii="仿宋" w:hAnsi="仿宋" w:eastAsia="仿宋" w:cs="仿宋"/>
          <w:spacing w:val="-85"/>
        </w:rPr>
        <w:t xml:space="preserve"> </w:t>
      </w:r>
      <w:r>
        <w:rPr>
          <w:rFonts w:hint="eastAsia" w:ascii="仿宋" w:hAnsi="仿宋" w:eastAsia="仿宋" w:cs="仿宋"/>
        </w:rPr>
        <w:t>年机关运行经费预算财政拨款情况统计表</w:t>
      </w:r>
      <w:bookmarkEnd w:id="13"/>
    </w:p>
    <w:p>
      <w:pPr>
        <w:tabs>
          <w:tab w:val="left" w:leader="dot" w:pos="8111"/>
        </w:tabs>
        <w:spacing w:before="1" w:line="640" w:lineRule="exact"/>
        <w:contextualSpacing/>
        <w:jc w:val="center"/>
        <w:rPr>
          <w:rFonts w:ascii="仿宋" w:hAnsi="仿宋" w:eastAsia="仿宋" w:cs="仿宋"/>
          <w:sz w:val="32"/>
          <w:szCs w:val="32"/>
        </w:rPr>
      </w:pPr>
    </w:p>
    <w:p>
      <w:pPr>
        <w:tabs>
          <w:tab w:val="right" w:leader="dot" w:pos="8427"/>
        </w:tabs>
        <w:spacing w:before="214" w:line="640" w:lineRule="exact"/>
        <w:contextualSpacing/>
        <w:jc w:val="center"/>
        <w:outlineLvl w:val="0"/>
        <w:rPr>
          <w:rFonts w:ascii="仿宋" w:hAnsi="仿宋" w:eastAsia="仿宋"/>
          <w:b/>
          <w:sz w:val="32"/>
          <w:szCs w:val="32"/>
        </w:rPr>
      </w:pPr>
      <w:bookmarkStart w:id="14" w:name="_Toc27086"/>
      <w:r>
        <w:rPr>
          <w:rFonts w:hint="eastAsia" w:ascii="仿宋" w:hAnsi="仿宋" w:eastAsia="仿宋"/>
          <w:b/>
          <w:sz w:val="32"/>
          <w:szCs w:val="32"/>
        </w:rPr>
        <w:t>第三部分 2021 年度部门预算情况说明</w:t>
      </w:r>
      <w:bookmarkEnd w:id="14"/>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15" w:name="_Toc12747"/>
      <w:r>
        <w:rPr>
          <w:rFonts w:hint="eastAsia" w:ascii="仿宋" w:hAnsi="仿宋" w:eastAsia="仿宋" w:cs="黑体"/>
          <w:b/>
          <w:bCs/>
        </w:rPr>
        <w:t>一、2021 年度部门预算数据变动情况及原因</w:t>
      </w:r>
      <w:bookmarkEnd w:id="15"/>
    </w:p>
    <w:p>
      <w:pPr>
        <w:pStyle w:val="3"/>
        <w:tabs>
          <w:tab w:val="left" w:leader="dot" w:pos="8104"/>
        </w:tabs>
        <w:spacing w:line="640" w:lineRule="exact"/>
        <w:ind w:left="0" w:firstLineChars="200"/>
        <w:contextualSpacing/>
        <w:jc w:val="left"/>
        <w:rPr>
          <w:rFonts w:hint="default" w:ascii="仿宋" w:hAnsi="仿宋" w:eastAsia="仿宋" w:cs="仿宋"/>
          <w:lang w:val="en-US" w:eastAsia="zh-CN"/>
        </w:rPr>
      </w:pPr>
      <w:r>
        <w:rPr>
          <w:rFonts w:hint="eastAsia" w:ascii="仿宋" w:hAnsi="仿宋" w:eastAsia="仿宋" w:cs="仿宋"/>
        </w:rPr>
        <w:t>2021年收入预算</w:t>
      </w:r>
      <w:r>
        <w:rPr>
          <w:rFonts w:hint="eastAsia" w:ascii="仿宋" w:hAnsi="仿宋" w:eastAsia="仿宋" w:cs="仿宋"/>
          <w:lang w:val="en-US" w:eastAsia="zh-CN"/>
        </w:rPr>
        <w:t>59.70</w:t>
      </w:r>
      <w:r>
        <w:rPr>
          <w:rFonts w:hint="eastAsia" w:ascii="仿宋" w:hAnsi="仿宋" w:eastAsia="仿宋" w:cs="仿宋"/>
        </w:rPr>
        <w:t>万元，支出预算</w:t>
      </w:r>
      <w:r>
        <w:rPr>
          <w:rFonts w:hint="eastAsia" w:ascii="仿宋" w:hAnsi="仿宋" w:eastAsia="仿宋" w:cs="仿宋"/>
          <w:lang w:val="en-US" w:eastAsia="zh-CN"/>
        </w:rPr>
        <w:t>59.7</w:t>
      </w:r>
      <w:r>
        <w:rPr>
          <w:rFonts w:hint="eastAsia" w:ascii="仿宋" w:hAnsi="仿宋" w:eastAsia="仿宋" w:cs="仿宋"/>
        </w:rPr>
        <w:t>万元，其中:</w:t>
      </w:r>
      <w:r>
        <w:rPr>
          <w:rFonts w:hint="eastAsia" w:ascii="仿宋" w:hAnsi="仿宋" w:eastAsia="仿宋" w:cs="仿宋"/>
          <w:lang w:eastAsia="zh-CN"/>
        </w:rPr>
        <w:t>一般公共服务支出</w:t>
      </w:r>
      <w:r>
        <w:rPr>
          <w:rFonts w:hint="eastAsia" w:ascii="仿宋" w:hAnsi="仿宋" w:eastAsia="仿宋" w:cs="仿宋"/>
          <w:lang w:val="en-US" w:eastAsia="zh-CN"/>
        </w:rPr>
        <w:t>56万元；</w:t>
      </w:r>
      <w:r>
        <w:rPr>
          <w:rFonts w:hint="eastAsia" w:ascii="仿宋" w:hAnsi="仿宋" w:eastAsia="仿宋" w:cs="仿宋"/>
        </w:rPr>
        <w:t>住房保障支出</w:t>
      </w:r>
      <w:r>
        <w:rPr>
          <w:rFonts w:hint="eastAsia" w:ascii="仿宋" w:hAnsi="仿宋" w:eastAsia="仿宋" w:cs="仿宋"/>
          <w:lang w:val="en-US" w:eastAsia="zh-CN"/>
        </w:rPr>
        <w:t>3.70</w:t>
      </w:r>
      <w:r>
        <w:rPr>
          <w:rFonts w:hint="eastAsia" w:ascii="仿宋" w:hAnsi="仿宋" w:eastAsia="仿宋" w:cs="仿宋"/>
        </w:rPr>
        <w:t>万元。2021年预算较2020年</w:t>
      </w:r>
      <w:r>
        <w:rPr>
          <w:rFonts w:hint="eastAsia" w:ascii="仿宋" w:hAnsi="仿宋" w:eastAsia="仿宋" w:cs="仿宋"/>
          <w:lang w:val="en-US" w:eastAsia="zh-CN"/>
        </w:rPr>
        <w:t>增加15.67</w:t>
      </w:r>
      <w:r>
        <w:rPr>
          <w:rFonts w:hint="eastAsia" w:ascii="仿宋" w:hAnsi="仿宋" w:eastAsia="仿宋" w:cs="仿宋"/>
        </w:rPr>
        <w:t>万元，主要原因:</w:t>
      </w:r>
      <w:r>
        <w:rPr>
          <w:rFonts w:hint="eastAsia" w:ascii="仿宋" w:hAnsi="仿宋" w:eastAsia="仿宋" w:cs="仿宋"/>
          <w:lang w:val="en-US" w:eastAsia="zh-CN"/>
        </w:rPr>
        <w:t>项目经费支出增加。</w:t>
      </w:r>
    </w:p>
    <w:p>
      <w:pPr>
        <w:pStyle w:val="3"/>
        <w:tabs>
          <w:tab w:val="left" w:leader="dot" w:pos="8104"/>
        </w:tabs>
        <w:spacing w:line="640" w:lineRule="exact"/>
        <w:ind w:left="0" w:firstLineChars="200"/>
        <w:contextualSpacing/>
        <w:rPr>
          <w:rFonts w:ascii="仿宋" w:hAnsi="仿宋" w:eastAsia="仿宋" w:cs="仿宋"/>
          <w:color w:val="auto"/>
        </w:rPr>
      </w:pPr>
      <w:r>
        <w:rPr>
          <w:rFonts w:hint="eastAsia" w:ascii="仿宋" w:hAnsi="仿宋" w:eastAsia="仿宋"/>
          <w:color w:val="auto"/>
        </w:rPr>
        <w:t>政府性基金预算</w:t>
      </w:r>
      <w:r>
        <w:rPr>
          <w:rFonts w:hint="eastAsia" w:ascii="仿宋" w:hAnsi="仿宋" w:eastAsia="仿宋"/>
          <w:color w:val="auto"/>
          <w:lang w:val="en-US" w:eastAsia="zh-CN"/>
        </w:rPr>
        <w:t>0</w:t>
      </w:r>
      <w:r>
        <w:rPr>
          <w:rFonts w:hint="eastAsia" w:ascii="仿宋" w:hAnsi="仿宋" w:eastAsia="仿宋"/>
          <w:color w:val="auto"/>
        </w:rPr>
        <w:t>万元，其中</w:t>
      </w:r>
      <w:r>
        <w:rPr>
          <w:rFonts w:hint="eastAsia" w:ascii="仿宋" w:hAnsi="仿宋" w:eastAsia="仿宋"/>
          <w:color w:val="auto"/>
          <w:lang w:val="en-US" w:eastAsia="zh-CN"/>
        </w:rPr>
        <w:t>0</w:t>
      </w:r>
      <w:r>
        <w:rPr>
          <w:rFonts w:hint="eastAsia" w:ascii="仿宋" w:hAnsi="仿宋" w:eastAsia="仿宋"/>
          <w:color w:val="auto"/>
        </w:rPr>
        <w:t xml:space="preserve">支出 </w:t>
      </w:r>
      <w:r>
        <w:rPr>
          <w:rFonts w:ascii="仿宋" w:hAnsi="仿宋" w:eastAsia="仿宋"/>
          <w:color w:val="auto"/>
        </w:rPr>
        <w:t>万元；住房保障支出</w:t>
      </w:r>
      <w:r>
        <w:rPr>
          <w:rFonts w:hint="eastAsia" w:ascii="仿宋" w:hAnsi="仿宋" w:eastAsia="仿宋"/>
          <w:color w:val="auto"/>
        </w:rPr>
        <w:t xml:space="preserve">  </w:t>
      </w:r>
      <w:r>
        <w:rPr>
          <w:rFonts w:hint="eastAsia" w:ascii="仿宋" w:hAnsi="仿宋" w:eastAsia="仿宋"/>
          <w:color w:val="auto"/>
          <w:lang w:val="en-US" w:eastAsia="zh-CN"/>
        </w:rPr>
        <w:t>0</w:t>
      </w:r>
      <w:r>
        <w:rPr>
          <w:rFonts w:ascii="仿宋" w:hAnsi="仿宋" w:eastAsia="仿宋"/>
          <w:color w:val="auto"/>
        </w:rPr>
        <w:t>万元。</w:t>
      </w:r>
      <w:bookmarkStart w:id="16" w:name="_Toc31108"/>
    </w:p>
    <w:p>
      <w:pPr>
        <w:pStyle w:val="3"/>
        <w:tabs>
          <w:tab w:val="right" w:leader="dot" w:pos="8425"/>
        </w:tabs>
        <w:spacing w:line="640" w:lineRule="exact"/>
        <w:ind w:left="0" w:firstLine="643" w:firstLineChars="200"/>
        <w:contextualSpacing/>
        <w:jc w:val="left"/>
        <w:outlineLvl w:val="1"/>
        <w:rPr>
          <w:rFonts w:ascii="仿宋" w:hAnsi="仿宋" w:eastAsia="仿宋" w:cs="黑体"/>
          <w:b/>
          <w:bCs/>
          <w:color w:val="auto"/>
        </w:rPr>
      </w:pPr>
      <w:r>
        <w:rPr>
          <w:rFonts w:hint="eastAsia" w:ascii="仿宋" w:hAnsi="仿宋" w:eastAsia="仿宋" w:cs="黑体"/>
          <w:b/>
          <w:bCs/>
          <w:color w:val="auto"/>
        </w:rPr>
        <w:t>二、“三公”经费增减变动原因说明</w:t>
      </w:r>
      <w:bookmarkEnd w:id="16"/>
    </w:p>
    <w:p>
      <w:pPr>
        <w:pStyle w:val="3"/>
        <w:tabs>
          <w:tab w:val="right" w:leader="dot" w:pos="8425"/>
        </w:tabs>
        <w:spacing w:line="640" w:lineRule="exact"/>
        <w:ind w:left="0" w:firstLineChars="200"/>
        <w:contextualSpacing/>
        <w:jc w:val="left"/>
        <w:outlineLvl w:val="1"/>
        <w:rPr>
          <w:rFonts w:hint="default" w:ascii="仿宋" w:hAnsi="仿宋" w:eastAsia="仿宋"/>
          <w:lang w:val="en-US" w:eastAsia="zh-CN"/>
        </w:rPr>
      </w:pPr>
      <w:bookmarkStart w:id="17" w:name="_Toc14203"/>
      <w:r>
        <w:rPr>
          <w:rFonts w:hint="eastAsia" w:ascii="仿宋" w:hAnsi="仿宋" w:eastAsia="仿宋"/>
        </w:rPr>
        <w:t>2</w:t>
      </w:r>
      <w:r>
        <w:rPr>
          <w:rFonts w:ascii="仿宋" w:hAnsi="仿宋" w:eastAsia="仿宋"/>
        </w:rPr>
        <w:t>021年一般公共预算安排的“三公”经费预算</w:t>
      </w:r>
      <w:r>
        <w:rPr>
          <w:rFonts w:hint="eastAsia" w:ascii="仿宋" w:hAnsi="仿宋" w:eastAsia="仿宋"/>
          <w:lang w:val="en-US" w:eastAsia="zh-CN"/>
        </w:rPr>
        <w:t>0</w:t>
      </w:r>
      <w:r>
        <w:rPr>
          <w:rFonts w:ascii="仿宋" w:hAnsi="仿宋" w:eastAsia="仿宋"/>
        </w:rPr>
        <w:t>万</w:t>
      </w:r>
      <w:r>
        <w:rPr>
          <w:rFonts w:hint="eastAsia" w:ascii="仿宋" w:hAnsi="仿宋" w:eastAsia="仿宋"/>
        </w:rPr>
        <w:t>元，较</w:t>
      </w:r>
      <w:r>
        <w:rPr>
          <w:rFonts w:ascii="仿宋" w:hAnsi="仿宋" w:eastAsia="仿宋"/>
        </w:rPr>
        <w:t>2020年减少</w:t>
      </w:r>
      <w:r>
        <w:rPr>
          <w:rFonts w:hint="eastAsia" w:ascii="仿宋" w:hAnsi="仿宋" w:eastAsia="仿宋"/>
          <w:lang w:val="en-US" w:eastAsia="zh-CN"/>
        </w:rPr>
        <w:t>0</w:t>
      </w:r>
      <w:r>
        <w:rPr>
          <w:rFonts w:ascii="仿宋" w:hAnsi="仿宋" w:eastAsia="仿宋"/>
        </w:rPr>
        <w:t>万元。其中：因公出国（境）费用</w:t>
      </w:r>
      <w:r>
        <w:rPr>
          <w:rFonts w:hint="eastAsia" w:ascii="仿宋" w:hAnsi="仿宋" w:eastAsia="仿宋"/>
        </w:rPr>
        <w:t>为</w:t>
      </w:r>
      <w:r>
        <w:rPr>
          <w:rFonts w:ascii="仿宋" w:hAnsi="仿宋" w:eastAsia="仿宋"/>
        </w:rPr>
        <w:t>0万元，与上年相同；公务接待费0万元, 较2020年减</w:t>
      </w:r>
      <w:r>
        <w:rPr>
          <w:rFonts w:hint="eastAsia" w:ascii="仿宋" w:hAnsi="仿宋" w:eastAsia="仿宋"/>
        </w:rPr>
        <w:t>少</w:t>
      </w:r>
      <w:r>
        <w:rPr>
          <w:rFonts w:hint="eastAsia" w:ascii="仿宋" w:hAnsi="仿宋" w:eastAsia="仿宋"/>
          <w:lang w:val="en-US" w:eastAsia="zh-CN"/>
        </w:rPr>
        <w:t>0</w:t>
      </w:r>
      <w:r>
        <w:rPr>
          <w:rFonts w:ascii="仿宋" w:hAnsi="仿宋" w:eastAsia="仿宋"/>
        </w:rPr>
        <w:t>万元；公务用车运行维护费</w:t>
      </w:r>
      <w:r>
        <w:rPr>
          <w:rFonts w:hint="eastAsia" w:ascii="仿宋" w:hAnsi="仿宋" w:eastAsia="仿宋"/>
          <w:lang w:val="en-US" w:eastAsia="zh-CN"/>
        </w:rPr>
        <w:t>0</w:t>
      </w:r>
      <w:r>
        <w:rPr>
          <w:rFonts w:ascii="仿宋" w:hAnsi="仿宋" w:eastAsia="仿宋"/>
        </w:rPr>
        <w:t>万元，较2020年减少</w:t>
      </w:r>
      <w:r>
        <w:rPr>
          <w:rFonts w:hint="eastAsia" w:ascii="仿宋" w:hAnsi="仿宋" w:eastAsia="仿宋"/>
          <w:lang w:val="en-US" w:eastAsia="zh-CN"/>
        </w:rPr>
        <w:t>0</w:t>
      </w:r>
      <w:r>
        <w:rPr>
          <w:rFonts w:ascii="仿宋" w:hAnsi="仿宋" w:eastAsia="仿宋"/>
        </w:rPr>
        <w:t>万元；公务用车购置费0万元，与上年相同。主要原因:</w:t>
      </w:r>
      <w:r>
        <w:rPr>
          <w:rFonts w:hint="eastAsia" w:ascii="仿宋" w:hAnsi="仿宋" w:eastAsia="仿宋"/>
          <w:lang w:val="en-US" w:eastAsia="zh-CN"/>
        </w:rPr>
        <w:t>本年度无变动。</w:t>
      </w:r>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r>
        <w:rPr>
          <w:rFonts w:hint="eastAsia" w:ascii="仿宋" w:hAnsi="仿宋" w:eastAsia="仿宋" w:cs="黑体"/>
          <w:b/>
          <w:bCs/>
        </w:rPr>
        <w:t>三、机关运行经费增减变动原因说明</w:t>
      </w:r>
      <w:bookmarkEnd w:id="17"/>
    </w:p>
    <w:p>
      <w:pPr>
        <w:pStyle w:val="3"/>
        <w:tabs>
          <w:tab w:val="left" w:leader="dot" w:pos="8104"/>
        </w:tabs>
        <w:spacing w:line="640" w:lineRule="exact"/>
        <w:ind w:left="0" w:firstLineChars="200"/>
        <w:contextualSpacing/>
        <w:rPr>
          <w:rFonts w:hint="eastAsia" w:ascii="仿宋" w:hAnsi="仿宋" w:eastAsia="仿宋" w:cs="仿宋"/>
          <w:lang w:val="en-US" w:eastAsia="zh-CN"/>
        </w:rPr>
      </w:pPr>
      <w:r>
        <w:rPr>
          <w:rFonts w:hint="eastAsia" w:ascii="仿宋" w:hAnsi="仿宋" w:eastAsia="仿宋" w:cs="仿宋"/>
        </w:rPr>
        <w:t>2021年本级机关运行财政拨款预算</w:t>
      </w:r>
      <w:r>
        <w:rPr>
          <w:rFonts w:hint="eastAsia" w:ascii="仿宋" w:hAnsi="仿宋" w:eastAsia="仿宋" w:cs="仿宋"/>
          <w:lang w:val="en-US" w:eastAsia="zh-CN"/>
        </w:rPr>
        <w:t>6.28</w:t>
      </w:r>
      <w:r>
        <w:rPr>
          <w:rFonts w:hint="eastAsia" w:ascii="仿宋" w:hAnsi="仿宋" w:eastAsia="仿宋" w:cs="仿宋"/>
        </w:rPr>
        <w:t>万元，比2020年预算减少</w:t>
      </w:r>
      <w:r>
        <w:rPr>
          <w:rFonts w:hint="eastAsia" w:ascii="仿宋" w:hAnsi="仿宋" w:eastAsia="仿宋" w:cs="仿宋"/>
          <w:lang w:val="en-US" w:eastAsia="zh-CN"/>
        </w:rPr>
        <w:t>0.91</w:t>
      </w:r>
      <w:r>
        <w:rPr>
          <w:rFonts w:hint="eastAsia" w:ascii="仿宋" w:hAnsi="仿宋" w:eastAsia="仿宋" w:cs="仿宋"/>
        </w:rPr>
        <w:t>万元，减少</w:t>
      </w:r>
      <w:r>
        <w:rPr>
          <w:rFonts w:hint="eastAsia" w:ascii="仿宋" w:hAnsi="仿宋" w:eastAsia="仿宋" w:cs="仿宋"/>
          <w:lang w:val="en-US" w:eastAsia="zh-CN"/>
        </w:rPr>
        <w:t>13</w:t>
      </w:r>
      <w:r>
        <w:rPr>
          <w:rFonts w:hint="eastAsia" w:ascii="仿宋" w:hAnsi="仿宋" w:eastAsia="仿宋" w:cs="仿宋"/>
        </w:rPr>
        <w:t>%</w:t>
      </w:r>
      <w:r>
        <w:rPr>
          <w:rFonts w:hint="eastAsia" w:ascii="仿宋" w:hAnsi="仿宋" w:eastAsia="仿宋" w:cs="仿宋"/>
          <w:lang w:eastAsia="zh-CN"/>
        </w:rPr>
        <w:t>。</w:t>
      </w:r>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18" w:name="_Toc8609"/>
      <w:r>
        <w:rPr>
          <w:rFonts w:hint="eastAsia" w:ascii="仿宋" w:hAnsi="仿宋" w:eastAsia="仿宋" w:cs="黑体"/>
          <w:b/>
          <w:bCs/>
        </w:rPr>
        <w:t>四、政府采购情况</w:t>
      </w:r>
      <w:bookmarkEnd w:id="18"/>
    </w:p>
    <w:p>
      <w:pPr>
        <w:pStyle w:val="3"/>
        <w:tabs>
          <w:tab w:val="right" w:leader="dot" w:pos="8425"/>
        </w:tabs>
        <w:spacing w:line="640" w:lineRule="exact"/>
        <w:ind w:left="0" w:firstLineChars="200"/>
        <w:contextualSpacing/>
        <w:jc w:val="left"/>
        <w:outlineLvl w:val="1"/>
        <w:rPr>
          <w:rFonts w:ascii="仿宋" w:hAnsi="仿宋" w:eastAsia="仿宋" w:cs="黑体"/>
          <w:bCs/>
        </w:rPr>
      </w:pPr>
      <w:r>
        <w:rPr>
          <w:rFonts w:ascii="仿宋" w:hAnsi="仿宋" w:eastAsia="仿宋"/>
        </w:rPr>
        <w:t>2021年政府采购预算总额</w:t>
      </w:r>
      <w:r>
        <w:rPr>
          <w:rFonts w:hint="eastAsia" w:ascii="仿宋" w:hAnsi="仿宋" w:eastAsia="仿宋"/>
          <w:lang w:val="en-US" w:eastAsia="zh-CN"/>
        </w:rPr>
        <w:t>0</w:t>
      </w:r>
      <w:r>
        <w:rPr>
          <w:rFonts w:ascii="仿宋" w:hAnsi="仿宋" w:eastAsia="仿宋"/>
        </w:rPr>
        <w:t xml:space="preserve">万元， </w:t>
      </w:r>
      <w:r>
        <w:rPr>
          <w:rFonts w:hint="eastAsia" w:ascii="仿宋" w:hAnsi="仿宋" w:eastAsia="仿宋"/>
        </w:rPr>
        <w:t>其中：政府采购货物预算</w:t>
      </w:r>
      <w:r>
        <w:rPr>
          <w:rFonts w:hint="eastAsia" w:ascii="仿宋" w:hAnsi="仿宋" w:eastAsia="仿宋"/>
          <w:lang w:val="en-US" w:eastAsia="zh-CN"/>
        </w:rPr>
        <w:t>0</w:t>
      </w:r>
      <w:r>
        <w:rPr>
          <w:rFonts w:ascii="仿宋" w:hAnsi="仿宋" w:eastAsia="仿宋"/>
        </w:rPr>
        <w:t>万元、政府采购工程预算</w:t>
      </w:r>
      <w:r>
        <w:rPr>
          <w:rFonts w:hint="eastAsia" w:ascii="仿宋" w:hAnsi="仿宋" w:eastAsia="仿宋"/>
          <w:lang w:val="en-US" w:eastAsia="zh-CN"/>
        </w:rPr>
        <w:t>0</w:t>
      </w:r>
      <w:r>
        <w:rPr>
          <w:rFonts w:hint="eastAsia" w:ascii="仿宋" w:hAnsi="仿宋" w:eastAsia="仿宋"/>
        </w:rPr>
        <w:t>万元、政府采购服务预算</w:t>
      </w:r>
      <w:r>
        <w:rPr>
          <w:rFonts w:hint="eastAsia" w:ascii="仿宋" w:hAnsi="仿宋" w:eastAsia="仿宋"/>
          <w:lang w:val="en-US" w:eastAsia="zh-CN"/>
        </w:rPr>
        <w:t>0</w:t>
      </w:r>
      <w:r>
        <w:rPr>
          <w:rFonts w:ascii="仿宋" w:hAnsi="仿宋" w:eastAsia="仿宋"/>
        </w:rPr>
        <w:t>万元。</w:t>
      </w:r>
    </w:p>
    <w:p>
      <w:pPr>
        <w:pStyle w:val="3"/>
        <w:numPr>
          <w:ilvl w:val="0"/>
          <w:numId w:val="1"/>
        </w:numPr>
        <w:tabs>
          <w:tab w:val="right" w:leader="dot" w:pos="8425"/>
        </w:tabs>
        <w:spacing w:line="640" w:lineRule="exact"/>
        <w:ind w:left="0" w:firstLine="643" w:firstLineChars="200"/>
        <w:contextualSpacing/>
        <w:jc w:val="left"/>
        <w:outlineLvl w:val="1"/>
        <w:rPr>
          <w:rFonts w:ascii="仿宋" w:hAnsi="仿宋" w:eastAsia="仿宋" w:cs="黑体"/>
          <w:b/>
          <w:bCs/>
        </w:rPr>
      </w:pPr>
      <w:bookmarkStart w:id="19" w:name="_Toc3264"/>
      <w:r>
        <w:rPr>
          <w:rFonts w:hint="eastAsia" w:ascii="仿宋" w:hAnsi="仿宋" w:eastAsia="仿宋" w:cs="黑体"/>
          <w:b/>
          <w:bCs/>
        </w:rPr>
        <w:t>绩效管理</w:t>
      </w:r>
      <w:bookmarkEnd w:id="19"/>
    </w:p>
    <w:p>
      <w:pPr>
        <w:pStyle w:val="3"/>
        <w:tabs>
          <w:tab w:val="left" w:leader="dot" w:pos="8104"/>
        </w:tabs>
        <w:spacing w:line="640" w:lineRule="exact"/>
        <w:ind w:left="0" w:firstLine="643" w:firstLineChars="200"/>
        <w:contextualSpacing/>
        <w:rPr>
          <w:rFonts w:ascii="仿宋" w:hAnsi="仿宋" w:eastAsia="仿宋"/>
          <w:b/>
        </w:rPr>
      </w:pPr>
      <w:r>
        <w:rPr>
          <w:rFonts w:hint="eastAsia" w:ascii="仿宋" w:hAnsi="仿宋" w:eastAsia="仿宋" w:cs="黑体"/>
          <w:b/>
          <w:bCs/>
        </w:rPr>
        <w:t xml:space="preserve"> </w:t>
      </w:r>
      <w:r>
        <w:rPr>
          <w:rFonts w:ascii="仿宋" w:hAnsi="仿宋" w:eastAsia="仿宋"/>
          <w:b/>
        </w:rPr>
        <w:t xml:space="preserve">1、绩效管理情况 </w:t>
      </w:r>
    </w:p>
    <w:p>
      <w:pPr>
        <w:pStyle w:val="3"/>
        <w:tabs>
          <w:tab w:val="left" w:leader="dot" w:pos="8104"/>
        </w:tabs>
        <w:spacing w:line="640" w:lineRule="exact"/>
        <w:ind w:left="0" w:firstLineChars="200"/>
        <w:contextualSpacing/>
        <w:rPr>
          <w:rFonts w:ascii="仿宋" w:hAnsi="仿宋" w:eastAsia="仿宋"/>
        </w:rPr>
      </w:pPr>
      <w:r>
        <w:rPr>
          <w:rFonts w:ascii="仿宋" w:hAnsi="仿宋" w:eastAsia="仿宋"/>
        </w:rPr>
        <w:t>2021年实行绩效目标管理的项目</w:t>
      </w:r>
      <w:r>
        <w:rPr>
          <w:rFonts w:hint="eastAsia" w:ascii="仿宋" w:hAnsi="仿宋" w:eastAsia="仿宋"/>
          <w:lang w:val="en-US" w:eastAsia="zh-CN"/>
        </w:rPr>
        <w:t>1</w:t>
      </w:r>
      <w:r>
        <w:rPr>
          <w:rFonts w:ascii="仿宋" w:hAnsi="仿宋" w:eastAsia="仿宋"/>
        </w:rPr>
        <w:t>个，</w:t>
      </w:r>
      <w:r>
        <w:rPr>
          <w:rFonts w:hint="eastAsia" w:ascii="仿宋" w:hAnsi="仿宋" w:eastAsia="仿宋"/>
        </w:rPr>
        <w:t>涉及一般公共预算当年拨款</w:t>
      </w:r>
      <w:r>
        <w:rPr>
          <w:rFonts w:hint="eastAsia" w:ascii="仿宋" w:hAnsi="仿宋" w:eastAsia="仿宋"/>
          <w:lang w:val="en-US" w:eastAsia="zh-CN"/>
        </w:rPr>
        <w:t>7.49</w:t>
      </w:r>
      <w:r>
        <w:rPr>
          <w:rFonts w:ascii="仿宋" w:hAnsi="仿宋" w:eastAsia="仿宋"/>
        </w:rPr>
        <w:t>万元</w:t>
      </w:r>
      <w:r>
        <w:rPr>
          <w:rFonts w:hint="eastAsia" w:ascii="仿宋" w:hAnsi="仿宋" w:eastAsia="仿宋"/>
        </w:rPr>
        <w:t>，政府性基金当年拨款</w:t>
      </w:r>
      <w:r>
        <w:rPr>
          <w:rFonts w:hint="eastAsia" w:ascii="仿宋" w:hAnsi="仿宋" w:eastAsia="仿宋"/>
          <w:lang w:val="en-US" w:eastAsia="zh-CN"/>
        </w:rPr>
        <w:t>0</w:t>
      </w:r>
      <w:r>
        <w:rPr>
          <w:rFonts w:hint="eastAsia" w:ascii="仿宋" w:hAnsi="仿宋" w:eastAsia="仿宋"/>
        </w:rPr>
        <w:t>万元</w:t>
      </w:r>
      <w:r>
        <w:rPr>
          <w:rFonts w:ascii="仿宋" w:hAnsi="仿宋" w:eastAsia="仿宋"/>
        </w:rPr>
        <w:t>。</w:t>
      </w:r>
    </w:p>
    <w:p>
      <w:pPr>
        <w:pStyle w:val="3"/>
        <w:tabs>
          <w:tab w:val="left" w:leader="dot" w:pos="8104"/>
        </w:tabs>
        <w:spacing w:line="640" w:lineRule="exact"/>
        <w:ind w:left="0" w:firstLine="643" w:firstLineChars="200"/>
        <w:contextualSpacing/>
        <w:rPr>
          <w:rFonts w:ascii="仿宋" w:hAnsi="仿宋" w:eastAsia="仿宋"/>
          <w:b/>
        </w:rPr>
      </w:pPr>
      <w:r>
        <w:rPr>
          <w:rFonts w:ascii="仿宋" w:hAnsi="仿宋" w:eastAsia="仿宋"/>
          <w:b/>
        </w:rPr>
        <w:t>2、绩效目标情况</w:t>
      </w:r>
    </w:p>
    <w:p>
      <w:pPr>
        <w:pStyle w:val="3"/>
        <w:tabs>
          <w:tab w:val="left" w:leader="dot" w:pos="8104"/>
        </w:tabs>
        <w:spacing w:line="640" w:lineRule="exact"/>
        <w:ind w:left="0" w:firstLineChars="200"/>
        <w:contextualSpacing/>
        <w:rPr>
          <w:rFonts w:hint="eastAsia" w:ascii="仿宋" w:hAnsi="仿宋" w:eastAsia="仿宋"/>
          <w:lang w:eastAsia="zh-CN"/>
        </w:rPr>
      </w:pPr>
      <w:bookmarkStart w:id="20" w:name="_Toc19868"/>
      <w:r>
        <w:rPr>
          <w:rFonts w:hint="eastAsia" w:ascii="仿宋" w:hAnsi="仿宋" w:eastAsia="仿宋"/>
          <w:lang w:eastAsia="zh-CN"/>
        </w:rPr>
        <w:t>2020年基层党组织书记提升履职能力培训班培训费（已批示）</w:t>
      </w:r>
      <w:r>
        <w:rPr>
          <w:rFonts w:hint="eastAsia" w:ascii="仿宋" w:hAnsi="仿宋" w:eastAsia="仿宋"/>
        </w:rPr>
        <w:t>项目</w:t>
      </w:r>
      <w:r>
        <w:rPr>
          <w:rFonts w:ascii="仿宋" w:hAnsi="仿宋" w:eastAsia="仿宋"/>
        </w:rPr>
        <w:t>2021年度绩效目标：</w:t>
      </w:r>
      <w:r>
        <w:rPr>
          <w:rFonts w:hint="eastAsia" w:ascii="仿宋" w:hAnsi="仿宋" w:eastAsia="仿宋"/>
        </w:rPr>
        <w:t>为认真贯彻落实新时代党的建设总要求，深入学习宣传党的十九届五中全会精神，进一步提升</w:t>
      </w:r>
      <w:bookmarkStart w:id="23" w:name="_GoBack"/>
      <w:bookmarkEnd w:id="23"/>
      <w:r>
        <w:rPr>
          <w:rFonts w:hint="eastAsia" w:ascii="仿宋" w:hAnsi="仿宋" w:eastAsia="仿宋"/>
        </w:rPr>
        <w:t>基层党组织书记履职能力，推动基层组织党建工作高质量发展。</w:t>
      </w:r>
      <w:r>
        <w:rPr>
          <w:rFonts w:hint="eastAsia" w:ascii="仿宋" w:hAnsi="仿宋" w:eastAsia="仿宋"/>
          <w:lang w:eastAsia="zh-CN"/>
        </w:rPr>
        <w:t>。</w:t>
      </w:r>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r>
        <w:rPr>
          <w:rFonts w:hint="eastAsia" w:ascii="仿宋" w:hAnsi="仿宋" w:eastAsia="仿宋" w:cs="黑体"/>
          <w:b/>
          <w:bCs/>
        </w:rPr>
        <w:t>六、国有资产占有使用情况</w:t>
      </w:r>
      <w:bookmarkEnd w:id="20"/>
    </w:p>
    <w:p>
      <w:pPr>
        <w:pStyle w:val="3"/>
        <w:tabs>
          <w:tab w:val="right" w:leader="dot" w:pos="8425"/>
        </w:tabs>
        <w:spacing w:line="640" w:lineRule="exact"/>
        <w:ind w:left="0" w:firstLine="643" w:firstLineChars="200"/>
        <w:contextualSpacing/>
        <w:jc w:val="left"/>
        <w:rPr>
          <w:rFonts w:ascii="仿宋" w:hAnsi="仿宋" w:eastAsia="仿宋" w:cs="楷体"/>
          <w:b/>
        </w:rPr>
      </w:pPr>
      <w:r>
        <w:rPr>
          <w:rFonts w:hint="eastAsia" w:ascii="仿宋" w:hAnsi="仿宋" w:eastAsia="仿宋" w:cs="楷体"/>
          <w:b/>
        </w:rPr>
        <w:t xml:space="preserve">1、车辆情况 </w:t>
      </w:r>
    </w:p>
    <w:p>
      <w:pPr>
        <w:pStyle w:val="3"/>
        <w:tabs>
          <w:tab w:val="left" w:leader="dot" w:pos="8104"/>
        </w:tabs>
        <w:spacing w:line="640" w:lineRule="exact"/>
        <w:ind w:left="0" w:firstLineChars="200"/>
        <w:contextualSpacing/>
        <w:rPr>
          <w:rFonts w:ascii="仿宋" w:hAnsi="仿宋" w:eastAsia="仿宋" w:cs="仿宋"/>
        </w:rPr>
      </w:pPr>
      <w:r>
        <w:rPr>
          <w:rFonts w:hint="eastAsia" w:ascii="仿宋" w:hAnsi="仿宋" w:eastAsia="仿宋"/>
        </w:rPr>
        <w:t>本单位现</w:t>
      </w:r>
      <w:r>
        <w:rPr>
          <w:rFonts w:ascii="仿宋" w:hAnsi="仿宋" w:eastAsia="仿宋"/>
        </w:rPr>
        <w:t>有车辆</w:t>
      </w:r>
      <w:r>
        <w:rPr>
          <w:rFonts w:hint="eastAsia" w:ascii="仿宋" w:hAnsi="仿宋" w:eastAsia="仿宋"/>
          <w:lang w:val="en-US" w:eastAsia="zh-CN"/>
        </w:rPr>
        <w:t>0</w:t>
      </w:r>
      <w:r>
        <w:rPr>
          <w:rFonts w:ascii="仿宋" w:hAnsi="仿宋" w:eastAsia="仿宋"/>
        </w:rPr>
        <w:t>辆，其中一般公务用车</w:t>
      </w:r>
      <w:r>
        <w:rPr>
          <w:rFonts w:hint="eastAsia" w:ascii="仿宋" w:hAnsi="仿宋" w:eastAsia="仿宋"/>
          <w:lang w:val="en-US" w:eastAsia="zh-CN"/>
        </w:rPr>
        <w:t>0</w:t>
      </w:r>
      <w:r>
        <w:rPr>
          <w:rFonts w:ascii="仿宋" w:hAnsi="仿宋" w:eastAsia="仿宋"/>
        </w:rPr>
        <w:t>辆。</w:t>
      </w:r>
      <w:r>
        <w:rPr>
          <w:rFonts w:hint="eastAsia" w:ascii="仿宋" w:hAnsi="仿宋" w:eastAsia="仿宋" w:cs="仿宋"/>
        </w:rPr>
        <w:t xml:space="preserve"> </w:t>
      </w:r>
    </w:p>
    <w:p>
      <w:pPr>
        <w:pStyle w:val="3"/>
        <w:tabs>
          <w:tab w:val="right" w:leader="dot" w:pos="8425"/>
        </w:tabs>
        <w:spacing w:line="640" w:lineRule="exact"/>
        <w:ind w:left="0" w:firstLine="643" w:firstLineChars="200"/>
        <w:contextualSpacing/>
        <w:jc w:val="left"/>
        <w:rPr>
          <w:rFonts w:ascii="仿宋" w:hAnsi="仿宋" w:eastAsia="仿宋" w:cs="楷体"/>
          <w:b/>
        </w:rPr>
      </w:pPr>
      <w:r>
        <w:rPr>
          <w:rFonts w:hint="eastAsia" w:ascii="仿宋" w:hAnsi="仿宋" w:eastAsia="仿宋" w:cs="楷体"/>
          <w:b/>
        </w:rPr>
        <w:t xml:space="preserve">2、房屋情况 </w:t>
      </w:r>
    </w:p>
    <w:p>
      <w:pPr>
        <w:pStyle w:val="3"/>
        <w:tabs>
          <w:tab w:val="left" w:leader="dot" w:pos="8104"/>
        </w:tabs>
        <w:spacing w:line="640" w:lineRule="exact"/>
        <w:ind w:left="0" w:firstLine="630"/>
        <w:contextualSpacing/>
        <w:rPr>
          <w:rFonts w:ascii="仿宋" w:hAnsi="仿宋" w:eastAsia="仿宋" w:cs="仿宋"/>
        </w:rPr>
      </w:pPr>
      <w:r>
        <w:rPr>
          <w:rFonts w:hint="eastAsia" w:ascii="仿宋" w:hAnsi="仿宋" w:eastAsia="仿宋" w:cs="仿宋"/>
        </w:rPr>
        <w:t>单位办公用房为使用其他单位房屋。</w:t>
      </w:r>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21" w:name="_Toc18321"/>
      <w:r>
        <w:rPr>
          <w:rFonts w:hint="eastAsia" w:ascii="仿宋" w:hAnsi="仿宋" w:eastAsia="仿宋" w:cs="黑体"/>
          <w:b/>
          <w:bCs/>
        </w:rPr>
        <w:t>七、其他说明</w:t>
      </w:r>
      <w:bookmarkEnd w:id="21"/>
    </w:p>
    <w:p>
      <w:pPr>
        <w:tabs>
          <w:tab w:val="right" w:leader="dot" w:pos="8427"/>
        </w:tabs>
        <w:spacing w:before="214" w:line="640" w:lineRule="exact"/>
        <w:contextualSpacing/>
        <w:jc w:val="center"/>
        <w:outlineLvl w:val="0"/>
        <w:rPr>
          <w:rFonts w:ascii="仿宋" w:hAnsi="仿宋" w:eastAsia="仿宋"/>
          <w:b/>
          <w:sz w:val="32"/>
          <w:szCs w:val="32"/>
        </w:rPr>
      </w:pPr>
      <w:bookmarkStart w:id="22" w:name="_Toc6785"/>
      <w:r>
        <w:rPr>
          <w:rFonts w:hint="eastAsia" w:ascii="仿宋" w:hAnsi="仿宋" w:eastAsia="仿宋"/>
          <w:b/>
          <w:sz w:val="32"/>
          <w:szCs w:val="32"/>
        </w:rPr>
        <w:t>第四部分 名词解释</w:t>
      </w:r>
      <w:bookmarkEnd w:id="22"/>
    </w:p>
    <w:p>
      <w:pPr>
        <w:tabs>
          <w:tab w:val="right" w:leader="dot" w:pos="8427"/>
        </w:tabs>
        <w:spacing w:before="214" w:line="640" w:lineRule="exact"/>
        <w:contextualSpacing/>
        <w:jc w:val="center"/>
        <w:outlineLvl w:val="0"/>
        <w:rPr>
          <w:rFonts w:ascii="仿宋" w:hAnsi="仿宋" w:eastAsia="仿宋"/>
          <w:b/>
          <w:sz w:val="32"/>
          <w:szCs w:val="32"/>
        </w:rPr>
      </w:pPr>
    </w:p>
    <w:p>
      <w:pPr>
        <w:tabs>
          <w:tab w:val="left" w:leader="dot" w:pos="8109"/>
        </w:tabs>
        <w:spacing w:before="214" w:line="640" w:lineRule="exact"/>
        <w:ind w:firstLine="640" w:firstLineChars="200"/>
        <w:contextualSpacing/>
        <w:rPr>
          <w:rFonts w:ascii="仿宋" w:hAnsi="仿宋" w:eastAsia="仿宋" w:cs="仿宋"/>
          <w:sz w:val="32"/>
          <w:szCs w:val="32"/>
        </w:rPr>
      </w:pPr>
      <w:r>
        <w:rPr>
          <w:rFonts w:hint="eastAsia" w:ascii="仿宋" w:hAnsi="仿宋" w:eastAsia="仿宋" w:cs="仿宋"/>
          <w:sz w:val="32"/>
          <w:szCs w:val="32"/>
        </w:rPr>
        <w:t>（一）基本支出：指为保障机构正常运转、完成日常工作任务而发生的人员支出和公用支出。</w:t>
      </w:r>
    </w:p>
    <w:p>
      <w:pPr>
        <w:tabs>
          <w:tab w:val="left" w:leader="dot" w:pos="8109"/>
        </w:tabs>
        <w:spacing w:before="214" w:line="640" w:lineRule="exact"/>
        <w:ind w:firstLine="640" w:firstLineChars="200"/>
        <w:contextualSpacing/>
        <w:rPr>
          <w:rFonts w:ascii="仿宋" w:hAnsi="仿宋" w:eastAsia="仿宋" w:cs="仿宋"/>
          <w:sz w:val="32"/>
          <w:szCs w:val="32"/>
        </w:rPr>
      </w:pPr>
      <w:r>
        <w:rPr>
          <w:rFonts w:hint="eastAsia" w:ascii="仿宋" w:hAnsi="仿宋" w:eastAsia="仿宋" w:cs="仿宋"/>
          <w:sz w:val="32"/>
          <w:szCs w:val="32"/>
        </w:rPr>
        <w:t xml:space="preserve">（二）项目支出：指在基本支出之外为完成特定行政任务和事业发展目标所发生的支出。 </w:t>
      </w:r>
    </w:p>
    <w:p>
      <w:pPr>
        <w:tabs>
          <w:tab w:val="left" w:leader="dot" w:pos="8109"/>
        </w:tabs>
        <w:spacing w:before="214" w:line="640" w:lineRule="exact"/>
        <w:ind w:firstLine="640" w:firstLineChars="200"/>
        <w:contextualSpacing/>
        <w:rPr>
          <w:rFonts w:ascii="仿宋" w:hAnsi="仿宋" w:eastAsia="仿宋" w:cs="仿宋"/>
          <w:sz w:val="32"/>
          <w:szCs w:val="32"/>
        </w:rPr>
      </w:pPr>
      <w:r>
        <w:rPr>
          <w:rFonts w:hint="eastAsia" w:ascii="仿宋" w:hAnsi="仿宋" w:eastAsia="仿宋" w:cs="仿宋"/>
          <w:sz w:val="32"/>
          <w:szCs w:val="32"/>
        </w:rPr>
        <w:t xml:space="preserve">（三）“三公”经费：指用一般公共预算安排的因公出国（境）费、公务用车购置及运行费和公务接待费。其中，因公出国 （境）费反映单位公务出国（境）的国际旅费、国 外城市间交通费、住宿费、伙食费、培训费、公杂费等支出；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公务接待费反映单位按规定开支的各类公务接待（含外宾接待）支出。 </w:t>
      </w:r>
    </w:p>
    <w:p>
      <w:pPr>
        <w:tabs>
          <w:tab w:val="left" w:leader="dot" w:pos="8109"/>
        </w:tabs>
        <w:spacing w:before="214" w:line="640" w:lineRule="exact"/>
        <w:ind w:firstLine="640" w:firstLineChars="200"/>
        <w:contextualSpacing/>
        <w:rPr>
          <w:rFonts w:ascii="仿宋" w:hAnsi="仿宋" w:eastAsia="仿宋" w:cs="仿宋"/>
          <w:sz w:val="32"/>
          <w:szCs w:val="32"/>
        </w:rPr>
      </w:pPr>
      <w:r>
        <w:rPr>
          <w:rFonts w:hint="eastAsia" w:ascii="仿宋" w:hAnsi="仿宋" w:eastAsia="仿宋" w:cs="仿宋"/>
          <w:sz w:val="32"/>
          <w:szCs w:val="32"/>
        </w:rPr>
        <w:t>（四）机关运行经费；指行政单位和参照公务员法管理的事业单位使用一般公共预算安排的基本支出中的日常公用经费支出。</w:t>
      </w:r>
    </w:p>
    <w:p>
      <w:pPr>
        <w:tabs>
          <w:tab w:val="left" w:leader="dot" w:pos="8109"/>
        </w:tabs>
        <w:spacing w:before="214" w:line="640" w:lineRule="exact"/>
        <w:ind w:firstLine="640" w:firstLineChars="200"/>
        <w:contextualSpacing/>
        <w:rPr>
          <w:rFonts w:ascii="仿宋" w:hAnsi="仿宋" w:eastAsia="仿宋" w:cs="仿宋"/>
          <w:sz w:val="32"/>
          <w:szCs w:val="32"/>
        </w:rPr>
      </w:pPr>
      <w:r>
        <w:rPr>
          <w:rFonts w:hint="eastAsia" w:ascii="仿宋" w:hAnsi="仿宋" w:eastAsia="仿宋" w:cs="仿宋"/>
          <w:sz w:val="32"/>
          <w:szCs w:val="32"/>
        </w:rPr>
        <w:t xml:space="preserve">（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 </w:t>
      </w:r>
    </w:p>
    <w:p>
      <w:pPr>
        <w:tabs>
          <w:tab w:val="left" w:leader="dot" w:pos="8109"/>
        </w:tabs>
        <w:spacing w:before="214" w:line="360" w:lineRule="auto"/>
        <w:contextualSpacing/>
        <w:rPr>
          <w:rFonts w:ascii="仿宋" w:hAnsi="仿宋" w:eastAsia="仿宋" w:cs="仿宋"/>
          <w:sz w:val="32"/>
          <w:szCs w:val="32"/>
        </w:rPr>
      </w:pPr>
    </w:p>
    <w:p>
      <w:pPr>
        <w:tabs>
          <w:tab w:val="left" w:leader="dot" w:pos="8109"/>
        </w:tabs>
        <w:spacing w:before="214" w:line="360" w:lineRule="auto"/>
        <w:ind w:left="964" w:firstLine="640" w:firstLineChars="200"/>
        <w:contextualSpacing/>
        <w:rPr>
          <w:rFonts w:ascii="仿宋" w:hAnsi="仿宋" w:eastAsia="仿宋" w:cs="仿宋"/>
          <w:sz w:val="32"/>
          <w:szCs w:val="32"/>
        </w:rPr>
      </w:pPr>
      <w:r>
        <w:rPr>
          <w:rFonts w:hint="eastAsia" w:ascii="仿宋" w:hAnsi="仿宋" w:eastAsia="仿宋" w:cs="仿宋"/>
          <w:sz w:val="32"/>
          <w:szCs w:val="32"/>
        </w:rPr>
        <w:t xml:space="preserve">                             2021年5月10日</w:t>
      </w:r>
    </w:p>
    <w:sectPr>
      <w:footerReference r:id="rId9" w:type="default"/>
      <w:pgSz w:w="11910" w:h="16840"/>
      <w:pgMar w:top="1500" w:right="1540" w:bottom="1180" w:left="1680" w:header="0" w:footer="98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firstLine="0"/>
      <w:jc w:val="left"/>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9924415</wp:posOffset>
              </wp:positionV>
              <wp:extent cx="133350"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33350" cy="152400"/>
                      </a:xfrm>
                      <a:prstGeom prst="rect">
                        <a:avLst/>
                      </a:prstGeom>
                      <a:noFill/>
                      <a:ln>
                        <a:noFill/>
                      </a:ln>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w:t>
                          </w:r>
                          <w:r>
                            <w:fldChar w:fldCharType="end"/>
                          </w:r>
                        </w:p>
                      </w:txbxContent>
                    </wps:txbx>
                    <wps:bodyPr lIns="0" tIns="0" rIns="0" bIns="0" upright="1"/>
                  </wps:wsp>
                </a:graphicData>
              </a:graphic>
            </wp:anchor>
          </w:drawing>
        </mc:Choice>
        <mc:Fallback>
          <w:pict>
            <v:shape id="_x0000_s1026" o:spid="_x0000_s1026" o:spt="202" type="#_x0000_t202" style="position:absolute;left:0pt;margin-top:781.45pt;height:12pt;width:10.5pt;mso-position-horizontal:center;mso-position-horizontal-relative:margin;mso-position-vertical-relative:page;z-index:251659264;mso-width-relative:page;mso-height-relative:page;" filled="f" stroked="f" coordsize="21600,21600" o:gfxdata="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QakjDdYAAAAJAQAADwAAAAAAAAABACAAAAAiAAAAZHJzL2Rvd25yZXYueG1sUEsBAhQAFAAA&#10;AAgAh07iQOGhk124AQAAcQMAAA4AAAAAAAAAAQAgAAAAJQEAAGRycy9lMm9Eb2MueG1sUEsFBgAA&#10;AAAGAAYAWQEAAE8FA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BEAA97"/>
    <w:multiLevelType w:val="singleLevel"/>
    <w:tmpl w:val="32BEAA9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drawingGridHorizontalSpacing w:val="110"/>
  <w:noPunctuationKerning w:val="1"/>
  <w:characterSpacingControl w:val="doNotCompress"/>
  <w:hdrShapeDefaults>
    <o:shapelayout v:ext="edit">
      <o:idmap v:ext="edit" data="1"/>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31"/>
    <w:rsid w:val="00012FF6"/>
    <w:rsid w:val="00052744"/>
    <w:rsid w:val="0007403F"/>
    <w:rsid w:val="000C62A0"/>
    <w:rsid w:val="000E01EF"/>
    <w:rsid w:val="00133DB1"/>
    <w:rsid w:val="001615F9"/>
    <w:rsid w:val="001A66EE"/>
    <w:rsid w:val="001B07A0"/>
    <w:rsid w:val="001E262A"/>
    <w:rsid w:val="00236718"/>
    <w:rsid w:val="0026401A"/>
    <w:rsid w:val="00287669"/>
    <w:rsid w:val="00357EA2"/>
    <w:rsid w:val="00381350"/>
    <w:rsid w:val="00402712"/>
    <w:rsid w:val="0043148F"/>
    <w:rsid w:val="00482995"/>
    <w:rsid w:val="004A211C"/>
    <w:rsid w:val="004B75A3"/>
    <w:rsid w:val="004D2511"/>
    <w:rsid w:val="004D7BFB"/>
    <w:rsid w:val="00510523"/>
    <w:rsid w:val="005D0C7B"/>
    <w:rsid w:val="005D5575"/>
    <w:rsid w:val="00637F8C"/>
    <w:rsid w:val="00640A24"/>
    <w:rsid w:val="00670531"/>
    <w:rsid w:val="006832B1"/>
    <w:rsid w:val="006A5F85"/>
    <w:rsid w:val="006F7B47"/>
    <w:rsid w:val="0072603F"/>
    <w:rsid w:val="00727354"/>
    <w:rsid w:val="0074337E"/>
    <w:rsid w:val="0077516B"/>
    <w:rsid w:val="007C4049"/>
    <w:rsid w:val="007D200A"/>
    <w:rsid w:val="00803B9E"/>
    <w:rsid w:val="008055F9"/>
    <w:rsid w:val="0084008A"/>
    <w:rsid w:val="00842232"/>
    <w:rsid w:val="00852C45"/>
    <w:rsid w:val="00891AB8"/>
    <w:rsid w:val="008B384A"/>
    <w:rsid w:val="008D1A25"/>
    <w:rsid w:val="009F5962"/>
    <w:rsid w:val="00A045AF"/>
    <w:rsid w:val="00A504FB"/>
    <w:rsid w:val="00AA2229"/>
    <w:rsid w:val="00AC5971"/>
    <w:rsid w:val="00BA213E"/>
    <w:rsid w:val="00BC4764"/>
    <w:rsid w:val="00C006CF"/>
    <w:rsid w:val="00C112E9"/>
    <w:rsid w:val="00C41BA1"/>
    <w:rsid w:val="00CA3FE2"/>
    <w:rsid w:val="00D20F6F"/>
    <w:rsid w:val="00D66B90"/>
    <w:rsid w:val="00DD0D72"/>
    <w:rsid w:val="00DE04D0"/>
    <w:rsid w:val="00E00B18"/>
    <w:rsid w:val="00E42ED6"/>
    <w:rsid w:val="00E57CCC"/>
    <w:rsid w:val="00E61CBF"/>
    <w:rsid w:val="00E7550F"/>
    <w:rsid w:val="00E91561"/>
    <w:rsid w:val="00EB2AA4"/>
    <w:rsid w:val="00F006AE"/>
    <w:rsid w:val="00F1292D"/>
    <w:rsid w:val="00F1743E"/>
    <w:rsid w:val="00F23AC0"/>
    <w:rsid w:val="00F25BBD"/>
    <w:rsid w:val="00F34DB8"/>
    <w:rsid w:val="01404405"/>
    <w:rsid w:val="08BB24B7"/>
    <w:rsid w:val="0A70529C"/>
    <w:rsid w:val="0AF61464"/>
    <w:rsid w:val="0CB37028"/>
    <w:rsid w:val="11053E9E"/>
    <w:rsid w:val="15B976A1"/>
    <w:rsid w:val="38585555"/>
    <w:rsid w:val="3B9B2D6B"/>
    <w:rsid w:val="44682782"/>
    <w:rsid w:val="48826E21"/>
    <w:rsid w:val="4B9B79BD"/>
    <w:rsid w:val="529533BF"/>
    <w:rsid w:val="5CE56443"/>
    <w:rsid w:val="649E7396"/>
    <w:rsid w:val="672610DE"/>
    <w:rsid w:val="67CB4E45"/>
    <w:rsid w:val="75DC3E41"/>
    <w:rsid w:val="7777397D"/>
    <w:rsid w:val="7DF80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3">
    <w:name w:val="Body Text"/>
    <w:basedOn w:val="1"/>
    <w:qFormat/>
    <w:uiPriority w:val="1"/>
    <w:pPr>
      <w:spacing w:before="214"/>
      <w:ind w:left="120" w:firstLine="640"/>
      <w:jc w:val="both"/>
    </w:pPr>
    <w:rPr>
      <w:sz w:val="32"/>
      <w:szCs w:val="32"/>
    </w:rPr>
  </w:style>
  <w:style w:type="paragraph" w:styleId="4">
    <w:name w:val="toc 3"/>
    <w:basedOn w:val="1"/>
    <w:next w:val="1"/>
    <w:unhideWhenUsed/>
    <w:qFormat/>
    <w:uiPriority w:val="39"/>
    <w:pPr>
      <w:widowControl/>
      <w:autoSpaceDE/>
      <w:autoSpaceDN/>
      <w:spacing w:after="100" w:line="276" w:lineRule="auto"/>
      <w:ind w:left="440"/>
    </w:pPr>
    <w:rPr>
      <w:rFonts w:asciiTheme="minorHAnsi" w:hAnsiTheme="minorHAnsi" w:eastAsiaTheme="minorEastAsia" w:cstheme="minorBidi"/>
    </w:rPr>
  </w:style>
  <w:style w:type="paragraph" w:styleId="5">
    <w:name w:val="Plain Text"/>
    <w:basedOn w:val="1"/>
    <w:link w:val="18"/>
    <w:unhideWhenUsed/>
    <w:qFormat/>
    <w:uiPriority w:val="99"/>
    <w:pPr>
      <w:autoSpaceDE/>
      <w:autoSpaceDN/>
      <w:jc w:val="both"/>
    </w:pPr>
    <w:rPr>
      <w:rFonts w:hAnsi="Courier New" w:cs="Courier New"/>
      <w:kern w:val="2"/>
      <w:sz w:val="21"/>
      <w:szCs w:val="21"/>
    </w:rPr>
  </w:style>
  <w:style w:type="paragraph" w:styleId="6">
    <w:name w:val="Balloon Text"/>
    <w:basedOn w:val="1"/>
    <w:link w:val="23"/>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Normal (Web)"/>
    <w:basedOn w:val="1"/>
    <w:unhideWhenUsed/>
    <w:qFormat/>
    <w:uiPriority w:val="99"/>
    <w:pPr>
      <w:spacing w:beforeAutospacing="1" w:afterAutospacing="1"/>
    </w:pPr>
    <w:rPr>
      <w:rFonts w:cs="Times New Roman"/>
      <w:sz w:val="24"/>
    </w:rPr>
  </w:style>
  <w:style w:type="paragraph" w:styleId="12">
    <w:name w:val="Title"/>
    <w:basedOn w:val="1"/>
    <w:qFormat/>
    <w:uiPriority w:val="1"/>
    <w:pPr>
      <w:spacing w:before="11"/>
      <w:ind w:right="130"/>
      <w:jc w:val="center"/>
    </w:pPr>
    <w:rPr>
      <w:b/>
      <w:bCs/>
      <w:sz w:val="44"/>
      <w:szCs w:val="44"/>
    </w:rPr>
  </w:style>
  <w:style w:type="table" w:customStyle="1" w:styleId="15">
    <w:name w:val="Table Normal"/>
    <w:unhideWhenUsed/>
    <w:qFormat/>
    <w:uiPriority w:val="2"/>
    <w:tblPr>
      <w:tblCellMar>
        <w:top w:w="0" w:type="dxa"/>
        <w:left w:w="0" w:type="dxa"/>
        <w:bottom w:w="0" w:type="dxa"/>
        <w:right w:w="0" w:type="dxa"/>
      </w:tblCellMar>
    </w:tblPr>
  </w:style>
  <w:style w:type="paragraph" w:customStyle="1" w:styleId="16">
    <w:name w:val="List Paragraph"/>
    <w:basedOn w:val="1"/>
    <w:qFormat/>
    <w:uiPriority w:val="1"/>
  </w:style>
  <w:style w:type="paragraph" w:customStyle="1" w:styleId="17">
    <w:name w:val="Table Paragraph"/>
    <w:basedOn w:val="1"/>
    <w:qFormat/>
    <w:uiPriority w:val="1"/>
  </w:style>
  <w:style w:type="character" w:customStyle="1" w:styleId="18">
    <w:name w:val="纯文本 Char"/>
    <w:basedOn w:val="14"/>
    <w:link w:val="5"/>
    <w:qFormat/>
    <w:uiPriority w:val="99"/>
    <w:rPr>
      <w:rFonts w:ascii="宋体" w:hAnsi="Courier New" w:eastAsia="宋体" w:cs="Courier New"/>
      <w:kern w:val="2"/>
      <w:sz w:val="21"/>
      <w:szCs w:val="21"/>
      <w:lang w:eastAsia="zh-CN"/>
    </w:rPr>
  </w:style>
  <w:style w:type="character" w:customStyle="1" w:styleId="19">
    <w:name w:val="页眉 Char"/>
    <w:basedOn w:val="14"/>
    <w:link w:val="8"/>
    <w:semiHidden/>
    <w:qFormat/>
    <w:uiPriority w:val="99"/>
    <w:rPr>
      <w:rFonts w:ascii="宋体" w:hAnsi="宋体" w:eastAsia="宋体" w:cs="宋体"/>
      <w:sz w:val="18"/>
      <w:szCs w:val="18"/>
      <w:lang w:eastAsia="zh-CN"/>
    </w:rPr>
  </w:style>
  <w:style w:type="character" w:customStyle="1" w:styleId="20">
    <w:name w:val="页脚 Char"/>
    <w:basedOn w:val="14"/>
    <w:link w:val="7"/>
    <w:semiHidden/>
    <w:qFormat/>
    <w:uiPriority w:val="99"/>
    <w:rPr>
      <w:rFonts w:ascii="宋体" w:hAnsi="宋体" w:eastAsia="宋体" w:cs="宋体"/>
      <w:sz w:val="18"/>
      <w:szCs w:val="18"/>
      <w:lang w:eastAsia="zh-CN"/>
    </w:rPr>
  </w:style>
  <w:style w:type="character" w:customStyle="1" w:styleId="21">
    <w:name w:val="标题 1 Char"/>
    <w:basedOn w:val="14"/>
    <w:link w:val="2"/>
    <w:qFormat/>
    <w:uiPriority w:val="9"/>
    <w:rPr>
      <w:rFonts w:ascii="宋体" w:hAnsi="宋体" w:cs="宋体"/>
      <w:b/>
      <w:bCs/>
      <w:kern w:val="44"/>
      <w:sz w:val="44"/>
      <w:szCs w:val="44"/>
    </w:rPr>
  </w:style>
  <w:style w:type="paragraph" w:customStyle="1" w:styleId="22">
    <w:name w:val="TOC Heading"/>
    <w:basedOn w:val="2"/>
    <w:next w:val="1"/>
    <w:unhideWhenUsed/>
    <w:qFormat/>
    <w:uiPriority w:val="39"/>
    <w:pPr>
      <w:widowControl/>
      <w:autoSpaceDE/>
      <w:autoSpaceDN/>
      <w:spacing w:before="480" w:after="0" w:line="276" w:lineRule="auto"/>
      <w:outlineLvl w:val="9"/>
    </w:pPr>
    <w:rPr>
      <w:rFonts w:asciiTheme="majorHAnsi" w:hAnsiTheme="majorHAnsi" w:eastAsiaTheme="majorEastAsia" w:cstheme="majorBidi"/>
      <w:color w:val="376092" w:themeColor="accent1" w:themeShade="BF"/>
      <w:kern w:val="0"/>
      <w:sz w:val="28"/>
      <w:szCs w:val="28"/>
    </w:rPr>
  </w:style>
  <w:style w:type="character" w:customStyle="1" w:styleId="23">
    <w:name w:val="批注框文本 Char"/>
    <w:basedOn w:val="14"/>
    <w:link w:val="6"/>
    <w:semiHidden/>
    <w:qFormat/>
    <w:uiPriority w:val="99"/>
    <w:rPr>
      <w:rFonts w:ascii="宋体" w:hAnsi="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B941F0-F6F2-4F8E-82B4-494BACC4DBC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1628</Words>
  <Characters>1515</Characters>
  <Lines>12</Lines>
  <Paragraphs>6</Paragraphs>
  <TotalTime>1</TotalTime>
  <ScaleCrop>false</ScaleCrop>
  <LinksUpToDate>false</LinksUpToDate>
  <CharactersWithSpaces>3137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2021-04-22T08:52:00Z</dcterms:created>
  <dc:creator>Administrator</dc:creator>
  <cp:lastModifiedBy>H e</cp:lastModifiedBy>
  <cp:lastPrinted>2021-04-27T06:16:00Z</cp:lastPrinted>
  <dcterms:modified xsi:type="dcterms:W3CDTF">2021-05-10T01:01:11Z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Creator">
    <vt:lpwstr>WPS Office</vt:lpwstr>
  </property>
  <property fmtid="{D5CDD505-2E9C-101B-9397-08002B2CF9AE}" pid="4" name="LastSaved">
    <vt:filetime>2021-04-22T00:00:00Z</vt:filetime>
  </property>
  <property fmtid="{D5CDD505-2E9C-101B-9397-08002B2CF9AE}" pid="5" name="KSOProductBuildVer">
    <vt:lpwstr>2052-11.1.0.10463</vt:lpwstr>
  </property>
  <property fmtid="{D5CDD505-2E9C-101B-9397-08002B2CF9AE}" pid="6" name="ICV">
    <vt:lpwstr>30B67DD1E1FF491CAAFC41F0250B0D70</vt:lpwstr>
  </property>
</Properties>
</file>