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="http://schemas.openxmlformats.org/wordprocessingml/2006/main" xmlns:o="urn:schemas-microsoft-com:office:office" xmlns:r="http://schemas.openxmlformats.org/officeDocument/2006/relationships" xmlns:m="http://schemas.openxmlformats.org/officeDocument/2006/math" xmlns:v="urn:schemas-microsoft-com:vml" xmlns:a="http://schemas.openxmlformats.org/drawingml/2006/main" xmlns:wps="http://schemas.microsoft.com/office/word/2010/wordprocessingShape" xmlns:wp="http://schemas.openxmlformats.org/drawingml/2006/wordprocessingDrawing" xmlns:pic="http://schemas.openxmlformats.org/drawingml/2006/picture" xmlns:mc="http://schemas.openxmlformats.org/markup-compatibility/2006" xmlns:wpg="http://schemas.microsoft.com/office/word/2010/wordprocessingGroup" xmlns:wpc="http://schemas.microsoft.com/office/word/2010/wordprocessingCanvas" xmlns:w10="urn:schemas-microsoft-com:office:word" xmlns:w14="http://schemas.microsoft.com/office/word/2010/wordml" xmlns:w15="http://schemas.microsoft.com/office/word/2012/wordml" xmlns:a14="http://schemas.microsoft.com/office/drawing/2010/main" mc:Ignorable="w14 w15">
  <w:body>
    <w:p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textAlignment w:val="auto"/>
        <w:rPr>
          <w:rFonts w:ascii="仿宋_GB2312" w:eastAsia="仿宋_GB2312" w:cs="仿宋_GB2312" w:hint="eastAsia"/>
          <w:sz w:val="28"/>
        </w:rPr>
      </w:pPr>
      <w:bookmarkStart w:id="0" w:name="_Toc236111673"/>
      <w:bookmarkStart w:id="1" w:name="_Toc236111808"/>
      <w:bookmarkStart w:id="2" w:name="_Toc236111718"/>
      <w:r>
        <w:rPr>
          <w:rFonts w:ascii="仿宋_GB2312" w:eastAsia="仿宋_GB2312" w:cs="仿宋_GB2312" w:hint="eastAsia"/>
          <w:sz w:val="28"/>
        </w:rPr>
        <w:t>8.3 各主要气象灾害的部门联动与社会响应</w:t>
      </w:r>
      <w:bookmarkEnd w:id="0"/>
      <w:bookmarkEnd w:id="1"/>
      <w:bookmarkEnd w:id="2"/>
      <w:r>
        <w:rPr>
          <w:rFonts w:ascii="仿宋_GB2312" w:eastAsia="仿宋_GB2312" w:cs="仿宋_GB2312" w:hint="eastAsia"/>
          <w:sz w:val="28"/>
        </w:rPr>
        <w:t xml:space="preserve">  </w:t>
      </w:r>
    </w:p>
    <w:p>
      <w:pPr>
        <w:rPr>
          <w:rFonts w:hint="eastAsia"/>
        </w:rPr>
      </w:pP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textAlignment w:val="auto"/>
        <w:rPr>
          <w:rFonts w:ascii="仿宋_GB2312" w:eastAsia="仿宋_GB2312" w:cs="仿宋_GB2312" w:hint="eastAsia"/>
          <w:b/>
          <w:sz w:val="32"/>
          <w:szCs w:val="32"/>
        </w:rPr>
      </w:pPr>
      <w:bookmarkStart w:id="3" w:name="_Toc236111674"/>
      <w:bookmarkStart w:id="4" w:name="_Toc236111719"/>
      <w:r>
        <w:rPr>
          <w:rFonts w:ascii="仿宋_GB2312" w:eastAsia="仿宋_GB2312" w:cs="仿宋_GB2312" w:hint="eastAsia"/>
          <w:b/>
          <w:sz w:val="32"/>
          <w:szCs w:val="32"/>
        </w:rPr>
        <w:t>(1)暴雨灾害的部门联动和社会响应</w:t>
      </w:r>
      <w:bookmarkEnd w:id="3"/>
      <w:bookmarkEnd w:id="4"/>
    </w:p>
    <w:tbl>
      <w:tblPr>
        <w:jc w:val="left"/>
        <w:tblInd w:w="0" w:type="dxa"/>
        <w:tblW w:w="87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8"/>
        <w:gridCol w:w="2310"/>
        <w:gridCol w:w="105"/>
        <w:gridCol w:w="2520"/>
        <w:gridCol w:w="140"/>
        <w:gridCol w:w="2725"/>
      </w:tblGrid>
      <w:tr>
        <w:trPr>
          <w:cantSplit/>
          <w:tblHeader/>
        </w:trPr>
        <w:tc>
          <w:tcPr>
            <w:tcW w:w="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firstLineChars="0" w:firstLine="0"/>
              <w:textAlignment w:val="auto"/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</w:pPr>
            <w:r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  <w:t>灾 害</w:t>
            </w:r>
          </w:p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firstLineChars="0" w:firstLine="0"/>
              <w:textAlignment w:val="auto"/>
              <w:rPr>
                <w:rFonts w:ascii="仿宋_GB2312" w:eastAsia="仿宋_GB2312" w:cs="仿宋_GB2312" w:hint="eastAsia"/>
                <w:snapToGrid w:val="0"/>
                <w:kern w:val="24"/>
                <w:sz w:val="21"/>
                <w:szCs w:val="21"/>
                <w:lang w:val="en-US" w:eastAsia="zh-CN" w:bidi="ar-SA"/>
              </w:rPr>
            </w:pPr>
            <w:r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  <w:t>等 级</w:t>
            </w:r>
          </w:p>
        </w:tc>
        <w:tc>
          <w:tcPr>
            <w:tcW w:w="24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560" w:lineRule="exact"/>
              <w:ind w:firstLineChars="0" w:firstLine="0"/>
              <w:textAlignment w:val="auto"/>
              <w:rPr>
                <w:rFonts w:ascii="仿宋_GB2312" w:eastAsia="仿宋_GB2312" w:cs="仿宋_GB2312" w:hint="eastAsia"/>
                <w:b/>
                <w:w w:val="90"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b/>
                <w:sz w:val="24"/>
                <w:szCs w:val="24"/>
              </w:rPr>
              <w:t>Ⅳ级、</w:t>
            </w:r>
            <w:r>
              <w:rPr>
                <w:rFonts w:ascii="仿宋_GB2312" w:eastAsia="仿宋_GB2312" w:cs="仿宋_GB2312" w:hint="eastAsia"/>
                <w:b/>
                <w:w w:val="90"/>
                <w:sz w:val="24"/>
                <w:szCs w:val="24"/>
              </w:rPr>
              <w:t>Ⅲ级 灾害事件</w:t>
            </w:r>
          </w:p>
        </w:tc>
        <w:tc>
          <w:tcPr>
            <w:tcW w:w="26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560" w:lineRule="exact"/>
              <w:textAlignment w:val="auto"/>
              <w:rPr>
                <w:rFonts w:ascii="仿宋_GB2312" w:eastAsia="仿宋_GB2312" w:cs="仿宋_GB2312" w:hint="eastAsia"/>
                <w:b/>
                <w:w w:val="90"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b/>
                <w:w w:val="90"/>
                <w:sz w:val="24"/>
                <w:szCs w:val="24"/>
              </w:rPr>
              <w:t>Ⅱ级  重大事件</w:t>
            </w:r>
          </w:p>
        </w:tc>
        <w:tc>
          <w:tcPr>
            <w:tcW w:w="2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560" w:lineRule="exact"/>
              <w:jc w:val="both"/>
              <w:textAlignment w:val="auto"/>
              <w:rPr>
                <w:rFonts w:ascii="仿宋_GB2312" w:eastAsia="仿宋_GB2312" w:cs="仿宋_GB2312" w:hint="eastAsia"/>
                <w:b/>
                <w:w w:val="90"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b/>
                <w:w w:val="90"/>
                <w:sz w:val="24"/>
                <w:szCs w:val="24"/>
              </w:rPr>
              <w:t>Ⅰ级  特别重大事件</w:t>
            </w:r>
          </w:p>
        </w:tc>
      </w:tr>
      <w:tr>
        <w:trPr>
          <w:cantSplit/>
          <w:tblHeader/>
        </w:trPr>
        <w:tc>
          <w:tcPr>
            <w:tcW w:w="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/>
        </w:tc>
        <w:tc>
          <w:tcPr>
            <w:tcW w:w="24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firstLineChars="0" w:firstLine="0"/>
              <w:textAlignment w:val="auto"/>
              <w:rPr>
                <w:rFonts w:ascii="仿宋_GB2312" w:eastAsia="仿宋_GB2312" w:cs="仿宋_GB2312" w:hint="eastAsia"/>
                <w:b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b/>
                <w:sz w:val="24"/>
                <w:szCs w:val="24"/>
              </w:rPr>
              <w:t>暴雨蓝色、黄色预警信号</w:t>
            </w:r>
          </w:p>
        </w:tc>
        <w:tc>
          <w:tcPr>
            <w:tcW w:w="26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560" w:lineRule="exact"/>
              <w:ind w:firstLineChars="0" w:firstLine="0"/>
              <w:jc w:val="center"/>
              <w:textAlignment w:val="auto"/>
              <w:rPr>
                <w:rFonts w:ascii="仿宋_GB2312" w:eastAsia="仿宋_GB2312" w:cs="仿宋_GB2312" w:hint="eastAsia"/>
                <w:b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b/>
                <w:sz w:val="24"/>
                <w:szCs w:val="24"/>
              </w:rPr>
              <w:t>暴雨橙色预警信号</w:t>
            </w:r>
          </w:p>
        </w:tc>
        <w:tc>
          <w:tcPr>
            <w:tcW w:w="2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560" w:lineRule="exact"/>
              <w:ind w:firstLineChars="0" w:firstLine="0"/>
              <w:jc w:val="center"/>
              <w:textAlignment w:val="auto"/>
              <w:rPr>
                <w:rFonts w:ascii="仿宋_GB2312" w:eastAsia="仿宋_GB2312" w:cs="仿宋_GB2312" w:hint="eastAsia"/>
                <w:b/>
                <w:sz w:val="24"/>
                <w:szCs w:val="24"/>
              </w:rPr>
            </w:pPr>
            <w:r>
              <w:rPr>
                <w:rFonts w:ascii="仿宋_GB2312" w:eastAsia="仿宋_GB2312" w:cs="仿宋_GB2312" w:hint="eastAsia"/>
                <w:b/>
                <w:sz w:val="24"/>
                <w:szCs w:val="24"/>
              </w:rPr>
              <w:t>暴雨红色预警信号</w:t>
            </w:r>
          </w:p>
        </w:tc>
      </w:tr>
      <w:tr>
        <w:trPr>
          <w:tblHeader/>
        </w:trPr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left="0" w:firstLineChars="0" w:firstLine="0"/>
              <w:jc w:val="center"/>
              <w:textAlignment w:val="auto"/>
              <w:rPr>
                <w:rFonts w:ascii="仿宋_GB2312" w:eastAsia="仿宋_GB2312" w:cs="仿宋_GB2312" w:hint="eastAsia"/>
                <w:sz w:val="21"/>
                <w:szCs w:val="21"/>
                <w:lang w:val="en-US" w:eastAsia="zh-CN"/>
              </w:rPr>
            </w:pPr>
            <w:r>
              <w:rPr>
                <w:rFonts w:ascii="仿宋_GB2312" w:eastAsia="仿宋_GB2312" w:cs="仿宋_GB2312" w:hint="eastAsia"/>
                <w:sz w:val="21"/>
                <w:szCs w:val="21"/>
                <w:lang w:val="en-US" w:eastAsia="zh-CN"/>
              </w:rPr>
              <w:t>街道</w:t>
            </w:r>
          </w:p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left="0" w:firstLineChars="0" w:firstLine="0"/>
              <w:jc w:val="center"/>
              <w:textAlignment w:val="auto"/>
              <w:rPr>
                <w:rFonts w:asci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ascii="仿宋_GB2312" w:eastAsia="仿宋_GB2312" w:cs="仿宋_GB2312" w:hint="eastAsia"/>
                <w:sz w:val="21"/>
                <w:szCs w:val="21"/>
                <w:lang w:val="en-US" w:eastAsia="zh-CN"/>
              </w:rPr>
              <w:t>办事处</w:t>
            </w:r>
          </w:p>
        </w:tc>
        <w:tc>
          <w:tcPr>
            <w:tcW w:w="78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560" w:lineRule="exact"/>
              <w:jc w:val="center"/>
              <w:textAlignment w:val="auto"/>
              <w:rPr>
                <w:rFonts w:ascii="仿宋_GB2312" w:eastAsia="仿宋_GB2312" w:cs="仿宋_GB2312" w:hint="eastAsia"/>
                <w:sz w:val="21"/>
                <w:szCs w:val="21"/>
              </w:rPr>
            </w:pPr>
            <w:r>
              <w:rPr>
                <w:rFonts w:ascii="仿宋_GB2312" w:eastAsia="仿宋_GB2312" w:cs="仿宋_GB2312" w:hint="eastAsia"/>
                <w:sz w:val="21"/>
                <w:szCs w:val="21"/>
              </w:rPr>
              <w:t>启动相应应急预案，组织辖区内灾害防御、救援工作</w:t>
            </w:r>
          </w:p>
        </w:tc>
      </w:tr>
      <w:tr>
        <w:trPr>
          <w:tblHeader/>
        </w:trPr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firstLineChars="0" w:firstLine="0"/>
              <w:jc w:val="both"/>
              <w:textAlignment w:val="auto"/>
              <w:rPr>
                <w:rFonts w:ascii="仿宋_GB2312" w:eastAsia="仿宋_GB2312" w:cs="仿宋_GB2312" w:hint="eastAsia"/>
                <w:snapToGrid w:val="0"/>
                <w:kern w:val="24"/>
                <w:sz w:val="21"/>
                <w:szCs w:val="21"/>
                <w:lang w:val="en-US" w:eastAsia="zh-CN" w:bidi="ar-SA"/>
              </w:rPr>
            </w:pPr>
            <w:r>
              <w:rPr>
                <w:rFonts w:ascii="仿宋_GB2312" w:eastAsia="仿宋_GB2312" w:cs="仿宋_GB2312" w:hint="eastAsia"/>
                <w:snapToGrid w:val="0"/>
                <w:kern w:val="24"/>
                <w:sz w:val="21"/>
                <w:szCs w:val="21"/>
                <w:lang w:val="en-US" w:eastAsia="zh-CN" w:bidi="ar-SA"/>
              </w:rPr>
              <w:t>各社区（村）</w:t>
            </w: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jc w:val="both"/>
              <w:textAlignment w:val="auto"/>
              <w:rPr>
                <w:rFonts w:ascii="仿宋_GB2312" w:eastAsia="仿宋_GB2312" w:cs="仿宋_GB2312" w:hint="eastAsia"/>
                <w:sz w:val="21"/>
                <w:szCs w:val="21"/>
              </w:rPr>
            </w:pPr>
            <w:r>
              <w:rPr>
                <w:rFonts w:ascii="仿宋_GB2312" w:eastAsia="仿宋_GB2312" w:cs="仿宋_GB2312" w:hint="eastAsia"/>
                <w:sz w:val="21"/>
                <w:szCs w:val="21"/>
              </w:rPr>
              <w:t>通知居住在低洼地带、各类危旧住房、厂房、工棚、临时建筑的人员注意可能出现的水浸、房屋漏雨等情况，并组织检查安全隐患</w:t>
            </w:r>
          </w:p>
        </w:tc>
        <w:tc>
          <w:tcPr>
            <w:tcW w:w="26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jc w:val="both"/>
              <w:textAlignment w:val="auto"/>
              <w:rPr>
                <w:rFonts w:ascii="仿宋_GB2312" w:eastAsia="仿宋_GB2312" w:cs="仿宋_GB2312" w:hint="eastAsia"/>
                <w:sz w:val="21"/>
                <w:szCs w:val="21"/>
              </w:rPr>
            </w:pPr>
            <w:r>
              <w:rPr>
                <w:rFonts w:ascii="仿宋_GB2312" w:eastAsia="仿宋_GB2312" w:cs="仿宋_GB2312" w:hint="eastAsia"/>
                <w:sz w:val="21"/>
                <w:szCs w:val="21"/>
              </w:rPr>
              <w:t>撤离辖区范围山边、河边窝棚内的临时居住人员；会同有关部门，加强对危坡、危墙、危房的监测</w:t>
            </w:r>
          </w:p>
        </w:tc>
        <w:tc>
          <w:tcPr>
            <w:tcW w:w="28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jc w:val="both"/>
              <w:textAlignment w:val="auto"/>
              <w:rPr>
                <w:rFonts w:ascii="仿宋_GB2312" w:eastAsia="仿宋_GB2312" w:cs="仿宋_GB2312" w:hint="eastAsia"/>
                <w:sz w:val="21"/>
                <w:szCs w:val="21"/>
              </w:rPr>
            </w:pPr>
            <w:r>
              <w:rPr>
                <w:rFonts w:ascii="仿宋_GB2312" w:eastAsia="仿宋_GB2312" w:cs="仿宋_GB2312" w:hint="eastAsia"/>
                <w:sz w:val="21"/>
                <w:szCs w:val="21"/>
              </w:rPr>
              <w:t>对居住在确有安全隐患的各类危旧住房、厂房、工棚、临时建筑的人员，尤其是临近山坡的临时建筑中的人员组织撤离并安置。</w:t>
            </w:r>
          </w:p>
        </w:tc>
      </w:tr>
      <w:tr>
        <w:trPr>
          <w:trHeight w:val="1554"/>
          <w:tblHeader/>
        </w:trPr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firstLineChars="0" w:firstLine="0"/>
              <w:jc w:val="both"/>
              <w:textAlignment w:val="auto"/>
              <w:rPr>
                <w:rFonts w:ascii="仿宋_GB2312" w:eastAsia="仿宋_GB2312" w:cs="仿宋_GB2312" w:hint="eastAsia"/>
                <w:snapToGrid w:val="0"/>
                <w:kern w:val="24"/>
                <w:sz w:val="21"/>
                <w:szCs w:val="21"/>
                <w:lang w:val="en-US" w:eastAsia="zh-CN" w:bidi="ar-SA"/>
              </w:rPr>
            </w:pPr>
            <w:r>
              <w:rPr>
                <w:rFonts w:ascii="仿宋_GB2312" w:eastAsia="仿宋_GB2312" w:cs="仿宋_GB2312" w:hint="eastAsia"/>
                <w:snapToGrid w:val="0"/>
                <w:kern w:val="24"/>
                <w:sz w:val="21"/>
                <w:szCs w:val="21"/>
                <w:lang w:val="en-US" w:eastAsia="zh-CN" w:bidi="ar-SA"/>
              </w:rPr>
              <w:t>村  民</w:t>
            </w: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jc w:val="both"/>
              <w:textAlignment w:val="auto"/>
              <w:rPr>
                <w:rFonts w:ascii="仿宋_GB2312" w:eastAsia="仿宋_GB2312" w:cs="仿宋_GB2312" w:hint="eastAsia"/>
                <w:sz w:val="21"/>
                <w:szCs w:val="21"/>
              </w:rPr>
            </w:pPr>
            <w:r>
              <w:rPr>
                <w:rFonts w:ascii="仿宋_GB2312" w:eastAsia="仿宋_GB2312" w:cs="仿宋_GB2312" w:hint="eastAsia"/>
                <w:sz w:val="21"/>
                <w:szCs w:val="21"/>
              </w:rPr>
              <w:t>注意收听、收看媒体传播的暴雨信息，及时了解暴雨动态；不要到暴雨发生的地区游玩或到河沟游泳</w:t>
            </w:r>
          </w:p>
        </w:tc>
        <w:tc>
          <w:tcPr>
            <w:tcW w:w="26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jc w:val="both"/>
              <w:textAlignment w:val="auto"/>
              <w:rPr>
                <w:rFonts w:ascii="仿宋_GB2312" w:eastAsia="仿宋_GB2312" w:cs="仿宋_GB2312" w:hint="eastAsia"/>
                <w:sz w:val="21"/>
                <w:szCs w:val="21"/>
              </w:rPr>
            </w:pPr>
            <w:r>
              <w:rPr>
                <w:rFonts w:ascii="仿宋_GB2312" w:eastAsia="仿宋_GB2312" w:cs="仿宋_GB2312" w:hint="eastAsia"/>
                <w:sz w:val="21"/>
                <w:szCs w:val="21"/>
              </w:rPr>
              <w:t>调整出行计划，尽量减少外出，尽快回家；关闭门窗，以免雨水进入室内</w:t>
            </w:r>
          </w:p>
        </w:tc>
        <w:tc>
          <w:tcPr>
            <w:tcW w:w="28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jc w:val="both"/>
              <w:textAlignment w:val="auto"/>
              <w:rPr>
                <w:rFonts w:ascii="仿宋_GB2312" w:eastAsia="仿宋_GB2312" w:cs="仿宋_GB2312" w:hint="eastAsia"/>
                <w:sz w:val="21"/>
                <w:szCs w:val="21"/>
              </w:rPr>
            </w:pPr>
            <w:r>
              <w:rPr>
                <w:rFonts w:ascii="仿宋_GB2312" w:eastAsia="仿宋_GB2312" w:cs="仿宋_GB2312" w:hint="eastAsia"/>
                <w:sz w:val="21"/>
                <w:szCs w:val="21"/>
              </w:rPr>
              <w:t>户外人员尽量寻找安全地带躲雨，并要注意防止雷电袭击；危险建筑物内的人员需要撤离</w:t>
            </w:r>
          </w:p>
        </w:tc>
      </w:tr>
    </w:tbl>
    <w:p>
      <w:pPr>
        <w:pStyle w:val="134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Chars="0" w:firstLine="0"/>
        <w:textAlignment w:val="auto"/>
        <w:rPr>
          <w:rFonts w:ascii="仿宋_GB2312" w:eastAsia="仿宋_GB2312" w:cs="仿宋_GB2312" w:hint="eastAsia"/>
          <w:b/>
          <w:sz w:val="32"/>
          <w:szCs w:val="32"/>
        </w:rPr>
      </w:pPr>
      <w:r>
        <w:rPr>
          <w:rFonts w:ascii="仿宋_GB2312" w:eastAsia="仿宋_GB2312" w:cs="仿宋_GB2312" w:hint="eastAsia"/>
          <w:b/>
          <w:sz w:val="32"/>
          <w:szCs w:val="32"/>
        </w:rPr>
        <w:t>(2)降雪灾害的部门联动和社会响应</w:t>
      </w:r>
    </w:p>
    <w:tbl>
      <w:tblPr>
        <w:jc w:val="left"/>
        <w:tblInd w:w="0" w:type="dxa"/>
        <w:tblW w:w="87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8"/>
        <w:gridCol w:w="2371"/>
        <w:gridCol w:w="2704"/>
        <w:gridCol w:w="2725"/>
      </w:tblGrid>
      <w:tr>
        <w:trPr>
          <w:cantSplit/>
          <w:trHeight w:val="805"/>
          <w:tblHeader/>
        </w:trPr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firstLineChars="0" w:firstLine="0"/>
              <w:textAlignment w:val="auto"/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</w:pPr>
            <w:r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  <w:t>灾 害</w:t>
            </w:r>
          </w:p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firstLineChars="0" w:firstLine="0"/>
              <w:textAlignment w:val="auto"/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</w:pPr>
            <w:r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  <w:t>等 级</w:t>
            </w:r>
          </w:p>
        </w:tc>
        <w:tc>
          <w:tcPr>
            <w:tcW w:w="23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firstLineChars="0" w:firstLine="0"/>
              <w:textAlignment w:val="auto"/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</w:pPr>
            <w:r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  <w:t>Ⅳ级、Ⅲ级 灾害事件</w:t>
            </w:r>
          </w:p>
        </w:tc>
        <w:tc>
          <w:tcPr>
            <w:tcW w:w="27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firstLineChars="0" w:firstLine="0"/>
              <w:jc w:val="center"/>
              <w:textAlignment w:val="auto"/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</w:pPr>
            <w:r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  <w:t>Ⅱ级  重大事件</w:t>
            </w:r>
          </w:p>
        </w:tc>
        <w:tc>
          <w:tcPr>
            <w:tcW w:w="27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firstLineChars="0" w:firstLine="0"/>
              <w:jc w:val="center"/>
              <w:textAlignment w:val="auto"/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</w:pPr>
            <w:r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  <w:t>Ⅰ级  特别重大事件</w:t>
            </w:r>
          </w:p>
        </w:tc>
      </w:tr>
      <w:tr>
        <w:trPr>
          <w:tblHeader/>
        </w:trPr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firstLineChars="0" w:firstLine="0"/>
              <w:jc w:val="both"/>
              <w:textAlignment w:val="auto"/>
              <w:rPr>
                <w:rFonts w:ascii="仿宋_GB2312" w:eastAsia="仿宋_GB2312" w:cs="仿宋_GB2312" w:hint="eastAsia"/>
                <w:sz w:val="21"/>
                <w:szCs w:val="21"/>
                <w:lang w:val="en-US" w:eastAsia="zh-CN"/>
              </w:rPr>
            </w:pPr>
            <w:r>
              <w:rPr>
                <w:rFonts w:ascii="仿宋_GB2312" w:eastAsia="仿宋_GB2312" w:cs="仿宋_GB2312" w:hint="eastAsia"/>
                <w:sz w:val="21"/>
                <w:szCs w:val="21"/>
                <w:lang w:val="en-US" w:eastAsia="zh-CN"/>
              </w:rPr>
              <w:t>街道</w:t>
            </w:r>
          </w:p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firstLineChars="0" w:firstLine="0"/>
              <w:jc w:val="both"/>
              <w:textAlignment w:val="auto"/>
              <w:rPr>
                <w:rFonts w:ascii="仿宋_GB2312" w:eastAsia="仿宋_GB2312" w:cs="仿宋_GB2312" w:hint="eastAsia"/>
                <w:sz w:val="21"/>
                <w:szCs w:val="21"/>
              </w:rPr>
            </w:pPr>
            <w:r>
              <w:rPr>
                <w:rFonts w:ascii="仿宋_GB2312" w:eastAsia="仿宋_GB2312" w:cs="仿宋_GB2312" w:hint="eastAsia"/>
                <w:sz w:val="21"/>
                <w:szCs w:val="21"/>
                <w:lang w:val="en-US" w:eastAsia="zh-CN"/>
              </w:rPr>
              <w:t>办事处</w:t>
            </w:r>
          </w:p>
        </w:tc>
        <w:tc>
          <w:tcPr>
            <w:tcW w:w="7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firstLineChars="0" w:firstLine="0"/>
              <w:jc w:val="both"/>
              <w:textAlignment w:val="auto"/>
              <w:rPr>
                <w:rFonts w:ascii="仿宋_GB2312" w:eastAsia="仿宋_GB2312" w:cs="仿宋_GB2312" w:hint="eastAsia"/>
                <w:sz w:val="21"/>
                <w:szCs w:val="21"/>
              </w:rPr>
            </w:pPr>
            <w:r>
              <w:rPr>
                <w:rFonts w:ascii="仿宋_GB2312" w:eastAsia="仿宋_GB2312" w:cs="仿宋_GB2312" w:hint="eastAsia"/>
                <w:sz w:val="21"/>
                <w:szCs w:val="21"/>
              </w:rPr>
              <w:t>启动相应应急预案，组织辖区内雪灾防御、积雪清理及灾害救援工作</w:t>
            </w:r>
          </w:p>
        </w:tc>
      </w:tr>
      <w:tr>
        <w:trPr>
          <w:trHeight w:val="672"/>
          <w:tblHeader/>
        </w:trPr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firstLineChars="0" w:firstLine="0"/>
              <w:jc w:val="both"/>
              <w:textAlignment w:val="auto"/>
              <w:rPr>
                <w:rFonts w:ascii="仿宋_GB2312" w:eastAsia="仿宋_GB2312" w:cs="仿宋_GB2312" w:hint="eastAsia"/>
                <w:sz w:val="21"/>
                <w:szCs w:val="21"/>
              </w:rPr>
            </w:pPr>
            <w:r>
              <w:rPr>
                <w:rFonts w:ascii="仿宋_GB2312" w:eastAsia="仿宋_GB2312" w:cs="仿宋_GB2312" w:hint="eastAsia"/>
                <w:snapToGrid w:val="0"/>
                <w:kern w:val="24"/>
                <w:sz w:val="21"/>
                <w:szCs w:val="21"/>
                <w:lang w:val="en-US" w:eastAsia="zh-CN" w:bidi="ar-SA"/>
              </w:rPr>
              <w:t>各社区（村）</w:t>
            </w:r>
          </w:p>
        </w:tc>
        <w:tc>
          <w:tcPr>
            <w:tcW w:w="7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firstLineChars="0" w:firstLine="0"/>
              <w:jc w:val="both"/>
              <w:textAlignment w:val="auto"/>
              <w:rPr>
                <w:rFonts w:ascii="仿宋_GB2312" w:eastAsia="仿宋_GB2312" w:cs="仿宋_GB2312" w:hint="eastAsia"/>
                <w:sz w:val="21"/>
                <w:szCs w:val="21"/>
              </w:rPr>
            </w:pPr>
            <w:r>
              <w:rPr>
                <w:rFonts w:ascii="仿宋_GB2312" w:eastAsia="仿宋_GB2312" w:cs="仿宋_GB2312" w:hint="eastAsia"/>
                <w:sz w:val="21"/>
                <w:szCs w:val="21"/>
              </w:rPr>
              <w:t>通知、组织辖区内单位、居民等清理积雪，并组织检查</w:t>
            </w:r>
          </w:p>
        </w:tc>
      </w:tr>
      <w:tr>
        <w:trPr>
          <w:tblHeader/>
        </w:trPr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firstLineChars="0" w:firstLine="0"/>
              <w:jc w:val="both"/>
              <w:textAlignment w:val="auto"/>
              <w:rPr>
                <w:rFonts w:ascii="仿宋_GB2312" w:eastAsia="仿宋_GB2312" w:cs="仿宋_GB2312" w:hint="eastAsia"/>
                <w:sz w:val="21"/>
                <w:szCs w:val="21"/>
              </w:rPr>
            </w:pPr>
            <w:r>
              <w:rPr>
                <w:rFonts w:ascii="仿宋_GB2312" w:eastAsia="仿宋_GB2312" w:cs="仿宋_GB2312" w:hint="eastAsia"/>
                <w:snapToGrid w:val="0"/>
                <w:kern w:val="24"/>
                <w:sz w:val="21"/>
                <w:szCs w:val="21"/>
                <w:lang w:val="en-US" w:eastAsia="zh-CN" w:bidi="ar-SA"/>
              </w:rPr>
              <w:t>村  民</w:t>
            </w:r>
          </w:p>
        </w:tc>
        <w:tc>
          <w:tcPr>
            <w:tcW w:w="7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firstLineChars="0" w:firstLine="0"/>
              <w:jc w:val="both"/>
              <w:textAlignment w:val="auto"/>
              <w:rPr>
                <w:rFonts w:ascii="仿宋_GB2312" w:eastAsia="仿宋_GB2312" w:cs="仿宋_GB2312" w:hint="eastAsia"/>
                <w:sz w:val="21"/>
                <w:szCs w:val="21"/>
              </w:rPr>
            </w:pPr>
            <w:r>
              <w:rPr>
                <w:rFonts w:ascii="仿宋_GB2312" w:eastAsia="仿宋_GB2312" w:cs="仿宋_GB2312" w:hint="eastAsia"/>
                <w:sz w:val="21"/>
                <w:szCs w:val="21"/>
              </w:rPr>
              <w:t>注意收听、收看媒体传播的降雪信息，及时了解降雪动态；主动做好门前积雪清理</w:t>
            </w:r>
          </w:p>
        </w:tc>
      </w:tr>
    </w:tbl>
    <w:p>
      <w:pPr>
        <w:pStyle w:val="134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Chars="0" w:firstLine="0"/>
        <w:textAlignment w:val="auto"/>
        <w:rPr>
          <w:rFonts w:ascii="仿宋_GB2312" w:eastAsia="仿宋_GB2312" w:cs="仿宋_GB2312" w:hint="eastAsia"/>
          <w:b/>
          <w:sz w:val="32"/>
          <w:szCs w:val="32"/>
        </w:rPr>
      </w:pPr>
      <w:r>
        <w:rPr>
          <w:rFonts w:ascii="仿宋_GB2312" w:eastAsia="仿宋_GB2312" w:cs="仿宋_GB2312" w:hint="eastAsia"/>
          <w:b/>
          <w:sz w:val="32"/>
          <w:szCs w:val="32"/>
        </w:rPr>
        <w:t>(3)寒潮灾害的部门联动和社会响应</w:t>
      </w:r>
    </w:p>
    <w:tbl>
      <w:tblPr>
        <w:jc w:val="left"/>
        <w:tblInd w:w="0" w:type="dxa"/>
        <w:tblW w:w="87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63"/>
        <w:gridCol w:w="1995"/>
        <w:gridCol w:w="26"/>
        <w:gridCol w:w="2482"/>
        <w:gridCol w:w="2982"/>
      </w:tblGrid>
      <w:tr>
        <w:trPr>
          <w:cantSplit/>
          <w:trHeight w:val="359"/>
          <w:tblHeader/>
        </w:trPr>
        <w:tc>
          <w:tcPr>
            <w:tcW w:w="12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firstLineChars="0" w:firstLine="0"/>
              <w:textAlignment w:val="auto"/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</w:pPr>
            <w:r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  <w:t>灾   害</w:t>
            </w:r>
          </w:p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firstLineChars="0" w:firstLine="0"/>
              <w:textAlignment w:val="auto"/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</w:pPr>
            <w:r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  <w:t>等   级</w:t>
            </w:r>
          </w:p>
        </w:tc>
        <w:tc>
          <w:tcPr>
            <w:tcW w:w="20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firstLineChars="0" w:firstLine="0"/>
              <w:textAlignment w:val="auto"/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</w:pPr>
            <w:r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  <w:t>Ⅳ级、Ⅲ级灾害事件</w:t>
            </w:r>
          </w:p>
        </w:tc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firstLineChars="0" w:firstLine="0"/>
              <w:jc w:val="center"/>
              <w:textAlignment w:val="auto"/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</w:pPr>
            <w:r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  <w:t>Ⅱ级  重大事件</w:t>
            </w:r>
          </w:p>
        </w:tc>
        <w:tc>
          <w:tcPr>
            <w:tcW w:w="2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firstLineChars="0" w:firstLine="0"/>
              <w:jc w:val="center"/>
              <w:textAlignment w:val="auto"/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</w:pPr>
            <w:r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  <w:t>I级特别重大事件</w:t>
            </w:r>
          </w:p>
        </w:tc>
      </w:tr>
      <w:tr>
        <w:trPr>
          <w:cantSplit/>
          <w:trHeight w:val="462"/>
          <w:tblHeader/>
        </w:trPr>
        <w:tc>
          <w:tcPr>
            <w:tcW w:w="12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/>
        </w:tc>
        <w:tc>
          <w:tcPr>
            <w:tcW w:w="20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firstLineChars="0" w:firstLine="0"/>
              <w:textAlignment w:val="auto"/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</w:pPr>
            <w:r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  <w:t>寒潮蓝色、黄色预警信号</w:t>
            </w:r>
          </w:p>
        </w:tc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firstLineChars="0" w:firstLine="0"/>
              <w:jc w:val="center"/>
              <w:textAlignment w:val="auto"/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</w:pPr>
            <w:r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  <w:t>寒潮橙色预警信号</w:t>
            </w:r>
          </w:p>
        </w:tc>
        <w:tc>
          <w:tcPr>
            <w:tcW w:w="2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firstLineChars="0" w:firstLine="0"/>
              <w:jc w:val="center"/>
              <w:textAlignment w:val="auto"/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</w:pPr>
            <w:r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  <w:t>寒潮红色预警信号</w:t>
            </w:r>
          </w:p>
        </w:tc>
      </w:tr>
      <w:tr>
        <w:trPr>
          <w:tblHeader/>
        </w:trPr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firstLineChars="0" w:firstLine="0"/>
              <w:jc w:val="center"/>
              <w:textAlignment w:val="auto"/>
              <w:rPr>
                <w:rFonts w:ascii="仿宋_GB2312" w:eastAsia="仿宋_GB2312" w:cs="仿宋_GB2312" w:hint="eastAsia"/>
                <w:sz w:val="21"/>
                <w:szCs w:val="21"/>
                <w:lang w:val="en-US" w:eastAsia="zh-CN"/>
              </w:rPr>
            </w:pPr>
            <w:r>
              <w:rPr>
                <w:rFonts w:ascii="仿宋_GB2312" w:eastAsia="仿宋_GB2312" w:cs="仿宋_GB2312" w:hint="eastAsia"/>
                <w:sz w:val="21"/>
                <w:szCs w:val="21"/>
                <w:lang w:val="en-US" w:eastAsia="zh-CN"/>
              </w:rPr>
              <w:t>街道</w:t>
            </w:r>
          </w:p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firstLineChars="0" w:firstLine="0"/>
              <w:jc w:val="center"/>
              <w:textAlignment w:val="auto"/>
              <w:rPr>
                <w:rFonts w:ascii="仿宋_GB2312" w:eastAsia="仿宋_GB2312" w:cs="仿宋_GB2312" w:hint="eastAsia"/>
                <w:sz w:val="21"/>
                <w:szCs w:val="21"/>
              </w:rPr>
            </w:pPr>
            <w:r>
              <w:rPr>
                <w:rFonts w:ascii="仿宋_GB2312" w:eastAsia="仿宋_GB2312" w:cs="仿宋_GB2312" w:hint="eastAsia"/>
                <w:sz w:val="21"/>
                <w:szCs w:val="21"/>
                <w:lang w:val="en-US" w:eastAsia="zh-CN"/>
              </w:rPr>
              <w:t>办事处</w:t>
            </w:r>
          </w:p>
        </w:tc>
        <w:tc>
          <w:tcPr>
            <w:tcW w:w="74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jc w:val="both"/>
              <w:textAlignment w:val="auto"/>
              <w:rPr>
                <w:rFonts w:ascii="仿宋_GB2312" w:eastAsia="仿宋_GB2312" w:cs="仿宋_GB2312" w:hint="eastAsia"/>
                <w:sz w:val="21"/>
                <w:szCs w:val="21"/>
              </w:rPr>
            </w:pPr>
            <w:r>
              <w:rPr>
                <w:rFonts w:ascii="仿宋_GB2312" w:eastAsia="仿宋_GB2312" w:cs="仿宋_GB2312" w:hint="eastAsia"/>
                <w:sz w:val="21"/>
                <w:szCs w:val="21"/>
              </w:rPr>
              <w:t>启动响应预案，组织实施区内各项防御、救援工作</w:t>
            </w:r>
          </w:p>
        </w:tc>
      </w:tr>
      <w:tr>
        <w:trPr>
          <w:tblHeader/>
        </w:trPr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firstLineChars="0" w:firstLine="0"/>
              <w:jc w:val="center"/>
              <w:textAlignment w:val="auto"/>
              <w:rPr>
                <w:rFonts w:ascii="仿宋_GB2312" w:eastAsia="仿宋_GB2312" w:cs="仿宋_GB2312" w:hint="eastAsia"/>
                <w:sz w:val="21"/>
                <w:szCs w:val="21"/>
              </w:rPr>
            </w:pPr>
            <w:r>
              <w:rPr>
                <w:rFonts w:ascii="仿宋_GB2312" w:eastAsia="仿宋_GB2312" w:cs="仿宋_GB2312" w:hint="eastAsia"/>
                <w:snapToGrid w:val="0"/>
                <w:kern w:val="24"/>
                <w:sz w:val="21"/>
                <w:szCs w:val="21"/>
                <w:lang w:val="en-US" w:eastAsia="zh-CN" w:bidi="ar-SA"/>
              </w:rPr>
              <w:t>各社区（村）</w:t>
            </w:r>
          </w:p>
        </w:tc>
        <w:tc>
          <w:tcPr>
            <w:tcW w:w="74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jc w:val="both"/>
              <w:textAlignment w:val="auto"/>
              <w:rPr>
                <w:rFonts w:ascii="仿宋_GB2312" w:eastAsia="仿宋_GB2312" w:cs="仿宋_GB2312" w:hint="eastAsia"/>
                <w:sz w:val="21"/>
                <w:szCs w:val="21"/>
              </w:rPr>
            </w:pPr>
            <w:r>
              <w:rPr>
                <w:rFonts w:ascii="仿宋_GB2312" w:eastAsia="仿宋_GB2312" w:cs="仿宋_GB2312" w:hint="eastAsia"/>
                <w:sz w:val="21"/>
                <w:szCs w:val="21"/>
              </w:rPr>
              <w:t>组织实施本辖区各项防御、救援工作</w:t>
            </w:r>
          </w:p>
        </w:tc>
      </w:tr>
      <w:tr>
        <w:trPr>
          <w:tblHeader/>
        </w:trPr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firstLineChars="0" w:firstLine="0"/>
              <w:jc w:val="center"/>
              <w:textAlignment w:val="auto"/>
              <w:rPr>
                <w:rFonts w:ascii="仿宋_GB2312" w:eastAsia="仿宋_GB2312" w:cs="仿宋_GB2312" w:hint="eastAsia"/>
                <w:sz w:val="21"/>
                <w:szCs w:val="21"/>
              </w:rPr>
            </w:pPr>
            <w:r>
              <w:rPr>
                <w:rFonts w:ascii="仿宋_GB2312" w:eastAsia="仿宋_GB2312" w:cs="仿宋_GB2312" w:hint="eastAsia"/>
                <w:snapToGrid w:val="0"/>
                <w:kern w:val="24"/>
                <w:sz w:val="21"/>
                <w:szCs w:val="21"/>
                <w:lang w:val="en-US" w:eastAsia="zh-CN" w:bidi="ar-SA"/>
              </w:rPr>
              <w:t>村  民</w:t>
            </w:r>
          </w:p>
        </w:tc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firstLineChars="0" w:firstLine="0"/>
              <w:jc w:val="both"/>
              <w:textAlignment w:val="auto"/>
              <w:rPr>
                <w:rFonts w:ascii="仿宋_GB2312" w:eastAsia="仿宋_GB2312" w:cs="仿宋_GB2312" w:hint="eastAsia"/>
                <w:sz w:val="21"/>
                <w:szCs w:val="21"/>
              </w:rPr>
            </w:pPr>
            <w:r>
              <w:rPr>
                <w:rFonts w:ascii="仿宋_GB2312" w:eastAsia="仿宋_GB2312" w:cs="仿宋_GB2312" w:hint="eastAsia"/>
                <w:sz w:val="21"/>
                <w:szCs w:val="21"/>
              </w:rPr>
              <w:t>注意收听、收看媒体传播的各类寒潮信息，及时了解天气变化，注意添衣保暖；</w:t>
            </w:r>
          </w:p>
        </w:tc>
        <w:tc>
          <w:tcPr>
            <w:tcW w:w="54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jc w:val="both"/>
              <w:textAlignment w:val="auto"/>
              <w:rPr>
                <w:rFonts w:ascii="仿宋_GB2312" w:eastAsia="仿宋_GB2312" w:cs="仿宋_GB2312" w:hint="eastAsia"/>
                <w:sz w:val="21"/>
                <w:szCs w:val="21"/>
              </w:rPr>
            </w:pPr>
            <w:r>
              <w:rPr>
                <w:rFonts w:ascii="仿宋_GB2312" w:eastAsia="仿宋_GB2312" w:cs="仿宋_GB2312" w:hint="eastAsia"/>
                <w:sz w:val="21"/>
                <w:szCs w:val="21"/>
              </w:rPr>
              <w:t>年老体弱者、儿童、患有呼吸道疾病、关节炎、胃溃疡、心脑血管疾病者注意预防</w:t>
            </w:r>
          </w:p>
        </w:tc>
      </w:tr>
    </w:tbl>
    <w:p>
      <w:pPr>
        <w:pStyle w:val="134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Chars="0" w:firstLine="0"/>
        <w:textAlignment w:val="auto"/>
        <w:rPr>
          <w:rFonts w:ascii="仿宋_GB2312" w:eastAsia="仿宋_GB2312" w:cs="仿宋_GB2312" w:hint="eastAsia"/>
          <w:b/>
          <w:sz w:val="32"/>
          <w:szCs w:val="32"/>
        </w:rPr>
      </w:pPr>
      <w:r>
        <w:rPr>
          <w:rFonts w:ascii="仿宋_GB2312" w:eastAsia="仿宋_GB2312" w:cs="仿宋_GB2312" w:hint="eastAsia"/>
          <w:b/>
          <w:sz w:val="32"/>
          <w:szCs w:val="32"/>
        </w:rPr>
        <w:t>(4)大风灾害的部门联动和社会响应</w:t>
      </w:r>
    </w:p>
    <w:tbl>
      <w:tblPr>
        <w:jc w:val="left"/>
        <w:tblInd w:w="0" w:type="dxa"/>
        <w:tblW w:w="87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63"/>
        <w:gridCol w:w="1995"/>
        <w:gridCol w:w="26"/>
        <w:gridCol w:w="2482"/>
        <w:gridCol w:w="2982"/>
      </w:tblGrid>
      <w:tr>
        <w:trPr>
          <w:cantSplit/>
          <w:trHeight w:val="359"/>
          <w:tblHeader/>
        </w:trPr>
        <w:tc>
          <w:tcPr>
            <w:tcW w:w="12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firstLineChars="0" w:firstLine="0"/>
              <w:textAlignment w:val="auto"/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</w:pPr>
            <w:r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  <w:t>灾害等级</w:t>
            </w:r>
          </w:p>
        </w:tc>
        <w:tc>
          <w:tcPr>
            <w:tcW w:w="20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firstLineChars="0" w:firstLine="0"/>
              <w:textAlignment w:val="auto"/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</w:pPr>
            <w:r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  <w:t>Ⅳ级、Ⅲ级灾害事件</w:t>
            </w:r>
          </w:p>
        </w:tc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firstLineChars="0" w:firstLine="0"/>
              <w:jc w:val="center"/>
              <w:textAlignment w:val="auto"/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</w:pPr>
            <w:r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  <w:t>Ⅱ级  重大事件</w:t>
            </w:r>
          </w:p>
        </w:tc>
        <w:tc>
          <w:tcPr>
            <w:tcW w:w="2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firstLineChars="0" w:firstLine="0"/>
              <w:jc w:val="center"/>
              <w:textAlignment w:val="auto"/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</w:pPr>
            <w:r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  <w:t>I级特别重大事件</w:t>
            </w:r>
          </w:p>
        </w:tc>
      </w:tr>
      <w:tr>
        <w:trPr>
          <w:cantSplit/>
          <w:trHeight w:val="462"/>
          <w:tblHeader/>
        </w:trPr>
        <w:tc>
          <w:tcPr>
            <w:tcW w:w="12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/>
        </w:tc>
        <w:tc>
          <w:tcPr>
            <w:tcW w:w="20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firstLineChars="0" w:firstLine="0"/>
              <w:textAlignment w:val="auto"/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</w:pPr>
            <w:r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  <w:t>大风蓝色、黄色预警信号</w:t>
            </w:r>
          </w:p>
        </w:tc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firstLineChars="0" w:firstLine="0"/>
              <w:jc w:val="center"/>
              <w:textAlignment w:val="auto"/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</w:pPr>
            <w:r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  <w:t>大风橙色预警信号</w:t>
            </w:r>
          </w:p>
        </w:tc>
        <w:tc>
          <w:tcPr>
            <w:tcW w:w="2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firstLineChars="0" w:firstLine="0"/>
              <w:jc w:val="center"/>
              <w:textAlignment w:val="auto"/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</w:pPr>
            <w:r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  <w:t>大风红色预警信号</w:t>
            </w:r>
          </w:p>
        </w:tc>
      </w:tr>
      <w:tr>
        <w:trPr>
          <w:trHeight w:val="592"/>
          <w:tblHeader/>
        </w:trPr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left="0" w:firstLineChars="0" w:firstLine="0"/>
              <w:jc w:val="center"/>
              <w:textAlignment w:val="auto"/>
              <w:rPr>
                <w:rFonts w:ascii="仿宋_GB2312" w:eastAsia="仿宋_GB2312" w:cs="仿宋_GB2312" w:hint="eastAsia"/>
                <w:sz w:val="21"/>
                <w:szCs w:val="21"/>
                <w:lang w:val="en-US" w:eastAsia="zh-CN"/>
              </w:rPr>
            </w:pPr>
            <w:r>
              <w:rPr>
                <w:rFonts w:ascii="仿宋_GB2312" w:eastAsia="仿宋_GB2312" w:cs="仿宋_GB2312" w:hint="eastAsia"/>
                <w:sz w:val="21"/>
                <w:szCs w:val="21"/>
                <w:lang w:val="en-US" w:eastAsia="zh-CN"/>
              </w:rPr>
              <w:t>街道</w:t>
            </w:r>
          </w:p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left="0" w:firstLineChars="0" w:firstLine="0"/>
              <w:jc w:val="center"/>
              <w:textAlignment w:val="auto"/>
              <w:rPr>
                <w:rFonts w:ascii="仿宋_GB2312" w:eastAsia="仿宋_GB2312" w:cs="仿宋_GB2312" w:hint="eastAsia"/>
                <w:sz w:val="21"/>
                <w:szCs w:val="21"/>
              </w:rPr>
            </w:pPr>
            <w:r>
              <w:rPr>
                <w:rFonts w:ascii="仿宋_GB2312" w:eastAsia="仿宋_GB2312" w:cs="仿宋_GB2312" w:hint="eastAsia"/>
                <w:sz w:val="21"/>
                <w:szCs w:val="21"/>
                <w:lang w:val="en-US" w:eastAsia="zh-CN"/>
              </w:rPr>
              <w:t>办事处</w:t>
            </w:r>
          </w:p>
        </w:tc>
        <w:tc>
          <w:tcPr>
            <w:tcW w:w="74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jc w:val="both"/>
              <w:textAlignment w:val="auto"/>
              <w:rPr>
                <w:rFonts w:ascii="仿宋_GB2312" w:eastAsia="仿宋_GB2312" w:cs="仿宋_GB2312" w:hint="eastAsia"/>
                <w:sz w:val="21"/>
                <w:szCs w:val="21"/>
              </w:rPr>
            </w:pPr>
            <w:r>
              <w:rPr>
                <w:rFonts w:ascii="仿宋_GB2312" w:eastAsia="仿宋_GB2312" w:cs="仿宋_GB2312" w:hint="eastAsia"/>
                <w:sz w:val="21"/>
                <w:szCs w:val="21"/>
              </w:rPr>
              <w:t>启动响应预案，组织实施区内各项防御、救援工作</w:t>
            </w:r>
          </w:p>
        </w:tc>
      </w:tr>
      <w:tr>
        <w:trPr>
          <w:trHeight w:val="564"/>
          <w:tblHeader/>
        </w:trPr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left="0" w:firstLineChars="0" w:firstLine="0"/>
              <w:jc w:val="center"/>
              <w:textAlignment w:val="auto"/>
              <w:rPr>
                <w:rFonts w:ascii="仿宋_GB2312" w:eastAsia="仿宋_GB2312" w:cs="仿宋_GB2312" w:hint="eastAsia"/>
                <w:sz w:val="21"/>
                <w:szCs w:val="21"/>
              </w:rPr>
            </w:pPr>
            <w:r>
              <w:rPr>
                <w:rFonts w:ascii="仿宋_GB2312" w:eastAsia="仿宋_GB2312" w:cs="仿宋_GB2312" w:hint="eastAsia"/>
                <w:snapToGrid w:val="0"/>
                <w:kern w:val="24"/>
                <w:sz w:val="21"/>
                <w:szCs w:val="21"/>
                <w:lang w:val="en-US" w:eastAsia="zh-CN" w:bidi="ar-SA"/>
              </w:rPr>
              <w:t>各社区（村）</w:t>
            </w:r>
          </w:p>
        </w:tc>
        <w:tc>
          <w:tcPr>
            <w:tcW w:w="74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jc w:val="both"/>
              <w:textAlignment w:val="auto"/>
              <w:rPr>
                <w:rFonts w:ascii="仿宋_GB2312" w:eastAsia="仿宋_GB2312" w:cs="仿宋_GB2312" w:hint="eastAsia"/>
                <w:sz w:val="21"/>
                <w:szCs w:val="21"/>
              </w:rPr>
            </w:pPr>
            <w:r>
              <w:rPr>
                <w:rFonts w:ascii="仿宋_GB2312" w:eastAsia="仿宋_GB2312" w:cs="仿宋_GB2312" w:hint="eastAsia"/>
                <w:sz w:val="21"/>
                <w:szCs w:val="21"/>
              </w:rPr>
              <w:t>组织实施本辖区各项防御、救援工作</w:t>
            </w:r>
          </w:p>
        </w:tc>
      </w:tr>
      <w:tr>
        <w:trPr>
          <w:trHeight w:val="1099"/>
          <w:tblHeader/>
        </w:trPr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left="0" w:firstLineChars="0" w:firstLine="0"/>
              <w:jc w:val="center"/>
              <w:textAlignment w:val="auto"/>
              <w:rPr>
                <w:rFonts w:ascii="仿宋_GB2312" w:eastAsia="仿宋_GB2312" w:cs="仿宋_GB2312" w:hint="eastAsia"/>
                <w:sz w:val="21"/>
                <w:szCs w:val="21"/>
              </w:rPr>
            </w:pPr>
            <w:r>
              <w:rPr>
                <w:rFonts w:ascii="仿宋_GB2312" w:eastAsia="仿宋_GB2312" w:cs="仿宋_GB2312" w:hint="eastAsia"/>
                <w:snapToGrid w:val="0"/>
                <w:kern w:val="24"/>
                <w:sz w:val="21"/>
                <w:szCs w:val="21"/>
                <w:lang w:val="en-US" w:eastAsia="zh-CN" w:bidi="ar-SA"/>
              </w:rPr>
              <w:t>村  民</w:t>
            </w:r>
          </w:p>
        </w:tc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jc w:val="both"/>
              <w:textAlignment w:val="auto"/>
              <w:rPr>
                <w:rFonts w:ascii="仿宋_GB2312" w:eastAsia="仿宋_GB2312" w:cs="仿宋_GB2312" w:hint="eastAsia"/>
                <w:sz w:val="21"/>
                <w:szCs w:val="21"/>
              </w:rPr>
            </w:pPr>
            <w:r>
              <w:rPr>
                <w:rFonts w:ascii="仿宋_GB2312" w:eastAsia="仿宋_GB2312" w:cs="仿宋_GB2312" w:hint="eastAsia"/>
                <w:sz w:val="21"/>
                <w:szCs w:val="21"/>
              </w:rPr>
              <w:t>注意收听、收看媒体传播的各类大风预警信息，及时了解天气变化</w:t>
            </w:r>
          </w:p>
        </w:tc>
        <w:tc>
          <w:tcPr>
            <w:tcW w:w="54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jc w:val="both"/>
              <w:textAlignment w:val="auto"/>
              <w:rPr>
                <w:rFonts w:ascii="仿宋_GB2312" w:eastAsia="仿宋_GB2312" w:cs="仿宋_GB2312" w:hint="eastAsia"/>
                <w:sz w:val="21"/>
                <w:szCs w:val="21"/>
              </w:rPr>
            </w:pPr>
            <w:r>
              <w:rPr>
                <w:rFonts w:ascii="仿宋_GB2312" w:eastAsia="仿宋_GB2312" w:cs="仿宋_GB2312" w:hint="eastAsia"/>
                <w:sz w:val="21"/>
                <w:szCs w:val="21"/>
              </w:rPr>
              <w:t>尽量不要出门，不要在广告牌、架空电线电缆、树木下躲避</w:t>
            </w:r>
          </w:p>
        </w:tc>
      </w:tr>
    </w:tbl>
    <w:p>
      <w:pPr>
        <w:pStyle w:val="134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Chars="0" w:firstLine="0"/>
        <w:textAlignment w:val="auto"/>
        <w:rPr>
          <w:rFonts w:ascii="仿宋_GB2312" w:eastAsia="仿宋_GB2312" w:cs="仿宋_GB2312" w:hint="eastAsia"/>
          <w:b/>
          <w:sz w:val="32"/>
          <w:szCs w:val="32"/>
        </w:rPr>
      </w:pPr>
      <w:r>
        <w:rPr>
          <w:rFonts w:ascii="仿宋_GB2312" w:eastAsia="仿宋_GB2312" w:cs="仿宋_GB2312" w:hint="eastAsia"/>
          <w:b/>
          <w:sz w:val="32"/>
          <w:szCs w:val="32"/>
        </w:rPr>
        <w:t>(5)高温灾害的部门联动和社会响应</w:t>
      </w:r>
    </w:p>
    <w:tbl>
      <w:tblPr>
        <w:jc w:val="left"/>
        <w:tblInd w:w="0" w:type="dxa"/>
        <w:tblW w:w="88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63"/>
        <w:gridCol w:w="2415"/>
        <w:gridCol w:w="2625"/>
        <w:gridCol w:w="105"/>
        <w:gridCol w:w="2415"/>
      </w:tblGrid>
      <w:tr>
        <w:trPr>
          <w:cantSplit/>
          <w:trHeight w:val="544"/>
          <w:tblHeader/>
        </w:trPr>
        <w:tc>
          <w:tcPr>
            <w:tcW w:w="12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firstLineChars="0" w:firstLine="0"/>
              <w:textAlignment w:val="auto"/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</w:pPr>
            <w:r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  <w:t>灾害等级</w:t>
            </w: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firstLineChars="0" w:firstLine="0"/>
              <w:jc w:val="center"/>
              <w:textAlignment w:val="auto"/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</w:pPr>
            <w:r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  <w:t>Ⅳ级、Ⅲ级灾害事件</w:t>
            </w:r>
          </w:p>
        </w:tc>
        <w:tc>
          <w:tcPr>
            <w:tcW w:w="2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firstLineChars="0" w:firstLine="0"/>
              <w:jc w:val="center"/>
              <w:textAlignment w:val="auto"/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</w:pPr>
            <w:r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  <w:t>Ⅱ级  重大事件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firstLineChars="0" w:firstLine="0"/>
              <w:jc w:val="center"/>
              <w:textAlignment w:val="auto"/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</w:pPr>
            <w:r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  <w:t>Ⅰ级特别重大事件</w:t>
            </w:r>
          </w:p>
        </w:tc>
      </w:tr>
      <w:tr>
        <w:trPr>
          <w:cantSplit/>
          <w:trHeight w:val="450"/>
          <w:tblHeader/>
        </w:trPr>
        <w:tc>
          <w:tcPr>
            <w:tcW w:w="12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/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firstLineChars="0" w:firstLine="0"/>
              <w:jc w:val="center"/>
              <w:textAlignment w:val="auto"/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</w:pPr>
            <w:r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  <w:t>高温黄色预警信号</w:t>
            </w:r>
          </w:p>
        </w:tc>
        <w:tc>
          <w:tcPr>
            <w:tcW w:w="2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firstLineChars="0" w:firstLine="0"/>
              <w:jc w:val="center"/>
              <w:textAlignment w:val="auto"/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</w:pPr>
            <w:r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  <w:t>高温橙色预警信号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firstLineChars="0" w:firstLine="0"/>
              <w:jc w:val="center"/>
              <w:textAlignment w:val="auto"/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</w:pPr>
            <w:r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  <w:t>高温红色预警信号</w:t>
            </w:r>
          </w:p>
        </w:tc>
      </w:tr>
      <w:tr>
        <w:trPr>
          <w:trHeight w:val="652"/>
          <w:tblHeader/>
        </w:trPr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left="0" w:firstLineChars="0" w:firstLine="0"/>
              <w:jc w:val="center"/>
              <w:textAlignment w:val="auto"/>
              <w:rPr>
                <w:rFonts w:ascii="仿宋_GB2312" w:eastAsia="仿宋_GB2312" w:cs="仿宋_GB2312" w:hint="eastAsia"/>
                <w:sz w:val="21"/>
                <w:szCs w:val="21"/>
                <w:lang w:val="en-US" w:eastAsia="zh-CN"/>
              </w:rPr>
            </w:pPr>
            <w:r>
              <w:rPr>
                <w:rFonts w:ascii="仿宋_GB2312" w:eastAsia="仿宋_GB2312" w:cs="仿宋_GB2312" w:hint="eastAsia"/>
                <w:sz w:val="21"/>
                <w:szCs w:val="21"/>
                <w:lang w:val="en-US" w:eastAsia="zh-CN"/>
              </w:rPr>
              <w:t>街道</w:t>
            </w:r>
          </w:p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left="0" w:firstLineChars="0" w:firstLine="0"/>
              <w:jc w:val="center"/>
              <w:textAlignment w:val="auto"/>
              <w:rPr>
                <w:rFonts w:ascii="仿宋_GB2312" w:eastAsia="仿宋_GB2312" w:cs="仿宋_GB2312" w:hint="eastAsia"/>
                <w:sz w:val="21"/>
                <w:szCs w:val="21"/>
              </w:rPr>
            </w:pPr>
            <w:r>
              <w:rPr>
                <w:rFonts w:ascii="仿宋_GB2312" w:eastAsia="仿宋_GB2312" w:cs="仿宋_GB2312" w:hint="eastAsia"/>
                <w:sz w:val="21"/>
                <w:szCs w:val="21"/>
                <w:lang w:val="en-US" w:eastAsia="zh-CN"/>
              </w:rPr>
              <w:t>办事处</w:t>
            </w:r>
          </w:p>
        </w:tc>
        <w:tc>
          <w:tcPr>
            <w:tcW w:w="75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jc w:val="both"/>
              <w:textAlignment w:val="auto"/>
              <w:rPr>
                <w:rFonts w:ascii="仿宋_GB2312" w:eastAsia="仿宋_GB2312" w:cs="仿宋_GB2312" w:hint="eastAsia"/>
                <w:sz w:val="21"/>
                <w:szCs w:val="21"/>
              </w:rPr>
            </w:pPr>
            <w:r>
              <w:rPr>
                <w:rFonts w:ascii="仿宋_GB2312" w:eastAsia="仿宋_GB2312" w:cs="仿宋_GB2312" w:hint="eastAsia"/>
                <w:sz w:val="21"/>
                <w:szCs w:val="21"/>
              </w:rPr>
              <w:t>及时了解高温信息，作好防暑降温、防病、安全生产等各项工作；启动相应预案，组织实施辖区内各项防御、救援工作</w:t>
            </w:r>
          </w:p>
        </w:tc>
      </w:tr>
      <w:tr>
        <w:trPr>
          <w:trHeight w:val="685"/>
          <w:tblHeader/>
        </w:trPr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left="0" w:firstLineChars="0" w:firstLine="0"/>
              <w:jc w:val="center"/>
              <w:textAlignment w:val="auto"/>
              <w:rPr>
                <w:rFonts w:ascii="仿宋_GB2312" w:eastAsia="仿宋_GB2312" w:cs="仿宋_GB2312" w:hint="eastAsia"/>
                <w:sz w:val="21"/>
                <w:szCs w:val="21"/>
              </w:rPr>
            </w:pPr>
            <w:r>
              <w:rPr>
                <w:rFonts w:ascii="仿宋_GB2312" w:eastAsia="仿宋_GB2312" w:cs="仿宋_GB2312" w:hint="eastAsia"/>
                <w:snapToGrid w:val="0"/>
                <w:kern w:val="24"/>
                <w:sz w:val="21"/>
                <w:szCs w:val="21"/>
                <w:lang w:val="en-US" w:eastAsia="zh-CN" w:bidi="ar-SA"/>
              </w:rPr>
              <w:t>各社区（村）</w:t>
            </w:r>
          </w:p>
        </w:tc>
        <w:tc>
          <w:tcPr>
            <w:tcW w:w="75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jc w:val="both"/>
              <w:textAlignment w:val="auto"/>
              <w:rPr>
                <w:rFonts w:ascii="仿宋_GB2312" w:eastAsia="仿宋_GB2312" w:cs="仿宋_GB2312" w:hint="eastAsia"/>
                <w:sz w:val="21"/>
                <w:szCs w:val="21"/>
              </w:rPr>
            </w:pPr>
            <w:r>
              <w:rPr>
                <w:rFonts w:ascii="仿宋_GB2312" w:eastAsia="仿宋_GB2312" w:cs="仿宋_GB2312" w:hint="eastAsia"/>
                <w:sz w:val="21"/>
                <w:szCs w:val="21"/>
              </w:rPr>
              <w:t>配合民政部门，积极救助困难户、老弱人员；在辖区内广泛宣传防高温中暑常识</w:t>
            </w:r>
          </w:p>
        </w:tc>
      </w:tr>
      <w:tr>
        <w:trPr>
          <w:trHeight w:val="1236"/>
          <w:tblHeader/>
        </w:trPr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left="0" w:firstLineChars="0" w:firstLine="0"/>
              <w:jc w:val="center"/>
              <w:textAlignment w:val="auto"/>
              <w:rPr>
                <w:rFonts w:ascii="仿宋_GB2312" w:eastAsia="仿宋_GB2312" w:cs="仿宋_GB2312" w:hint="eastAsia"/>
                <w:sz w:val="21"/>
                <w:szCs w:val="21"/>
              </w:rPr>
            </w:pPr>
            <w:r>
              <w:rPr>
                <w:rFonts w:ascii="仿宋_GB2312" w:eastAsia="仿宋_GB2312" w:cs="仿宋_GB2312" w:hint="eastAsia"/>
                <w:snapToGrid w:val="0"/>
                <w:kern w:val="24"/>
                <w:sz w:val="21"/>
                <w:szCs w:val="21"/>
                <w:lang w:val="en-US" w:eastAsia="zh-CN" w:bidi="ar-SA"/>
              </w:rPr>
              <w:t>村  民</w:t>
            </w: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jc w:val="both"/>
              <w:textAlignment w:val="auto"/>
              <w:rPr>
                <w:rFonts w:ascii="仿宋_GB2312" w:eastAsia="仿宋_GB2312" w:cs="仿宋_GB2312" w:hint="eastAsia"/>
                <w:sz w:val="21"/>
                <w:szCs w:val="21"/>
              </w:rPr>
            </w:pPr>
            <w:r>
              <w:rPr>
                <w:rFonts w:ascii="仿宋_GB2312" w:eastAsia="仿宋_GB2312" w:cs="仿宋_GB2312" w:hint="eastAsia"/>
                <w:sz w:val="21"/>
                <w:szCs w:val="21"/>
              </w:rPr>
              <w:t>注意收听、收看媒体传播的高温天气预警信息；中午前后避免户外活动</w:t>
            </w:r>
          </w:p>
        </w:tc>
        <w:tc>
          <w:tcPr>
            <w:tcW w:w="27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jc w:val="both"/>
              <w:textAlignment w:val="auto"/>
              <w:rPr>
                <w:rFonts w:ascii="仿宋_GB2312" w:eastAsia="仿宋_GB2312" w:cs="仿宋_GB2312" w:hint="eastAsia"/>
                <w:sz w:val="21"/>
                <w:szCs w:val="21"/>
              </w:rPr>
            </w:pPr>
            <w:r>
              <w:rPr>
                <w:rFonts w:ascii="仿宋_GB2312" w:eastAsia="仿宋_GB2312" w:cs="仿宋_GB2312" w:hint="eastAsia"/>
                <w:sz w:val="21"/>
                <w:szCs w:val="21"/>
              </w:rPr>
              <w:t>调整作息，注意饮食调节，尽量避免户外活动</w:t>
            </w: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jc w:val="both"/>
              <w:textAlignment w:val="auto"/>
              <w:rPr>
                <w:rFonts w:ascii="仿宋_GB2312" w:eastAsia="仿宋_GB2312" w:cs="仿宋_GB2312" w:hint="eastAsia"/>
                <w:sz w:val="21"/>
                <w:szCs w:val="21"/>
              </w:rPr>
            </w:pPr>
            <w:r>
              <w:rPr>
                <w:rFonts w:ascii="仿宋_GB2312" w:eastAsia="仿宋_GB2312" w:cs="仿宋_GB2312" w:hint="eastAsia"/>
                <w:sz w:val="21"/>
                <w:szCs w:val="21"/>
              </w:rPr>
              <w:t>停止户外活动</w:t>
            </w:r>
          </w:p>
        </w:tc>
      </w:tr>
    </w:tbl>
    <w:p>
      <w:pPr>
        <w:pStyle w:val="134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Chars="0" w:firstLine="0"/>
        <w:textAlignment w:val="auto"/>
        <w:rPr>
          <w:rFonts w:ascii="仿宋_GB2312" w:eastAsia="仿宋_GB2312" w:cs="仿宋_GB2312" w:hint="eastAsia"/>
          <w:b/>
          <w:sz w:val="32"/>
          <w:szCs w:val="32"/>
        </w:rPr>
      </w:pPr>
      <w:r>
        <w:rPr>
          <w:rFonts w:ascii="仿宋_GB2312" w:eastAsia="仿宋_GB2312" w:cs="仿宋_GB2312" w:hint="eastAsia"/>
          <w:b/>
          <w:sz w:val="32"/>
          <w:szCs w:val="32"/>
        </w:rPr>
        <w:t>(6)雷电灾害的部门联动和社会响应</w:t>
      </w:r>
    </w:p>
    <w:tbl>
      <w:tblPr>
        <w:jc w:val="left"/>
        <w:tblInd w:w="-205" w:type="dxa"/>
        <w:tblW w:w="89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80"/>
        <w:gridCol w:w="7245"/>
      </w:tblGrid>
      <w:tr>
        <w:trPr>
          <w:cantSplit/>
          <w:trHeight w:val="375"/>
        </w:trPr>
        <w:tc>
          <w:tcPr>
            <w:tcW w:w="1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firstLineChars="0" w:firstLine="0"/>
              <w:textAlignment w:val="auto"/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</w:pPr>
            <w:r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  <w:t>灾害等级</w:t>
            </w:r>
          </w:p>
        </w:tc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firstLineChars="0" w:firstLine="0"/>
              <w:textAlignment w:val="auto"/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</w:pPr>
            <w:r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  <w:t>Ⅲ级以上灾害事件</w:t>
            </w:r>
          </w:p>
        </w:tc>
      </w:tr>
      <w:tr>
        <w:trPr>
          <w:cantSplit/>
          <w:trHeight w:val="465"/>
        </w:trPr>
        <w:tc>
          <w:tcPr>
            <w:tcW w:w="1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/>
        </w:tc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firstLineChars="0" w:firstLine="0"/>
              <w:textAlignment w:val="auto"/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</w:pPr>
            <w:r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  <w:t>雷电预警信号</w:t>
            </w:r>
          </w:p>
        </w:tc>
      </w:tr>
      <w:tr>
        <w:trPr>
          <w:cantSplit/>
          <w:trHeight w:val="887"/>
        </w:trPr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jc w:val="both"/>
              <w:textAlignment w:val="auto"/>
              <w:rPr>
                <w:rFonts w:ascii="仿宋_GB2312" w:eastAsia="仿宋_GB2312" w:cs="仿宋_GB2312" w:hint="eastAsia"/>
                <w:sz w:val="21"/>
                <w:szCs w:val="21"/>
              </w:rPr>
            </w:pPr>
            <w:r>
              <w:rPr>
                <w:rFonts w:ascii="仿宋_GB2312" w:eastAsia="仿宋_GB2312" w:cs="仿宋_GB2312" w:hint="eastAsia"/>
                <w:sz w:val="21"/>
                <w:szCs w:val="21"/>
              </w:rPr>
              <w:t>村    民</w:t>
            </w:r>
          </w:p>
        </w:tc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jc w:val="both"/>
              <w:textAlignment w:val="auto"/>
              <w:rPr>
                <w:rFonts w:ascii="仿宋_GB2312" w:eastAsia="仿宋_GB2312" w:cs="仿宋_GB2312" w:hint="eastAsia"/>
                <w:sz w:val="21"/>
                <w:szCs w:val="21"/>
              </w:rPr>
            </w:pPr>
            <w:r>
              <w:rPr>
                <w:rFonts w:ascii="仿宋_GB2312" w:eastAsia="仿宋_GB2312" w:cs="仿宋_GB2312" w:hint="eastAsia"/>
                <w:sz w:val="21"/>
                <w:szCs w:val="21"/>
              </w:rPr>
              <w:t>避免在空旷处行走，尽量躲避在室内；避免在大树、高耸孤立物下躲避雷雨；尽量避免在雷雨时拨打接听手机。</w:t>
            </w:r>
          </w:p>
        </w:tc>
      </w:tr>
    </w:tbl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textAlignment w:val="auto"/>
        <w:rPr>
          <w:rFonts w:ascii="仿宋_GB2312" w:eastAsia="仿宋_GB2312" w:cs="仿宋_GB2312" w:hint="eastAsia"/>
        </w:rPr>
      </w:pPr>
    </w:p>
    <w:p>
      <w:pPr>
        <w:pStyle w:val="134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Chars="0" w:firstLine="0"/>
        <w:textAlignment w:val="auto"/>
        <w:rPr>
          <w:rFonts w:ascii="仿宋_GB2312" w:eastAsia="仿宋_GB2312" w:cs="仿宋_GB2312" w:hint="eastAsia"/>
          <w:b/>
          <w:sz w:val="32"/>
          <w:szCs w:val="32"/>
        </w:rPr>
      </w:pPr>
      <w:r>
        <w:rPr>
          <w:rFonts w:ascii="仿宋_GB2312" w:eastAsia="仿宋_GB2312" w:cs="仿宋_GB2312" w:hint="eastAsia"/>
          <w:b/>
          <w:sz w:val="32"/>
          <w:szCs w:val="32"/>
        </w:rPr>
        <w:t>(7)大雾灾害的部门联动和社会响应</w:t>
      </w:r>
    </w:p>
    <w:tbl>
      <w:tblPr>
        <w:jc w:val="left"/>
        <w:tblInd w:w="-103" w:type="dxa"/>
        <w:tblW w:w="88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08"/>
        <w:gridCol w:w="2460"/>
        <w:gridCol w:w="2520"/>
        <w:gridCol w:w="2835"/>
      </w:tblGrid>
      <w:tr>
        <w:trPr>
          <w:cantSplit/>
          <w:trHeight w:val="370"/>
        </w:trPr>
        <w:tc>
          <w:tcPr>
            <w:tcW w:w="10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firstLineChars="0" w:firstLine="0"/>
              <w:textAlignment w:val="auto"/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</w:pPr>
            <w:r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  <w:t>灾害等级</w:t>
            </w:r>
          </w:p>
        </w:tc>
        <w:tc>
          <w:tcPr>
            <w:tcW w:w="2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firstLineChars="0" w:firstLine="0"/>
              <w:jc w:val="center"/>
              <w:textAlignment w:val="auto"/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</w:pPr>
            <w:r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  <w:t>Ⅲ级  较大事件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firstLineChars="0" w:firstLine="0"/>
              <w:jc w:val="center"/>
              <w:textAlignment w:val="auto"/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</w:pPr>
            <w:r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  <w:t>Ⅱ级  重大事件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firstLineChars="0" w:firstLine="0"/>
              <w:jc w:val="center"/>
              <w:textAlignment w:val="auto"/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</w:pPr>
            <w:r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  <w:t>I级  特别重大事件</w:t>
            </w:r>
          </w:p>
        </w:tc>
      </w:tr>
      <w:tr>
        <w:trPr>
          <w:cantSplit/>
          <w:trHeight w:val="305"/>
        </w:trPr>
        <w:tc>
          <w:tcPr>
            <w:tcW w:w="10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/>
        </w:tc>
        <w:tc>
          <w:tcPr>
            <w:tcW w:w="2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firstLineChars="0" w:firstLine="0"/>
              <w:jc w:val="center"/>
              <w:textAlignment w:val="auto"/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</w:pPr>
            <w:r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  <w:t>大雾黄色预警信号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firstLineChars="0" w:firstLine="0"/>
              <w:jc w:val="center"/>
              <w:textAlignment w:val="auto"/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</w:pPr>
            <w:r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  <w:t>大雾橙色预警信号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firstLineChars="0" w:firstLine="0"/>
              <w:jc w:val="center"/>
              <w:textAlignment w:val="auto"/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</w:pPr>
            <w:r>
              <w:rPr>
                <w:rFonts w:ascii="仿宋_GB2312" w:eastAsia="仿宋_GB2312" w:cs="仿宋_GB2312" w:hint="eastAsia"/>
                <w:b/>
                <w:sz w:val="24"/>
                <w:szCs w:val="24"/>
                <w:lang w:val="en-US" w:eastAsia="zh-CN"/>
              </w:rPr>
              <w:t>大雾红色预警信号</w:t>
            </w:r>
          </w:p>
        </w:tc>
      </w:tr>
      <w:tr>
        <w:trPr>
          <w:trHeight w:val="1082"/>
          <w:tblHeader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ind w:left="0" w:firstLineChars="0" w:firstLine="0"/>
              <w:jc w:val="both"/>
              <w:textAlignment w:val="auto"/>
              <w:rPr>
                <w:rFonts w:ascii="仿宋_GB2312" w:eastAsia="仿宋_GB2312" w:cs="仿宋_GB2312" w:hint="eastAsia"/>
                <w:sz w:val="21"/>
                <w:szCs w:val="21"/>
              </w:rPr>
            </w:pPr>
            <w:r>
              <w:rPr>
                <w:rFonts w:ascii="仿宋_GB2312" w:eastAsia="仿宋_GB2312" w:cs="仿宋_GB2312" w:hint="eastAsia"/>
                <w:sz w:val="21"/>
                <w:szCs w:val="21"/>
              </w:rPr>
              <w:t>村   民</w:t>
            </w:r>
          </w:p>
        </w:tc>
        <w:tc>
          <w:tcPr>
            <w:tcW w:w="4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jc w:val="both"/>
              <w:textAlignment w:val="auto"/>
              <w:rPr>
                <w:rFonts w:ascii="仿宋_GB2312" w:eastAsia="仿宋_GB2312" w:cs="仿宋_GB2312" w:hint="eastAsia"/>
                <w:sz w:val="21"/>
                <w:szCs w:val="21"/>
              </w:rPr>
            </w:pPr>
            <w:r>
              <w:rPr>
                <w:rFonts w:ascii="仿宋_GB2312" w:eastAsia="仿宋_GB2312" w:cs="仿宋_GB2312" w:hint="eastAsia"/>
                <w:sz w:val="21"/>
                <w:szCs w:val="21"/>
              </w:rPr>
              <w:t>尽量不要出门行走，更不要早起锻炼，非出门行走不可的最好戴上口罩，外出归来应立即清洗面部及裸露的肌肤，注意交通安全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pStyle w:val="13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00" w:lineRule="exact"/>
              <w:jc w:val="both"/>
              <w:textAlignment w:val="auto"/>
              <w:rPr>
                <w:rFonts w:ascii="仿宋_GB2312" w:eastAsia="仿宋_GB2312" w:cs="仿宋_GB2312" w:hint="eastAsia"/>
                <w:sz w:val="21"/>
                <w:szCs w:val="21"/>
              </w:rPr>
            </w:pPr>
            <w:r>
              <w:rPr>
                <w:rFonts w:ascii="仿宋_GB2312" w:eastAsia="仿宋_GB2312" w:cs="仿宋_GB2312" w:hint="eastAsia"/>
                <w:sz w:val="21"/>
                <w:szCs w:val="21"/>
              </w:rPr>
              <w:t>户外人员应使用口罩等防护器具，尽早到室内躲避浓雾天气，注意交通安全</w:t>
            </w:r>
          </w:p>
        </w:tc>
      </w:tr>
    </w:tbl>
    <w:p>
      <w:bookmarkStart w:id="5" w:name="_GoBack"/>
      <w:bookmarkEnd w:id="5"/>
    </w:p>
    <w:sectPr>
      <w:pgSz w:w="11907" w:h="16839"/>
      <w:pgMar w:top="1440" w:right="1800" w:bottom="1440" w:left="1800" w:header="851" w:footer="992" w:gutter="0"/>
      <w:docGrid w:type="lines" w:linePitch="312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仿宋_GB2312">
    <w:panose1 w:val="02010609030101010101"/>
    <w:charset w:val="86"/>
    <w:family w:val="auto"/>
    <w:pitch w:val="variable"/>
    <w:sig w:usb0="00000001" w:usb1="080E0000" w:usb2="00000000" w:usb3="00000000" w:csb0="00040000" w:csb1="00000000"/>
  </w:font>
  <w:font w:name="Times New Roman">
    <w:altName w:val="DejaVu Sans"/>
    <w:panose1 w:val="02020603050405020304"/>
    <w:charset w:val="00"/>
    <w:family w:val="auto"/>
    <w:pitch w:val="variable"/>
    <w:sig w:usb0="00000A87" w:usb1="00000000" w:usb2="00000000" w:usb3="00000000" w:csb0="400001BF" w:csb1="DFF70000"/>
  </w:font>
  <w:font w:name="宋体">
    <w:altName w:val="永中宋体"/>
    <w:panose1 w:val="02010600030101010101"/>
    <w:charset w:val="86"/>
    <w:family w:val="auto"/>
    <w:pitch w:val="variable"/>
    <w:sig w:usb0="00000003" w:usb1="080E0000" w:usb2="00000000" w:usb3="00000000" w:csb0="00040001" w:csb1="00000000"/>
  </w:font>
  <w:font w:name="Calibri">
    <w:panose1 w:val="00000000000000000000"/>
    <w:charset w:val="00"/>
    <w:family w:val="auto"/>
    <w:pitch w:val="variable"/>
    <w:sig w:usb0="00000000" w:usb1="00000000" w:usb2="00000000" w:usb3="00000000" w:csb0="00000000" w:csb1="00000000"/>
  </w:font>
  <w:font w:name="Arial">
    <w:altName w:val="DejaVu Sans"/>
    <w:panose1 w:val="020B0604020202020204"/>
    <w:charset w:val="00"/>
    <w:family w:val="auto"/>
    <w:pitch w:val="variable"/>
    <w:sig w:usb0="00007A87" w:usb1="80000000" w:usb2="00000008" w:usb3="00000000" w:csb0="400001FF" w:csb1="FFFF0000"/>
  </w:font>
  <w:font w:name="楷体_GB2312">
    <w:panose1 w:val="00000000000000000000"/>
    <w:charset w:val="00"/>
    <w:family w:val="auto"/>
    <w:pitch w:val="variable"/>
    <w:sig w:usb0="00000000" w:usb1="00000000" w:usb2="00000000" w:usb3="00000000" w:csb0="00000000" w:csb1="00000000"/>
  </w:font>
</w:fonts>
</file>

<file path=word/settings.xml><?xml version="1.0" encoding="utf-8"?>
<w:settings xmlns:w="http://schemas.openxmlformats.org/wordprocessingml/2006/main" xmlns:o="urn:schemas-microsoft-com:office:office" xmlns:r="http://schemas.openxmlformats.org/officeDocument/2006/relationships" xmlns:m="http://schemas.openxmlformats.org/officeDocument/2006/math" xmlns:v="urn:schemas-microsoft-com:vml">
  <w:zoom w:percent="100"/>
  <w:displayBackgroundShape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1"/>
  <w:characterSpacingControl w:val="compressPunctuation"/>
  <w:compat>
    <w:spaceForUL/>
    <w:balanceSingleByteDoubleByteWidth/>
    <w:ulTrailSpace/>
    <w:doNotExpandShiftReturn/>
    <w:adjustLineHeightInTable/>
    <w:useAltKinsokuLineBreakRules/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r="http://schemas.openxmlformats.org/officeDocument/2006/relationships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style w:type="paragraph" w:default="1" w:styleId="0">
    <w:name w:val="Normal"/>
    <w:next w:val="15"/>
    <w:pPr>
      <w:widowControl w:val="0"/>
      <w:jc w:val="both"/>
    </w:pPr>
    <w:rPr>
      <w:rFonts w:ascii="Calibri" w:eastAsia="宋体" w:cs="Times New Roman" w:hAnsi="Calibri"/>
      <w:kern w:val="2"/>
      <w:sz w:val="21"/>
      <w:szCs w:val="24"/>
      <w:lang w:val="en-US" w:eastAsia="zh-CN" w:bidi="ar-SA"/>
    </w:rPr>
  </w:style>
  <w:style w:type="paragraph" w:styleId="1">
    <w:name w:val="heading 1"/>
    <w:basedOn w:val="0"/>
    <w:next w:val="0"/>
    <w:pPr>
      <w:keepNext/>
      <w:keepLines/>
      <w:spacing w:before="340" w:after="330" w:line="578" w:lineRule="auto"/>
      <w:outlineLvl w:val="0"/>
    </w:pPr>
    <w:rPr>
      <w:b/>
      <w:kern w:val="44"/>
      <w:sz w:val="44"/>
    </w:rPr>
  </w:style>
  <w:style w:type="paragraph" w:styleId="2">
    <w:name w:val="heading 2"/>
    <w:next w:val="0"/>
    <w:pPr>
      <w:keepNext/>
      <w:keepLines/>
      <w:widowControl w:val="0"/>
      <w:spacing w:before="260" w:after="260" w:line="415" w:lineRule="auto"/>
      <w:jc w:val="both"/>
      <w:outlineLvl w:val="1"/>
    </w:pPr>
    <w:rPr>
      <w:rFonts w:ascii="Arial" w:eastAsia="楷体_GB2312" w:cs="Times New Roman" w:hAnsi="Arial"/>
      <w:b/>
      <w:bCs/>
      <w:kern w:val="2"/>
      <w:sz w:val="32"/>
      <w:szCs w:val="32"/>
      <w:lang w:val="en-US" w:eastAsia="zh-CN" w:bidi="ar-SA"/>
    </w:rPr>
  </w:style>
  <w:style w:type="paragraph" w:styleId="3">
    <w:name w:val="heading 3"/>
    <w:basedOn w:val="0"/>
    <w:next w:val="0"/>
    <w:pPr>
      <w:keepNext/>
      <w:keepLines/>
      <w:spacing w:before="260" w:after="260" w:line="415" w:lineRule="auto"/>
      <w:outlineLvl w:val="2"/>
    </w:pPr>
    <w:rPr>
      <w:b/>
      <w:sz w:val="32"/>
    </w:rPr>
  </w:style>
  <w:style w:type="character" w:default="1" w:styleId="10">
    <w:name w:val="Default Paragraph Font"/>
  </w:style>
  <w:style w:type="paragraph" w:styleId="26">
    <w:name w:val="toc 7"/>
    <w:basedOn w:val="0"/>
    <w:autoRedefine/>
    <w:next w:val="0"/>
    <w:pPr>
      <w:ind w:left="2520"/>
    </w:pPr>
  </w:style>
  <w:style w:type="paragraph" w:styleId="27">
    <w:name w:val="toc 8"/>
    <w:basedOn w:val="0"/>
    <w:autoRedefine/>
    <w:next w:val="0"/>
    <w:pPr>
      <w:ind w:left="2940"/>
    </w:pPr>
  </w:style>
  <w:style w:type="paragraph" w:customStyle="1" w:styleId="133">
    <w:name w:val="公文正文"/>
    <w:next w:val="27"/>
    <w:pPr>
      <w:widowControl/>
      <w:spacing w:line="480" w:lineRule="atLeast"/>
      <w:ind w:firstLineChars="200" w:firstLine="200"/>
      <w:jc w:val="both"/>
    </w:pPr>
    <w:rPr>
      <w:rFonts w:ascii="Calibri" w:eastAsia="宋体" w:cs="Times New Roman" w:hAnsi="Calibri"/>
      <w:snapToGrid w:val="0"/>
      <w:kern w:val="24"/>
      <w:sz w:val="30"/>
      <w:szCs w:val="30"/>
      <w:lang w:val="en-US" w:eastAsia="zh-CN" w:bidi="ar-SA"/>
    </w:rPr>
  </w:style>
  <w:style w:type="paragraph" w:customStyle="1" w:styleId="134">
    <w:name w:val="样式 正文(首行缩进) + 首行缩进:  2 字符"/>
    <w:next w:val="26"/>
    <w:pPr>
      <w:widowControl/>
      <w:spacing w:line="480" w:lineRule="atLeast"/>
      <w:ind w:firstLineChars="200" w:firstLine="200"/>
      <w:jc w:val="both"/>
    </w:pPr>
    <w:rPr>
      <w:rFonts w:ascii="Calibri" w:eastAsia="宋体" w:cs="Times New Roman" w:hAnsi="Calibri"/>
      <w:snapToGrid w:val="0"/>
      <w:kern w:val="24"/>
      <w:sz w:val="30"/>
      <w:szCs w:val="30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styles" Target="styles.xml"/><Relationship Id="rId3" Type="http://schemas.openxmlformats.org/officeDocument/2006/relationships/fontTable" Target="fontTable.xml"/></Relationships>
</file>

<file path=docProps/app.xml><?xml version="1.0" encoding="utf-8"?>
<Properties xmlns="http://schemas.openxmlformats.org/officeDocument/2006/extended-properties">
  <Template>Normal.eit</Template>
  <TotalTime>1</TotalTime>
  <Application>Yozo_Office27021597764231179</Application>
  <Pages>2</Pages>
  <Words>1366</Words>
  <Characters>1382</Characters>
  <Lines>157</Lines>
  <Paragraphs>101</Paragraphs>
  <CharactersWithSpaces>1434</CharactersWithSpace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:creator>plqqw</dc:creator>
  <cp:lastModifiedBy>plqqw</cp:lastModifiedBy>
  <cp:revision>1</cp:revision>
  <dcterms:created xsi:type="dcterms:W3CDTF">2022-12-15T03:24:08Z</dcterms:created>
  <dcterms:modified xsi:type="dcterms:W3CDTF">2022-12-15T03:25:33Z</dcterms:modified>
</cp:coreProperties>
</file>