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default"/>
          <w:lang w:val="en-US" w:eastAsia="zh-CN"/>
        </w:rPr>
        <w:t xml:space="preserve">                            </w:t>
      </w:r>
      <w:r>
        <w:rPr>
          <w:rFonts w:hint="eastAsia"/>
          <w:lang w:eastAsia="zh-CN"/>
        </w:rPr>
        <w:t>朔州市平鲁区市场监督管理局</w:t>
      </w:r>
    </w:p>
    <w:p>
      <w:r>
        <w:rPr>
          <w:rFonts w:hint="default"/>
          <w:lang w:val="en-US" w:eastAsia="zh-CN"/>
        </w:rPr>
        <w:t xml:space="preserve">                            </w:t>
      </w:r>
      <w:r>
        <w:rPr>
          <w:rFonts w:hint="eastAsia"/>
          <w:lang w:eastAsia="zh-CN"/>
        </w:rPr>
        <w:t>开展食品安全“五进”宣传工作</w:t>
      </w:r>
    </w:p>
    <w:p>
      <w:pPr>
        <w:ind w:firstLineChars="200"/>
      </w:pPr>
    </w:p>
    <w:p>
      <w:pPr>
        <w:ind w:firstLineChars="200"/>
      </w:pPr>
      <w:r>
        <w:t>今年以来，</w:t>
      </w:r>
      <w:r>
        <w:rPr>
          <w:rFonts w:hint="eastAsia"/>
          <w:lang w:eastAsia="zh-CN"/>
        </w:rPr>
        <w:t>平鲁</w:t>
      </w:r>
      <w:r>
        <w:t>区市场监管局严格落实“四个最严”要求，以日常监督检查作为切入点，深入开展食品安全“守底线、查隐患、保安全”专项行动和打击整治涉老保健食品专项行动。同时，严格落实冷链食品管控，全面排查风险隐患，全力以赴筑牢食品安全防线。一是开展“守底线、查隐患、保安全”专项行动。针对食品生产企业、连锁销售企业、餐饮企业、食品摊贩、小食杂店等重点领域，全面排查在经营资质、进货查验、索证索票、标签标识、生产过程控制、非法添加等方面存在的风险隐患。累计检查196家，发现风险问题24个，全部整改完成。</w:t>
      </w:r>
    </w:p>
    <w:p>
      <w:pPr>
        <w:ind w:firstLineChars="200"/>
      </w:pPr>
    </w:p>
    <w:p>
      <w:pPr>
        <w:ind w:firstLineChars="200"/>
      </w:pPr>
      <w:r>
        <w:drawing>
          <wp:inline distT="0" distB="0" distL="0" distR="0">
            <wp:extent cx="4697730" cy="3524250"/>
            <wp:effectExtent l="0" t="0" r="0" b="0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7850" cy="352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Chars="200"/>
      </w:pPr>
      <w:r>
        <w:rPr>
          <w:lang w:val="en-US"/>
        </w:rPr>
        <w:t xml:space="preserve"> </w:t>
      </w:r>
    </w:p>
    <w:p>
      <w:pPr>
        <w:ind w:firstLineChars="200"/>
      </w:pPr>
      <w:r>
        <w:rPr>
          <w:rFonts w:hint="eastAsia"/>
          <w:lang w:val="en-US" w:eastAsia="zh-CN"/>
        </w:rPr>
        <w:t>二是为进一步深入开展“守底线、查隐患、保安全”活动，积极迎接省级食品安全示范区创建验收工作。近日全面开展食品安全“五进”宣传活动。</w:t>
      </w:r>
    </w:p>
    <w:p>
      <w:pPr>
        <w:ind w:firstLineChars="200"/>
      </w:pPr>
    </w:p>
    <w:p>
      <w:pPr>
        <w:ind w:firstLineChars="200"/>
      </w:pPr>
      <w:r>
        <w:drawing>
          <wp:inline distT="0" distB="0" distL="0" distR="0">
            <wp:extent cx="4708525" cy="2179955"/>
            <wp:effectExtent l="0" t="0" r="0" b="0"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8887" cy="2179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eastAsia="zh-CN"/>
        </w:rPr>
        <w:t xml:space="preserve">    活动通过出动宣传车、设立咨询台、现场解答及发放宣传资料等多途径、多形式，深入学校、社区、商场、超市、企业开展。广泛宣传食品安全法律法规及相关知识，通过宣传进一步强化了食品安全风险防范意识，普及了食品安全投诉举报渠道，增强了群众依法维权的意识。</w:t>
      </w:r>
    </w:p>
    <w:p>
      <w:pPr>
        <w:ind w:firstLineChars="200"/>
      </w:pPr>
      <w:r>
        <w:rPr>
          <w:rFonts w:hint="eastAsia"/>
          <w:lang w:val="en-US" w:eastAsia="zh-CN"/>
        </w:rPr>
        <w:t>活动期间，共向群众发放宣传资料</w:t>
      </w:r>
      <w:r>
        <w:rPr>
          <w:rFonts w:hint="default"/>
          <w:lang w:val="en-US" w:eastAsia="zh-CN"/>
        </w:rPr>
        <w:t>3000</w:t>
      </w:r>
      <w:r>
        <w:rPr>
          <w:rFonts w:hint="eastAsia"/>
          <w:lang w:val="en-US" w:eastAsia="zh-CN"/>
        </w:rPr>
        <w:t>余份，解答食品安全相关问题</w:t>
      </w:r>
      <w:r>
        <w:rPr>
          <w:rFonts w:hint="default"/>
          <w:lang w:val="en-US" w:eastAsia="zh-CN"/>
        </w:rPr>
        <w:t>28</w:t>
      </w:r>
      <w:r>
        <w:rPr>
          <w:rFonts w:hint="eastAsia"/>
          <w:lang w:val="en-US" w:eastAsia="zh-CN"/>
        </w:rPr>
        <w:t>个。收到了良好的社会反响。</w:t>
      </w:r>
    </w:p>
    <w:p>
      <w:pPr>
        <w:ind w:firstLineChars="200"/>
      </w:pPr>
      <w:r>
        <w:rPr>
          <w:rFonts w:hint="eastAsia"/>
          <w:lang w:val="en-US" w:eastAsia="zh-CN"/>
        </w:rPr>
        <w:t xml:space="preserve">                                             （供稿：高玲）</w:t>
      </w:r>
    </w:p>
    <w:p>
      <w:pPr>
        <w:ind w:firstLineChars="200"/>
      </w:pPr>
    </w:p>
    <w:p>
      <w:pPr>
        <w:ind w:firstLineChars="200"/>
      </w:pPr>
      <w:r>
        <w:drawing>
          <wp:inline distT="0" distB="0" distL="114300" distR="114300">
            <wp:extent cx="5228590" cy="2015490"/>
            <wp:effectExtent l="0" t="0" r="0" b="0"/>
            <wp:docPr id="1029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8984" cy="2015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Chars="200"/>
      </w:pPr>
      <w:r>
        <w:drawing>
          <wp:inline distT="0" distB="0" distL="114300" distR="114300">
            <wp:extent cx="5233035" cy="3924935"/>
            <wp:effectExtent l="0" t="0" r="0" b="0"/>
            <wp:docPr id="1030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3524" cy="3925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Chars="200"/>
      </w:pPr>
    </w:p>
    <w:p>
      <w:pPr>
        <w:ind w:firstLineChars="2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                 </w:t>
      </w:r>
    </w:p>
    <w:p>
      <w:r>
        <w:rPr>
          <w:rFonts w:hint="eastAsia"/>
          <w:lang w:val="en-US" w:eastAsia="zh-CN"/>
        </w:rPr>
        <w:t xml:space="preserve">       （供稿：高玲）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2B05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514</Words>
  <Characters>521</Characters>
  <Paragraphs>23</Paragraphs>
  <TotalTime>0</TotalTime>
  <ScaleCrop>false</ScaleCrop>
  <LinksUpToDate>false</LinksUpToDate>
  <CharactersWithSpaces>671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2022-06-17T11:07:00Z</dcterms:created>
  <dc:creator>TAS-AL00</dc:creator>
  <cp:lastModifiedBy>谁、还如儿时单纯</cp:lastModifiedBy>
  <cp:lastPrinted>2022-12-13T09:09:12Z</cp:lastPrinted>
  <dcterms:modified xsi:type="dcterms:W3CDTF">2022-12-13T09:09:19Z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B84AB1871DC24077AF223FBDE4C568F9</vt:lpwstr>
  </property>
  <property fmtid="{D5CDD505-2E9C-101B-9397-08002B2CF9AE}" pid="3" name="KSOProductBuildVer">
    <vt:lpwstr>2052-11.1.0.12763</vt:lpwstr>
  </property>
</Properties>
</file>