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擅自设置标语条幅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2700020"/>
            <wp:effectExtent l="0" t="0" r="17780" b="5080"/>
            <wp:docPr id="2" name="图片 2" descr="fba0b7b404cdc52af4c56314307a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a0b7b404cdc52af4c56314307a0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9520" cy="2700020"/>
            <wp:effectExtent l="0" t="0" r="11430" b="5080"/>
            <wp:docPr id="1" name="图片 1" descr="6f633d6a0a1dd841f5f002796c23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633d6a0a1dd841f5f002796c23c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ind w:firstLine="880" w:firstLineChars="200"/>
        <w:jc w:val="left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根据《朔州市平鲁区城市管理实施办法》（试行）第七章第四十四条之规定，责令其纠正违法行为，采取补救措施外，并给予一定的处罚。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htkj</dc:creator>
  <cp:lastModifiedBy>A阿党   铛铛铛</cp:lastModifiedBy>
  <dcterms:modified xsi:type="dcterms:W3CDTF">2021-12-16T09:48:27Z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C7D0B6F8C21B4DAABC6AF90CBC5FFA6B</vt:lpwstr>
  </property>
</Properties>
</file>