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95" w:type="dxa"/>
        <w:tblInd w:w="-41" w:type="dxa"/>
        <w:tblLayout w:type="fixed"/>
        <w:tblCellMar>
          <w:top w:w="0" w:type="dxa"/>
          <w:left w:w="15" w:type="dxa"/>
          <w:bottom w:w="0" w:type="dxa"/>
          <w:right w:w="15" w:type="dxa"/>
        </w:tblCellMar>
      </w:tblPr>
      <w:tblGrid>
        <w:gridCol w:w="870"/>
        <w:gridCol w:w="1163"/>
        <w:gridCol w:w="1177"/>
        <w:gridCol w:w="796"/>
        <w:gridCol w:w="1010"/>
        <w:gridCol w:w="1400"/>
        <w:gridCol w:w="1095"/>
        <w:gridCol w:w="769"/>
        <w:gridCol w:w="1005"/>
        <w:gridCol w:w="975"/>
        <w:gridCol w:w="1215"/>
        <w:gridCol w:w="1230"/>
        <w:gridCol w:w="1290"/>
      </w:tblGrid>
      <w:tr>
        <w:tblPrEx>
          <w:tblLayout w:type="fixed"/>
          <w:tblCellMar>
            <w:top w:w="0" w:type="dxa"/>
            <w:left w:w="15" w:type="dxa"/>
            <w:bottom w:w="0" w:type="dxa"/>
            <w:right w:w="15" w:type="dxa"/>
          </w:tblCellMar>
        </w:tblPrEx>
        <w:trPr>
          <w:trHeight w:val="405" w:hRule="atLeast"/>
        </w:trPr>
        <w:tc>
          <w:tcPr>
            <w:tcW w:w="870" w:type="dxa"/>
            <w:vAlign w:val="center"/>
          </w:tcPr>
          <w:p>
            <w:pPr>
              <w:autoSpaceDN w:val="0"/>
              <w:jc w:val="left"/>
              <w:textAlignment w:val="center"/>
              <w:rPr>
                <w:rFonts w:ascii="黑体" w:hAnsi="黑体" w:eastAsia="黑体"/>
                <w:color w:val="000000"/>
                <w:sz w:val="32"/>
              </w:rPr>
            </w:pPr>
            <w:r>
              <w:rPr>
                <w:rFonts w:ascii="黑体" w:hAnsi="黑体" w:eastAsia="黑体"/>
                <w:color w:val="000000"/>
                <w:sz w:val="32"/>
              </w:rPr>
              <w:t>附件4</w:t>
            </w:r>
          </w:p>
        </w:tc>
        <w:tc>
          <w:tcPr>
            <w:tcW w:w="1163" w:type="dxa"/>
            <w:vAlign w:val="center"/>
          </w:tcPr>
          <w:p>
            <w:pPr>
              <w:autoSpaceDN w:val="0"/>
              <w:jc w:val="left"/>
              <w:textAlignment w:val="center"/>
              <w:rPr>
                <w:rFonts w:ascii="宋体" w:hAnsi="宋体"/>
                <w:color w:val="000000"/>
                <w:sz w:val="24"/>
              </w:rPr>
            </w:pPr>
          </w:p>
        </w:tc>
        <w:tc>
          <w:tcPr>
            <w:tcW w:w="1177" w:type="dxa"/>
            <w:vAlign w:val="center"/>
          </w:tcPr>
          <w:p>
            <w:pPr>
              <w:autoSpaceDN w:val="0"/>
              <w:jc w:val="left"/>
              <w:textAlignment w:val="center"/>
              <w:rPr>
                <w:rFonts w:ascii="宋体" w:hAnsi="宋体"/>
                <w:color w:val="000000"/>
                <w:sz w:val="24"/>
              </w:rPr>
            </w:pPr>
          </w:p>
        </w:tc>
        <w:tc>
          <w:tcPr>
            <w:tcW w:w="796" w:type="dxa"/>
            <w:vAlign w:val="center"/>
          </w:tcPr>
          <w:p>
            <w:pPr>
              <w:autoSpaceDN w:val="0"/>
              <w:jc w:val="left"/>
              <w:textAlignment w:val="center"/>
              <w:rPr>
                <w:rFonts w:ascii="宋体" w:hAnsi="宋体"/>
                <w:color w:val="000000"/>
                <w:sz w:val="24"/>
              </w:rPr>
            </w:pPr>
          </w:p>
        </w:tc>
        <w:tc>
          <w:tcPr>
            <w:tcW w:w="1010" w:type="dxa"/>
            <w:vAlign w:val="center"/>
          </w:tcPr>
          <w:p>
            <w:pPr>
              <w:autoSpaceDN w:val="0"/>
              <w:jc w:val="left"/>
              <w:textAlignment w:val="center"/>
              <w:rPr>
                <w:rFonts w:ascii="宋体" w:hAnsi="宋体"/>
                <w:color w:val="000000"/>
                <w:sz w:val="24"/>
              </w:rPr>
            </w:pPr>
          </w:p>
        </w:tc>
        <w:tc>
          <w:tcPr>
            <w:tcW w:w="1400" w:type="dxa"/>
            <w:vAlign w:val="center"/>
          </w:tcPr>
          <w:p>
            <w:pPr>
              <w:autoSpaceDN w:val="0"/>
              <w:jc w:val="left"/>
              <w:textAlignment w:val="center"/>
              <w:rPr>
                <w:rFonts w:ascii="宋体" w:hAnsi="宋体"/>
                <w:color w:val="000000"/>
                <w:sz w:val="24"/>
              </w:rPr>
            </w:pPr>
          </w:p>
        </w:tc>
        <w:tc>
          <w:tcPr>
            <w:tcW w:w="1095" w:type="dxa"/>
            <w:vAlign w:val="center"/>
          </w:tcPr>
          <w:p>
            <w:pPr>
              <w:autoSpaceDN w:val="0"/>
              <w:jc w:val="left"/>
              <w:textAlignment w:val="center"/>
              <w:rPr>
                <w:rFonts w:ascii="宋体" w:hAnsi="宋体"/>
                <w:color w:val="000000"/>
                <w:sz w:val="24"/>
              </w:rPr>
            </w:pPr>
          </w:p>
        </w:tc>
        <w:tc>
          <w:tcPr>
            <w:tcW w:w="769" w:type="dxa"/>
            <w:vAlign w:val="center"/>
          </w:tcPr>
          <w:p>
            <w:pPr>
              <w:autoSpaceDN w:val="0"/>
              <w:jc w:val="left"/>
              <w:textAlignment w:val="center"/>
              <w:rPr>
                <w:rFonts w:ascii="宋体" w:hAnsi="宋体"/>
                <w:color w:val="000000"/>
                <w:sz w:val="24"/>
              </w:rPr>
            </w:pPr>
          </w:p>
        </w:tc>
        <w:tc>
          <w:tcPr>
            <w:tcW w:w="1005" w:type="dxa"/>
            <w:vAlign w:val="center"/>
          </w:tcPr>
          <w:p>
            <w:pPr>
              <w:autoSpaceDN w:val="0"/>
              <w:jc w:val="left"/>
              <w:textAlignment w:val="center"/>
              <w:rPr>
                <w:rFonts w:ascii="宋体" w:hAnsi="宋体"/>
                <w:color w:val="000000"/>
                <w:sz w:val="24"/>
              </w:rPr>
            </w:pPr>
          </w:p>
        </w:tc>
        <w:tc>
          <w:tcPr>
            <w:tcW w:w="975" w:type="dxa"/>
            <w:vAlign w:val="center"/>
          </w:tcPr>
          <w:p>
            <w:pPr>
              <w:autoSpaceDN w:val="0"/>
              <w:jc w:val="left"/>
              <w:textAlignment w:val="center"/>
              <w:rPr>
                <w:rFonts w:ascii="宋体" w:hAnsi="宋体"/>
                <w:color w:val="000000"/>
                <w:sz w:val="24"/>
              </w:rPr>
            </w:pPr>
          </w:p>
        </w:tc>
        <w:tc>
          <w:tcPr>
            <w:tcW w:w="1215" w:type="dxa"/>
            <w:vAlign w:val="center"/>
          </w:tcPr>
          <w:p>
            <w:pPr>
              <w:autoSpaceDN w:val="0"/>
              <w:jc w:val="left"/>
              <w:textAlignment w:val="center"/>
              <w:rPr>
                <w:rFonts w:ascii="宋体" w:hAnsi="宋体"/>
                <w:color w:val="000000"/>
                <w:sz w:val="24"/>
              </w:rPr>
            </w:pPr>
          </w:p>
        </w:tc>
        <w:tc>
          <w:tcPr>
            <w:tcW w:w="1230" w:type="dxa"/>
            <w:vAlign w:val="center"/>
          </w:tcPr>
          <w:p>
            <w:pPr>
              <w:autoSpaceDN w:val="0"/>
              <w:jc w:val="left"/>
              <w:textAlignment w:val="center"/>
              <w:rPr>
                <w:rFonts w:ascii="宋体" w:hAnsi="宋体"/>
                <w:color w:val="000000"/>
                <w:sz w:val="24"/>
              </w:rPr>
            </w:pPr>
          </w:p>
        </w:tc>
        <w:tc>
          <w:tcPr>
            <w:tcW w:w="1290" w:type="dxa"/>
            <w:vAlign w:val="center"/>
          </w:tcPr>
          <w:p>
            <w:pPr>
              <w:autoSpaceDN w:val="0"/>
              <w:jc w:val="left"/>
              <w:textAlignment w:val="center"/>
              <w:rPr>
                <w:rFonts w:ascii="宋体" w:hAnsi="宋体"/>
                <w:color w:val="000000"/>
                <w:sz w:val="24"/>
              </w:rPr>
            </w:pPr>
          </w:p>
        </w:tc>
      </w:tr>
      <w:tr>
        <w:tblPrEx>
          <w:tblLayout w:type="fixed"/>
          <w:tblCellMar>
            <w:top w:w="0" w:type="dxa"/>
            <w:left w:w="15" w:type="dxa"/>
            <w:bottom w:w="0" w:type="dxa"/>
            <w:right w:w="15" w:type="dxa"/>
          </w:tblCellMar>
        </w:tblPrEx>
        <w:trPr>
          <w:trHeight w:val="1245" w:hRule="atLeast"/>
        </w:trPr>
        <w:tc>
          <w:tcPr>
            <w:tcW w:w="13995" w:type="dxa"/>
            <w:gridSpan w:val="13"/>
            <w:vAlign w:val="center"/>
          </w:tcPr>
          <w:p>
            <w:pPr>
              <w:autoSpaceDN w:val="0"/>
              <w:jc w:val="center"/>
              <w:textAlignment w:val="center"/>
              <w:rPr>
                <w:rFonts w:ascii="宋体" w:hAnsi="宋体"/>
                <w:b/>
                <w:color w:val="000000"/>
                <w:sz w:val="48"/>
              </w:rPr>
            </w:pPr>
            <w:r>
              <w:rPr>
                <w:rFonts w:hint="eastAsia" w:ascii="宋体" w:hAnsi="宋体"/>
                <w:b/>
                <w:color w:val="000000"/>
                <w:sz w:val="48"/>
                <w:lang w:eastAsia="zh-CN"/>
              </w:rPr>
              <w:t>朔州市平鲁区住建局</w:t>
            </w:r>
            <w:r>
              <w:rPr>
                <w:rFonts w:ascii="宋体" w:hAnsi="宋体"/>
                <w:b/>
                <w:color w:val="000000"/>
                <w:sz w:val="48"/>
              </w:rPr>
              <w:t>行政</w:t>
            </w:r>
            <w:r>
              <w:rPr>
                <w:rFonts w:hint="eastAsia" w:ascii="宋体" w:hAnsi="宋体"/>
                <w:b/>
                <w:color w:val="000000"/>
                <w:sz w:val="48"/>
              </w:rPr>
              <w:t>处罚</w:t>
            </w:r>
            <w:r>
              <w:rPr>
                <w:rFonts w:ascii="宋体" w:hAnsi="宋体"/>
                <w:b/>
                <w:color w:val="000000"/>
                <w:sz w:val="48"/>
              </w:rPr>
              <w:t>音像记录事项清单</w:t>
            </w:r>
          </w:p>
        </w:tc>
      </w:tr>
      <w:tr>
        <w:tblPrEx>
          <w:tblLayout w:type="fixed"/>
          <w:tblCellMar>
            <w:top w:w="0" w:type="dxa"/>
            <w:left w:w="15" w:type="dxa"/>
            <w:bottom w:w="0" w:type="dxa"/>
            <w:right w:w="15" w:type="dxa"/>
          </w:tblCellMar>
        </w:tblPrEx>
        <w:trPr>
          <w:trHeight w:val="156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11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事项</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记录</w:t>
            </w:r>
            <w:r>
              <w:rPr>
                <w:rFonts w:ascii="宋体" w:hAnsi="宋体"/>
                <w:b/>
                <w:color w:val="000000"/>
                <w:sz w:val="24"/>
              </w:rPr>
              <w:br w:type="textWrapping"/>
            </w:r>
            <w:r>
              <w:rPr>
                <w:rFonts w:ascii="宋体" w:hAnsi="宋体"/>
                <w:b/>
                <w:color w:val="000000"/>
                <w:sz w:val="24"/>
              </w:rPr>
              <w:t>事项</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记录</w:t>
            </w:r>
            <w:r>
              <w:rPr>
                <w:rFonts w:ascii="宋体" w:hAnsi="宋体"/>
                <w:b/>
                <w:color w:val="000000"/>
                <w:sz w:val="24"/>
              </w:rPr>
              <w:br w:type="textWrapping"/>
            </w:r>
            <w:r>
              <w:rPr>
                <w:rFonts w:ascii="宋体" w:hAnsi="宋体"/>
                <w:b/>
                <w:color w:val="000000"/>
                <w:sz w:val="24"/>
              </w:rPr>
              <w:t>场合</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部门</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记录人</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开始记录时间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记录过程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结束记录时间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执法记录类别</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Layout w:type="fixed"/>
          <w:tblCellMar>
            <w:top w:w="0" w:type="dxa"/>
            <w:left w:w="15" w:type="dxa"/>
            <w:bottom w:w="0" w:type="dxa"/>
            <w:right w:w="15" w:type="dxa"/>
          </w:tblCellMar>
        </w:tblPrEx>
        <w:trPr>
          <w:trHeight w:val="98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hint="eastAsia" w:ascii="宋体" w:hAnsi="宋体"/>
                <w:color w:val="000000"/>
                <w:sz w:val="22"/>
              </w:rPr>
              <w:t>1</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对建设单位规避招标的处罚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78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hint="eastAsia" w:ascii="宋体" w:hAnsi="宋体"/>
                <w:color w:val="000000"/>
                <w:sz w:val="22"/>
              </w:rPr>
              <w:t>2</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对违反招标代理机构禁止性规定的处罚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134"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r>
              <w:rPr>
                <w:rFonts w:hint="eastAsia" w:ascii="宋体" w:hAnsi="宋体"/>
                <w:color w:val="000000"/>
                <w:sz w:val="22"/>
              </w:rPr>
              <w:t>3</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对招标人以不合理的条件限制或者排斥潜在投标人,对潜在投标人实行歧视待遇的处罚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olor w:val="000000"/>
                <w:sz w:val="22"/>
                <w:lang w:val="en-US" w:eastAsia="zh-CN"/>
              </w:rPr>
            </w:pPr>
            <w:r>
              <w:rPr>
                <w:rFonts w:hint="eastAsia" w:ascii="宋体" w:hAnsi="宋体"/>
                <w:color w:val="000000"/>
                <w:sz w:val="22"/>
                <w:lang w:val="en-US" w:eastAsia="zh-CN"/>
              </w:rPr>
              <w:t>4</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对招标人在招标中泄密的处罚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olor w:val="000000"/>
                <w:sz w:val="22"/>
                <w:lang w:val="en-US" w:eastAsia="zh-CN"/>
              </w:rPr>
            </w:pPr>
            <w:r>
              <w:rPr>
                <w:rFonts w:hint="eastAsia" w:ascii="宋体" w:hAnsi="宋体"/>
                <w:color w:val="000000"/>
                <w:sz w:val="22"/>
                <w:lang w:val="en-US" w:eastAsia="zh-CN"/>
              </w:rPr>
              <w:t>5</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对投标人相互串通或与招标人串通或以向招标人或者评委行贿的手段谋取中标的处罚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olor w:val="000000"/>
                <w:sz w:val="22"/>
                <w:lang w:val="en-US" w:eastAsia="zh-CN"/>
              </w:rPr>
            </w:pPr>
            <w:r>
              <w:rPr>
                <w:rFonts w:hint="eastAsia" w:ascii="宋体" w:hAnsi="宋体"/>
                <w:color w:val="000000"/>
                <w:sz w:val="22"/>
                <w:lang w:val="en-US" w:eastAsia="zh-CN"/>
              </w:rPr>
              <w:t>6</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对投标人以他人名义投标或者以其他方式弄虚作假，骗取中标的处罚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olor w:val="000000"/>
                <w:sz w:val="22"/>
                <w:lang w:val="en-US" w:eastAsia="zh-CN"/>
              </w:rPr>
            </w:pPr>
            <w:r>
              <w:rPr>
                <w:rFonts w:hint="eastAsia" w:ascii="宋体" w:hAnsi="宋体"/>
                <w:color w:val="000000"/>
                <w:sz w:val="22"/>
                <w:lang w:val="en-US" w:eastAsia="zh-CN"/>
              </w:rPr>
              <w:t>7</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对招标人违法与投标人就投标价格、投标方案等实质性内容进行谈判的处罚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olor w:val="000000"/>
                <w:sz w:val="22"/>
                <w:lang w:val="en-US" w:eastAsia="zh-CN"/>
              </w:rPr>
            </w:pPr>
            <w:r>
              <w:rPr>
                <w:rFonts w:hint="eastAsia" w:ascii="宋体" w:hAnsi="宋体"/>
                <w:color w:val="000000"/>
                <w:sz w:val="22"/>
                <w:lang w:val="en-US" w:eastAsia="zh-CN"/>
              </w:rPr>
              <w:t>8</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8"/>
                <w:szCs w:val="18"/>
              </w:rPr>
            </w:pPr>
            <w:r>
              <w:rPr>
                <w:rFonts w:hint="eastAsia" w:ascii="宋体" w:hAnsi="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对评委评标违规的处罚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olor w:val="000000"/>
                <w:sz w:val="22"/>
                <w:lang w:val="en-US" w:eastAsia="zh-CN"/>
              </w:rPr>
            </w:pPr>
            <w:r>
              <w:rPr>
                <w:rFonts w:hint="eastAsia" w:ascii="宋体" w:hAnsi="宋体"/>
                <w:color w:val="000000"/>
                <w:sz w:val="22"/>
                <w:lang w:val="en-US" w:eastAsia="zh-CN"/>
              </w:rPr>
              <w:t>9</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8"/>
                <w:szCs w:val="18"/>
              </w:rPr>
            </w:pPr>
            <w:r>
              <w:rPr>
                <w:rFonts w:hint="eastAsia" w:ascii="宋体" w:hAnsi="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对招标人不按照规定确定中标人，无正当理由不发出中标通知书、改变中标结果，不与中标人订立合同，在订立合同时向中标人提出附加条件的处罚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10</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8"/>
                <w:szCs w:val="18"/>
              </w:rPr>
            </w:pPr>
            <w:r>
              <w:rPr>
                <w:rFonts w:hint="eastAsia" w:ascii="宋体" w:hAnsi="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对中标人肢解发包，转包、违法分包的处罚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11</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对违反招标投标约定订立合同的处罚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968"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12</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对中标人不履行与招标人订立的合同的的处罚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215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13</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对招标方式,招标文件发售,投标文件递交违规的处罚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831"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14</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对招标人违规收受保证金的处罚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2233"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15</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对违规组建评标委员会的处罚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4414"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16</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中标人无正当理由不与招标人订立合同，在签订合同时向招标人提出附加条件，或者不按照招标文件要求提交履约保证金的处罚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3502"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17</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对投标人或者其他利害关系人捏造事实进行投诉的处罚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2286"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18</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对取得招标职业资格的专业人员违反国家有关规定办理招标业务的处罚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727"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19</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对中止招标,给潜在投标人或者投标人造成损失的处罚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73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20</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对招标人不具备自行办理施工招标事宜条件而自行招标的处罚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77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21</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对招标人未在规定期限内提交招标投标情况书面报告的处罚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22</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对建设单位将建设工程发包给不具有相应资质等级的勘察、设计、施工单位或者委托给不具有相应资质等级的工程监理单位的处罚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652"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23</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对承包单位将承包的工程转包或者违法分包的处罚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3307"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24</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8"/>
                <w:szCs w:val="18"/>
              </w:rPr>
            </w:pPr>
            <w:r>
              <w:rPr>
                <w:rFonts w:hint="eastAsia" w:ascii="宋体" w:hAnsi="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对施工单位未取得施工许可证擅自开工或者施工现场安全设施、去污设施及管理不符合规定要求的处罚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8"/>
                <w:szCs w:val="18"/>
              </w:rPr>
            </w:pPr>
            <w:r>
              <w:rPr>
                <w:rFonts w:hint="eastAsia" w:ascii="宋体" w:hAnsi="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8"/>
                <w:szCs w:val="18"/>
              </w:rPr>
            </w:pPr>
            <w:r>
              <w:rPr>
                <w:rFonts w:hint="eastAsia" w:ascii="宋体" w:hAnsi="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8"/>
                <w:szCs w:val="18"/>
              </w:rPr>
            </w:pPr>
            <w:r>
              <w:rPr>
                <w:rFonts w:hint="eastAsia" w:ascii="宋体" w:hAnsi="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8"/>
                <w:szCs w:val="18"/>
              </w:rPr>
            </w:pPr>
            <w:r>
              <w:rPr>
                <w:rFonts w:hint="eastAsia" w:ascii="宋体" w:hAnsi="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8"/>
                <w:szCs w:val="18"/>
              </w:rPr>
            </w:pPr>
            <w:r>
              <w:rPr>
                <w:rFonts w:hint="eastAsia" w:ascii="宋体" w:hAnsi="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8"/>
                <w:szCs w:val="18"/>
              </w:rPr>
            </w:pPr>
            <w:r>
              <w:rPr>
                <w:rFonts w:hint="eastAsia" w:ascii="宋体" w:hAnsi="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8"/>
                <w:szCs w:val="18"/>
              </w:rPr>
            </w:pPr>
            <w:r>
              <w:rPr>
                <w:rFonts w:hint="eastAsia" w:ascii="宋体" w:hAnsi="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18"/>
                <w:szCs w:val="18"/>
              </w:rPr>
            </w:pPr>
          </w:p>
        </w:tc>
      </w:tr>
      <w:tr>
        <w:tblPrEx>
          <w:tblLayout w:type="fixed"/>
          <w:tblCellMar>
            <w:top w:w="0" w:type="dxa"/>
            <w:left w:w="15" w:type="dxa"/>
            <w:bottom w:w="0" w:type="dxa"/>
            <w:right w:w="15" w:type="dxa"/>
          </w:tblCellMar>
        </w:tblPrEx>
        <w:trPr>
          <w:trHeight w:val="2113"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25</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对建设单位未将安全防护文明施工措施费在开工前一次性足额支付施工单位的处罚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2076"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26</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对施工单位特种作业人员未取得建筑施工特种作业操作资格上岗的处罚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3861"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27</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对取得安全生产许可证的建筑施工企业，发生重大安全事故、降低安全生产条件、未取得安全生产许可证、许可证有效期满未办理延期手续，转让、冒用或者伪造的处罚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4471"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28</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对建筑施工企业或单位违反法规，对建筑安全事故隐患不采取措施予以消除以及违反施工现场安全管理规定行为的处罚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3423"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29</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对建设单位未提供建设工程安全生产作业环境及安全施工措施所需费用的处罚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312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30</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对建设单位对其它责任主体提出不合格要求、将拆除工程发包给不具有资质的施工单位的处罚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9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31</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对为建设工程提供未按照安全施工的要求配备齐全有效的保险、限位等的机械设备、配件和出租单位未经安全性能检测或者经检测不合格的机械设备和施工机具及配件的处罚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8111"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32</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对施工设备安装拆卸单位未编制拆装方案、制定安全施工措施，未由专业技术人员现场监督，未出具自检合格证明或者出具虚假证明以及未向施工单位进行安全使用说明，办理移交手续的处罚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300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33</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对建设单位采用欺骗、贿赂等不正当手段取得施工许可证及未取得施工许可证隐瞒、虚报的处罚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市场股</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3652"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34</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对建筑施工企业主要负责人、项目负责人和专职安管人员未按规定履行安全生产管理职责的处罚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568"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35</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对监理单位未尽安全监理义务的处罚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385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36</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对施工单位挪用列入建设工程概算的安全生产作业环境及安全施工措施所需费用的处罚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3866"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37</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对施工单位违规使用施工机械、施工组织设计编制不规范行为的处罚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4007"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38</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对施工单位的主要负责人、项目负责人、作业人员未履行或未按照规定履行安全生产管理职责的处罚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3801"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39</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对建筑施工企业起重机械设备所属单位未尽管理义务存在安全隐患的处罚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4269"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40</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对建筑施工企业、装饰装修企业不按照规定采取必要的安全防护和消防措施消除建筑安全事故隐患的处罚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3746"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41</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对在项目安全管理中施工单位未提供组织、人员、设施等保障措施的处罚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olor w:val="000000"/>
                <w:sz w:val="22"/>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42</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对建设单位未提供建设工程安全生产作业环境及安全施工措施所需费用的处罚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82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43</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对施工单位对作业周边环境未采取防护措施的处罚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493"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44</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对事故发生负有责任的施工单位的处罚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478"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45</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对建筑业企业未及时办理变更手续的处罚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32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46</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对建设单位未办理报建手续的处罚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施工站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3038"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47</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对建设单位要求建筑设计单位或者建筑施工企业违反建筑工程质量标准，降低工程质量的处罚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2771"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48</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对涉及建筑主体或者承重结构变动的装修工程擅自开工、没有设计方案擅自施工的处罚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2387"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49</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对施工企业偷工减料，使用不合格建材或不按设计及标准施工的处罚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50</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对施工企业未履行质量保修义务的处罚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建筑交易中心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51</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对监理单位与建设单位或者施工单位串通，弄虚作假、降低工程质量；监理单位将不合格的建设工程、建筑材料、建筑构配件和设备按照合格签字的处罚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683"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52</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对建设单位违反保证质量规定的处罚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53</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对勘察、设计单位不按质量安全标准进行勘察、设计的处罚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3566"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54</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对施工单位未对建筑材料、建筑构配件、设备和商品混凝土进行检验，或者未对涉及结构安全的试块、试件以及有关材料取样检测的处罚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4429"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55</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对工程监理单位与被监理工程的施工承包单位以及建筑材料、建筑构配件和设备供应单位有隶属关系或者其他利害关系承担该项建设工程的监理业务的处罚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726"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56</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对施工单位发生重大工程质量事故隐瞒不报、谎报或者拖延报告期限的处罚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2084"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57</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对注册建筑师、注册结构工程师、监理工程师等注册执业人员因过错造成质量事故的处罚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2009"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58</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对检测机构未依法取得资质或者超越资质范围进行检测的，或者出具虚假检测报告的处罚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697"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59</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6"/>
                <w:szCs w:val="16"/>
                <w:u w:val="none"/>
                <w:lang w:val="en-US" w:eastAsia="zh-CN" w:bidi="ar"/>
              </w:rPr>
              <w:t>对施工单位未按照建筑工程技术标准验收、检测，委托无资质单位检测行为的处罚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627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60</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使用无合格证或者质量不合格的建筑材料、建筑工业产品和设备、不按照标准进行勘察、设计、施工，造成重大损失或者不良影响、未经质量认证、核定质量等级或者质量不合格，交付使用或者自行使用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47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61</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对检测机构违反有关管理办法操作行为的处罚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4177"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62</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对施工单位明示或暗示检测机构出具虚假检测报告，篡改或伪造检测报告、弄虚作假送检试样的处罚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3709"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63</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对工程勘察企业未按照工程建设强制性标准进行勘察、弄虚作假、提供虚假成果资料的处罚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5277"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64</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对勘察单位文件没有责任人签字或者签字不全、原始记录不按照规定记录或者记录不完整、不参加施工验槽、项目完成后，勘察文件不归档保存的处罚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2831"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65</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对建设单位未为勘察工作提供必要的现场工作条件或者未提供真实、可靠原始资料的处罚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2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66</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对施工单位擅自使用违反规定要求新技术、新材料的处罚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2614"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67</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对单位或个人擅自变动或者破坏房屋建筑抗震构件及应加固而未加固的处罚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2986"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68</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对施工单位未按规范及程序对涉及结构安全的隐蔽工程、分项分部工程进行验收的处罚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69</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对建设单位未申请预验收、报送工程档案，对施工监理单位未移交工程档案的处罚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583"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70</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对监理单位违法开展监理业务的处罚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71</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对建设单位未组织竣工验收擅自交付使用，验收不合格擅自交付使用的、对不合格的建设工程按照合格工程验收的、对需重新组织竣工验收的工程在重新组织竣工验收前擅自使用的处罚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553"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72</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对建设单位违反图审有关规定的处罚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市场股</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583"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73</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对建设单位施工图设计文件未经审查的处罚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市场股</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2613"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74</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对委托方违规委托检测和检测弄虚作假的处罚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市场股</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2132"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75</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对建筑工程竣工验收前，建设单位未向城建档案机构申请工程档案预验收的处罚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3783"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76</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对建设单位未按照国家规定将竣工验收报告、有关认可文件或者准许使用文件报送备案及在工程竣工验收合格规定期限未办理工程竣工验收备案的处罚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4379"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77</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对建设单位采用虚假证明文件办理工程竣工验收备案及备案机关决定重新组织竣工验收的工程，在重新组织竣工验收前，擅自使用的处罚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2796"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78</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对建设工程竣工验收后，建设单位未按规定及时移交和报送建设项目档案的处罚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79</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对建设单位明示或者暗示设计单位、施工单位违反民用建筑节能强制性标准进行设计、施工的，明示或暗示施工单位使用或采购不符合施工图设计文件要求的墙体材料、保温材料、门窗、采暖制冷系统和照明</w:t>
            </w:r>
            <w:r>
              <w:rPr>
                <w:rFonts w:hint="eastAsia" w:ascii="宋体" w:hAnsi="宋体" w:eastAsia="宋体" w:cs="宋体"/>
                <w:i w:val="0"/>
                <w:color w:val="000000"/>
                <w:kern w:val="0"/>
                <w:sz w:val="18"/>
                <w:szCs w:val="18"/>
                <w:u w:val="none"/>
                <w:lang w:val="en-US" w:eastAsia="zh-CN" w:bidi="ar"/>
              </w:rPr>
              <w:t>设备，使用列入禁止使用目录的技术工艺和材料设备的处罚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质监站</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3321"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80</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对建设单位对不符合民用建筑节能强制性标准的民用建筑项目出具竣工验收合格报告的处罚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节能股</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2967"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81</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对设计单位未按照民用建筑节能强制性标准进行设计，或者使用列入禁止使用目录的技术、工艺、材料和设备的处罚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节能股</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365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82</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对施工图设计文件审查机构对不符合民用建筑节能强制性标准和可再生能源利用要求的施工图设计文件出具审查合格书的处罚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节能股</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3936"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83</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对施工单位未按照民用建筑节能强制性标准和施工图设计文件要求进行施工的处罚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节能股</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753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84</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对施工单位使用列入禁止使用目录的技术、工艺、材料、设备的和使用不符合施工图设计文件要求的墙体材料、保温材料、门窗、采暖制冷系统和照明设备的处罚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节能股</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4823"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85</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对监理单位发现施工单位未按照民用建筑节能强制性标准和施工图设计文件要求进行施工，不予制止或者制止无效未报告建设单位和有关主管部门的处罚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节能股</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3328"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86</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对建筑节能测评单位在测评过程中，不执行技术标准、技术规范或者出具虚假测评报告的处罚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节能股</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2162"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87</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对建设项目未配套建设节约用水设施或节约用水设施经验收不合格行为的处罚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节水服务中心</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433"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88</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对城市供水用水户违反节约用水法律行为的处罚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节水服务中心办</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88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89</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对开发企业未取得《商品房预（销）售许可证》预售商品房的处罚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房管股</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201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90</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对未取得或违反燃气经营许可从事燃气经营活动行为的处罚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燃气办</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795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91</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燃气经营者拒绝供气，倒卖、抵押、出租、出售、转让、涂改许可证，擅自停止供气、调整供气量，向未取得燃气使用资格的单位或个人供气，不安全储备燃气，要求用户购买指定产品或者接受其他服务，未向用户持续、稳定、安全供气或者未对用户燃气设施定期进行安全检查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燃气办</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4147"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92</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对燃气经营者销售充装单位擅自为非自有气瓶充装的瓶装燃气的处罚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燃气办</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3484"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93</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对燃气经营者未履行有关燃气设施保护和燃气安全事故预防义务的处罚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燃气办</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94</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燃气用户及相关单位和个人擅自操作公用燃气阀门，将燃气管道作为负重支架或者接地引线，安装使用不符合气源要求的燃气燃烧器具，擅自安装、改装、拆除户内燃气设施和计量装置，在不具备安全条件的场所使用、储存燃气，改变燃气用途或者转供燃气，未设定售后服务站点或者未配备合格的安装、维修人员或者安装、维修不符合标准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燃气办</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748"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95</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对从事影响燃气设施安全的行为的处罚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燃气办</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96</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对侵占、毁损、擅自拆除、移动燃气设施或者擅自改动市政燃气设施,擅自拆除或者移动燃气设施安全警示标志的处罚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燃气办</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97</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对建设、施工单位未对燃气设施未尽相关保护义务的处罚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燃气办</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98</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对在绿地内损坏草坪、花坛、绿篱，损坏、盗窃绿化设施的处罚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99</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对擅自占用城市绿化用地的处罚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100</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对擅自在桥梁或者路灯设施上设置广告牌或者其他挂浮物的处罚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101</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对擅自占用或者挖掘城市道路的处罚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3737"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102</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对不履行卫生责任区清扫保洁义务，不按规定的时间、地点、方式倾倒垃圾、粪便或者不按规定清运垃圾、粪便的处罚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82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103</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对随意倾倒、抛洒、堆放城市生活垃圾的处罚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2549"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104</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对未经批准从事城市生活垃圾经营性清扫、收集、运输或者处置活动的处罚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3598"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105</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对违反环境卫生作业标准和作业规范，未在规定的时间内及时清扫、收运城市生活垃圾的处罚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315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106</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对未将收集的城市生活垃圾运到市、县人民政府建设（环境卫生）主管部门认可的处理场所的处罚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4711"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107</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对清扫、收运城市生活垃圾后，未对生活垃圾收集设施及时保洁、复位，清理作业场地，影响生活垃圾收集设施和周边环境的干净整洁的处罚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2479"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108</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对用于收集、运输城市生活垃圾的车辆未做到密闭、完好和整洁的处罚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109</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对未严格按照国家有关规定和技术标准处置城市生活垃圾的处罚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110</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对未按照所在地建设（环境卫生）主管部门规定的时间和要求接收生活垃圾的处罚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olor w:val="000000"/>
                <w:sz w:val="22"/>
                <w:lang w:val="en-US" w:eastAsia="zh-CN"/>
              </w:rPr>
            </w:pPr>
            <w:r>
              <w:rPr>
                <w:rFonts w:hint="eastAsia" w:ascii="宋体" w:hAnsi="宋体"/>
                <w:color w:val="000000"/>
                <w:sz w:val="22"/>
                <w:lang w:val="en-US" w:eastAsia="zh-CN"/>
              </w:rPr>
              <w:t>111</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对未按照要求配备城市生活垃圾处置设备、设施，或者未能保证设施、设备运行良好的处罚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112</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对未保证城市生活垃圾处置站、场（厂）环境整洁的处罚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113</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对将建筑垃圾混入生活垃圾的处罚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114</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对将危险废物混入建筑垃圾的处罚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65"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115</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对擅自设立弃置场受纳建筑垃圾的处罚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2744"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116</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对施工单位未及时清运工程施工过程中产生的建筑垃圾，造成环境污染的处罚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3569"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117</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对处置建筑垃圾的单位在运输建筑垃圾过程中沿途丢弃、遗撒建筑垃圾的处罚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val="en-US" w:eastAsia="zh-CN"/>
              </w:rPr>
              <w:t>城市管理综合执法大队</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3978"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118</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对城市新建、扩建民用建筑不按国家规定和防护质量标准修建防空地下室及人民防空工程的处罚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人防办</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4436"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119</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对占用人民防空通信专用频率、使用与防空警报相同的音响信号或者擅自拆除人民防空通信、警报设备设施的、阻挠安装人民防空通信、警报设施，拒不改正的处罚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人防办</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3056"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120</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对未依法进行地震安全性评价或者未按照地震安全性评价报告所确定的抗震设防要求进行设防的处罚</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bookmarkStart w:id="0" w:name="_GoBack"/>
            <w:bookmarkEnd w:id="0"/>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抗震办</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3076"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eastAsia" w:ascii="宋体" w:hAnsi="宋体"/>
                <w:color w:val="000000"/>
                <w:sz w:val="22"/>
                <w:lang w:val="en-US" w:eastAsia="zh-CN"/>
              </w:rPr>
              <w:t>121</w:t>
            </w: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行政处罚</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对建设单位擅自确定或更改抗震设防要求；设计单位不按照审定的抗震设防要求进行抗震设计的处罚 </w:t>
            </w:r>
          </w:p>
        </w:tc>
        <w:tc>
          <w:tcPr>
            <w:tcW w:w="79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调查、取证、处罚过程</w:t>
            </w:r>
          </w:p>
        </w:tc>
        <w:tc>
          <w:tcPr>
            <w:tcW w:w="101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现场</w:t>
            </w: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法定时限</w:t>
            </w:r>
          </w:p>
        </w:tc>
        <w:tc>
          <w:tcPr>
            <w:tcW w:w="10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cs="宋体"/>
                <w:color w:val="000000"/>
                <w:sz w:val="18"/>
                <w:szCs w:val="18"/>
                <w:lang w:eastAsia="zh-CN"/>
              </w:rPr>
              <w:t>抗震办</w:t>
            </w:r>
          </w:p>
        </w:tc>
        <w:tc>
          <w:tcPr>
            <w:tcW w:w="76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检查人员</w:t>
            </w:r>
          </w:p>
        </w:tc>
        <w:tc>
          <w:tcPr>
            <w:tcW w:w="100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执法起始时间</w:t>
            </w:r>
          </w:p>
        </w:tc>
        <w:tc>
          <w:tcPr>
            <w:tcW w:w="9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全过程</w:t>
            </w:r>
          </w:p>
        </w:tc>
        <w:tc>
          <w:tcPr>
            <w:tcW w:w="121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执法终止时间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场景类</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color w:val="000000"/>
                <w:sz w:val="18"/>
                <w:szCs w:val="18"/>
              </w:rPr>
            </w:pPr>
          </w:p>
        </w:tc>
      </w:tr>
      <w:tr>
        <w:tblPrEx>
          <w:tblLayout w:type="fixed"/>
          <w:tblCellMar>
            <w:top w:w="0" w:type="dxa"/>
            <w:left w:w="15" w:type="dxa"/>
            <w:bottom w:w="0" w:type="dxa"/>
            <w:right w:w="15" w:type="dxa"/>
          </w:tblCellMar>
        </w:tblPrEx>
        <w:trPr>
          <w:trHeight w:val="1040" w:hRule="atLeast"/>
        </w:trPr>
        <w:tc>
          <w:tcPr>
            <w:tcW w:w="13995" w:type="dxa"/>
            <w:gridSpan w:val="13"/>
            <w:vAlign w:val="center"/>
          </w:tcPr>
          <w:p>
            <w:pPr>
              <w:autoSpaceDN w:val="0"/>
              <w:jc w:val="left"/>
              <w:textAlignment w:val="center"/>
              <w:rPr>
                <w:rFonts w:ascii="宋体" w:hAnsi="宋体"/>
                <w:b/>
                <w:color w:val="000000"/>
                <w:sz w:val="24"/>
              </w:rPr>
            </w:pPr>
            <w:r>
              <w:rPr>
                <w:rFonts w:ascii="宋体" w:hAnsi="宋体"/>
                <w:b/>
                <w:color w:val="000000"/>
                <w:sz w:val="24"/>
              </w:rPr>
              <w:t xml:space="preserve">  </w:t>
            </w:r>
          </w:p>
          <w:p>
            <w:pPr>
              <w:autoSpaceDN w:val="0"/>
              <w:jc w:val="left"/>
              <w:textAlignment w:val="center"/>
              <w:rPr>
                <w:rFonts w:ascii="宋体" w:hAnsi="宋体"/>
                <w:b/>
                <w:color w:val="000000"/>
                <w:sz w:val="24"/>
              </w:rPr>
            </w:pPr>
            <w:r>
              <w:rPr>
                <w:rFonts w:ascii="宋体" w:hAnsi="宋体"/>
                <w:b/>
                <w:color w:val="000000"/>
                <w:sz w:val="24"/>
              </w:rPr>
              <w:t>填表说明：</w:t>
            </w:r>
            <w:r>
              <w:rPr>
                <w:rFonts w:hint="eastAsia" w:ascii="宋体" w:hAnsi="宋体"/>
                <w:b/>
                <w:color w:val="000000"/>
                <w:sz w:val="24"/>
                <w:lang w:val="en-US" w:eastAsia="zh-CN"/>
              </w:rPr>
              <w:t xml:space="preserve">  </w:t>
            </w:r>
            <w:r>
              <w:rPr>
                <w:rFonts w:ascii="宋体" w:hAnsi="宋体"/>
                <w:b/>
                <w:color w:val="000000"/>
                <w:sz w:val="24"/>
              </w:rPr>
              <w:t>1.执法类别：行政许可、行政处罚、行政强制、行政征收征用、行政检查等；</w:t>
            </w:r>
            <w:r>
              <w:rPr>
                <w:rFonts w:ascii="宋体" w:hAnsi="宋体"/>
                <w:b/>
                <w:color w:val="000000"/>
                <w:sz w:val="24"/>
              </w:rPr>
              <w:br w:type="textWrapping"/>
            </w:r>
            <w:r>
              <w:rPr>
                <w:rFonts w:ascii="宋体" w:hAnsi="宋体"/>
                <w:b/>
                <w:color w:val="000000"/>
                <w:sz w:val="24"/>
              </w:rPr>
              <w:t xml:space="preserve">            2.执法事项与行政执法事项清单保持一致；</w:t>
            </w:r>
            <w:r>
              <w:rPr>
                <w:rFonts w:ascii="宋体" w:hAnsi="宋体"/>
                <w:b/>
                <w:color w:val="000000"/>
                <w:sz w:val="24"/>
              </w:rPr>
              <w:br w:type="textWrapping"/>
            </w:r>
            <w:r>
              <w:rPr>
                <w:rFonts w:ascii="宋体" w:hAnsi="宋体"/>
                <w:b/>
                <w:color w:val="000000"/>
                <w:sz w:val="24"/>
              </w:rPr>
              <w:t xml:space="preserve">            3.记录类别：场景类、确认类、入户类、约谈类等。</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55DF1"/>
    <w:rsid w:val="057036D5"/>
    <w:rsid w:val="06455DF1"/>
    <w:rsid w:val="0BE1623B"/>
    <w:rsid w:val="37A35F25"/>
    <w:rsid w:val="3977711B"/>
    <w:rsid w:val="506D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2019-10-23T07:35:00Z</dcterms:created>
  <dc:creator>Administrator</dc:creator>
  <cp:lastModifiedBy>Administrator</cp:lastModifiedBy>
  <dcterms:modified xsi:type="dcterms:W3CDTF">2019-10-25T09:02:35Z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