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非煤矿山企业随机抽查重点事项清单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00"/>
        <w:gridCol w:w="6930"/>
        <w:gridCol w:w="2070"/>
        <w:gridCol w:w="1305"/>
        <w:gridCol w:w="118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6" w:type="dxa"/>
            <w:noWrap w:val="0"/>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500" w:type="dxa"/>
            <w:noWrap w:val="0"/>
            <w:vAlign w:val="center"/>
          </w:tcPr>
          <w:p>
            <w:pPr>
              <w:widowControl/>
              <w:jc w:val="center"/>
              <w:rPr>
                <w:rFonts w:ascii="宋体" w:hAnsi="宋体" w:cs="宋体"/>
                <w:b/>
                <w:kern w:val="0"/>
                <w:sz w:val="22"/>
                <w:szCs w:val="22"/>
              </w:rPr>
            </w:pPr>
            <w:r>
              <w:rPr>
                <w:rFonts w:hint="eastAsia" w:ascii="宋体" w:hAnsi="宋体" w:cs="宋体"/>
                <w:b/>
                <w:kern w:val="0"/>
                <w:sz w:val="22"/>
                <w:szCs w:val="22"/>
              </w:rPr>
              <w:t>抽查事项</w:t>
            </w:r>
          </w:p>
        </w:tc>
        <w:tc>
          <w:tcPr>
            <w:tcW w:w="6930" w:type="dxa"/>
            <w:noWrap w:val="0"/>
            <w:vAlign w:val="center"/>
          </w:tcPr>
          <w:p>
            <w:pPr>
              <w:widowControl/>
              <w:jc w:val="center"/>
              <w:rPr>
                <w:rFonts w:ascii="宋体" w:hAnsi="宋体" w:cs="宋体"/>
                <w:b/>
                <w:kern w:val="0"/>
                <w:sz w:val="22"/>
                <w:szCs w:val="22"/>
              </w:rPr>
            </w:pPr>
            <w:r>
              <w:rPr>
                <w:rFonts w:hint="eastAsia" w:ascii="宋体" w:hAnsi="宋体" w:cs="宋体"/>
                <w:b/>
                <w:kern w:val="0"/>
                <w:sz w:val="22"/>
                <w:szCs w:val="22"/>
              </w:rPr>
              <w:t>检查依据</w:t>
            </w:r>
          </w:p>
        </w:tc>
        <w:tc>
          <w:tcPr>
            <w:tcW w:w="2070" w:type="dxa"/>
            <w:noWrap w:val="0"/>
            <w:vAlign w:val="center"/>
          </w:tcPr>
          <w:p>
            <w:pPr>
              <w:widowControl/>
              <w:jc w:val="center"/>
              <w:rPr>
                <w:rFonts w:ascii="宋体" w:hAnsi="宋体" w:cs="宋体"/>
                <w:b/>
                <w:kern w:val="0"/>
                <w:sz w:val="22"/>
                <w:szCs w:val="22"/>
              </w:rPr>
            </w:pPr>
            <w:r>
              <w:rPr>
                <w:rFonts w:hint="eastAsia" w:ascii="宋体" w:hAnsi="宋体" w:cs="宋体"/>
                <w:b/>
                <w:kern w:val="0"/>
                <w:sz w:val="22"/>
                <w:szCs w:val="22"/>
              </w:rPr>
              <w:t>检查内容</w:t>
            </w:r>
          </w:p>
        </w:tc>
        <w:tc>
          <w:tcPr>
            <w:tcW w:w="1305" w:type="dxa"/>
            <w:noWrap w:val="0"/>
            <w:vAlign w:val="center"/>
          </w:tcPr>
          <w:p>
            <w:pPr>
              <w:widowControl/>
              <w:jc w:val="center"/>
              <w:rPr>
                <w:rFonts w:ascii="宋体" w:hAnsi="宋体" w:cs="宋体"/>
                <w:b/>
                <w:kern w:val="0"/>
                <w:sz w:val="22"/>
                <w:szCs w:val="22"/>
              </w:rPr>
            </w:pPr>
            <w:r>
              <w:rPr>
                <w:rFonts w:hint="eastAsia" w:ascii="宋体" w:hAnsi="宋体" w:cs="宋体"/>
                <w:b/>
                <w:kern w:val="0"/>
                <w:sz w:val="22"/>
                <w:szCs w:val="22"/>
              </w:rPr>
              <w:t>检查方式</w:t>
            </w:r>
          </w:p>
        </w:tc>
        <w:tc>
          <w:tcPr>
            <w:tcW w:w="1185" w:type="dxa"/>
            <w:noWrap w:val="0"/>
            <w:vAlign w:val="center"/>
          </w:tcPr>
          <w:p>
            <w:pPr>
              <w:widowControl/>
              <w:jc w:val="center"/>
              <w:rPr>
                <w:rFonts w:ascii="宋体" w:hAnsi="宋体" w:cs="宋体"/>
                <w:b/>
                <w:kern w:val="0"/>
                <w:sz w:val="22"/>
                <w:szCs w:val="22"/>
              </w:rPr>
            </w:pPr>
            <w:r>
              <w:rPr>
                <w:rFonts w:hint="eastAsia" w:ascii="宋体" w:hAnsi="宋体" w:cs="宋体"/>
                <w:b/>
                <w:kern w:val="0"/>
                <w:sz w:val="22"/>
                <w:szCs w:val="22"/>
              </w:rPr>
              <w:t>适用对象</w:t>
            </w:r>
          </w:p>
        </w:tc>
        <w:tc>
          <w:tcPr>
            <w:tcW w:w="960" w:type="dxa"/>
            <w:noWrap w:val="0"/>
            <w:vAlign w:val="center"/>
          </w:tcPr>
          <w:p>
            <w:pPr>
              <w:widowControl/>
              <w:jc w:val="center"/>
              <w:rPr>
                <w:rFonts w:ascii="宋体" w:hAnsi="宋体" w:cs="宋体"/>
                <w:b/>
                <w:kern w:val="0"/>
                <w:sz w:val="22"/>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6" w:type="dxa"/>
            <w:vMerge w:val="restart"/>
            <w:noWrap w:val="0"/>
            <w:vAlign w:val="top"/>
          </w:tcPr>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jc w:val="center"/>
              <w:rPr>
                <w:rFonts w:hint="eastAsia" w:ascii="宋体" w:hAnsi="宋体" w:cs="宋体"/>
                <w:kern w:val="0"/>
                <w:sz w:val="22"/>
                <w:szCs w:val="22"/>
              </w:rPr>
            </w:pPr>
          </w:p>
          <w:p>
            <w:pPr>
              <w:widowControl/>
              <w:jc w:val="center"/>
              <w:rPr>
                <w:rFonts w:hint="eastAsia" w:ascii="宋体" w:hAnsi="宋体" w:cs="宋体"/>
                <w:kern w:val="0"/>
                <w:sz w:val="22"/>
                <w:szCs w:val="22"/>
              </w:rPr>
            </w:pPr>
            <w:r>
              <w:rPr>
                <w:rFonts w:hint="eastAsia" w:ascii="宋体" w:hAnsi="宋体" w:cs="宋体"/>
                <w:kern w:val="0"/>
                <w:sz w:val="22"/>
                <w:szCs w:val="22"/>
              </w:rPr>
              <w:t>1</w:t>
            </w:r>
          </w:p>
          <w:p>
            <w:pPr>
              <w:widowControl/>
              <w:rPr>
                <w:rFonts w:ascii="宋体" w:hAnsi="宋体" w:cs="宋体"/>
                <w:kern w:val="0"/>
                <w:sz w:val="22"/>
                <w:szCs w:val="22"/>
              </w:rPr>
            </w:pPr>
          </w:p>
          <w:p>
            <w:pPr>
              <w:widowControl/>
              <w:rPr>
                <w:rFonts w:ascii="宋体" w:hAnsi="宋体" w:cs="宋体"/>
                <w:kern w:val="0"/>
                <w:sz w:val="22"/>
                <w:szCs w:val="22"/>
              </w:rPr>
            </w:pPr>
          </w:p>
          <w:p>
            <w:pPr>
              <w:widowControl/>
              <w:rPr>
                <w:rFonts w:ascii="宋体" w:hAnsi="宋体" w:cs="宋体"/>
                <w:kern w:val="0"/>
                <w:sz w:val="22"/>
                <w:szCs w:val="22"/>
              </w:rPr>
            </w:pPr>
          </w:p>
          <w:p>
            <w:pPr>
              <w:widowControl/>
              <w:rPr>
                <w:rFonts w:ascii="宋体" w:hAnsi="宋体" w:cs="宋体"/>
                <w:kern w:val="0"/>
                <w:sz w:val="22"/>
                <w:szCs w:val="22"/>
              </w:rPr>
            </w:pPr>
          </w:p>
          <w:p>
            <w:pPr>
              <w:widowControl/>
              <w:rPr>
                <w:rFonts w:ascii="宋体" w:hAnsi="宋体" w:cs="宋体"/>
                <w:kern w:val="0"/>
                <w:sz w:val="22"/>
                <w:szCs w:val="22"/>
              </w:rPr>
            </w:pPr>
          </w:p>
          <w:p>
            <w:pPr>
              <w:widowControl/>
              <w:rPr>
                <w:rFonts w:ascii="宋体" w:hAnsi="宋体" w:cs="宋体"/>
                <w:kern w:val="0"/>
                <w:sz w:val="22"/>
                <w:szCs w:val="22"/>
              </w:rPr>
            </w:pPr>
          </w:p>
          <w:p>
            <w:pPr>
              <w:widowControl/>
              <w:rPr>
                <w:rFonts w:ascii="宋体" w:hAnsi="宋体" w:cs="宋体"/>
                <w:kern w:val="0"/>
                <w:sz w:val="22"/>
                <w:szCs w:val="22"/>
              </w:rPr>
            </w:pPr>
          </w:p>
        </w:tc>
        <w:tc>
          <w:tcPr>
            <w:tcW w:w="1500" w:type="dxa"/>
            <w:vMerge w:val="restart"/>
            <w:noWrap w:val="0"/>
            <w:vAlign w:val="top"/>
          </w:tcPr>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非煤矿山企业综合</w:t>
            </w:r>
            <w:r>
              <w:rPr>
                <w:rFonts w:hint="eastAsia" w:ascii="宋体" w:hAnsi="宋体" w:cs="宋体"/>
                <w:kern w:val="0"/>
                <w:sz w:val="22"/>
                <w:szCs w:val="22"/>
              </w:rPr>
              <w:t>监督检查</w:t>
            </w:r>
          </w:p>
        </w:tc>
        <w:tc>
          <w:tcPr>
            <w:tcW w:w="6930" w:type="dxa"/>
            <w:noWrap w:val="0"/>
            <w:vAlign w:val="center"/>
          </w:tcPr>
          <w:p>
            <w:pPr>
              <w:widowControl/>
              <w:rPr>
                <w:rFonts w:hint="eastAsia" w:ascii="宋体" w:hAnsi="宋体" w:cs="宋体"/>
                <w:color w:val="000000"/>
                <w:kern w:val="0"/>
                <w:sz w:val="22"/>
                <w:szCs w:val="22"/>
              </w:rPr>
            </w:pPr>
            <w:r>
              <w:rPr>
                <w:rFonts w:hint="eastAsia" w:ascii="宋体" w:hAnsi="宋体" w:cs="宋体"/>
                <w:b/>
                <w:bCs/>
                <w:color w:val="000000"/>
                <w:kern w:val="0"/>
                <w:sz w:val="22"/>
                <w:szCs w:val="22"/>
              </w:rPr>
              <w:t>1.《安全生产法》第二十九条</w:t>
            </w:r>
            <w:r>
              <w:rPr>
                <w:rFonts w:hint="eastAsia" w:ascii="宋体" w:hAnsi="宋体" w:cs="宋体"/>
                <w:color w:val="000000"/>
                <w:kern w:val="0"/>
                <w:sz w:val="22"/>
                <w:szCs w:val="22"/>
              </w:rPr>
              <w:t> 矿山、金属冶炼建设项目和用于生产、储存、装卸危险物品的建设项目，应当按照国家有关规定进行安全评价。《建设项目安全设施的设计人、设计单位应当对安全设施设计负责。</w:t>
            </w:r>
          </w:p>
          <w:p>
            <w:pPr>
              <w:widowControl/>
              <w:rPr>
                <w:rFonts w:ascii="Times New Roman" w:hAnsi="Times New Roman"/>
                <w:color w:val="000000"/>
                <w:kern w:val="0"/>
                <w:sz w:val="22"/>
                <w:szCs w:val="22"/>
              </w:rPr>
            </w:pPr>
            <w:r>
              <w:rPr>
                <w:rFonts w:hint="eastAsia" w:ascii="宋体" w:hAnsi="宋体" w:cs="宋体"/>
                <w:b/>
                <w:bCs/>
                <w:color w:val="000000"/>
                <w:kern w:val="0"/>
                <w:sz w:val="22"/>
                <w:szCs w:val="22"/>
              </w:rPr>
              <w:t xml:space="preserve">第三十条  </w:t>
            </w:r>
            <w:r>
              <w:rPr>
                <w:rFonts w:hint="eastAsia" w:ascii="宋体" w:hAnsi="宋体" w:cs="宋体"/>
                <w:color w:val="000000"/>
                <w:kern w:val="0"/>
                <w:sz w:val="22"/>
                <w:szCs w:val="22"/>
              </w:rPr>
              <w:t>矿山、金属冶炼建设项目和用于生产、储存、装卸危险物品的建设项目的安全设施设计应当按照国家有关规定报经有关部门审查，审查部门及其负责审</w:t>
            </w:r>
            <w:bookmarkStart w:id="0" w:name="_GoBack"/>
            <w:bookmarkEnd w:id="0"/>
            <w:r>
              <w:rPr>
                <w:rFonts w:hint="eastAsia" w:ascii="宋体" w:hAnsi="宋体" w:cs="宋体"/>
                <w:color w:val="000000"/>
                <w:kern w:val="0"/>
                <w:sz w:val="22"/>
                <w:szCs w:val="22"/>
              </w:rPr>
              <w:t>查的人员对审查结果负责。</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1.1检查基建改扩建矿山安全设施设计审查和预评价报告编制有关内容</w:t>
            </w:r>
          </w:p>
        </w:tc>
        <w:tc>
          <w:tcPr>
            <w:tcW w:w="1305" w:type="dxa"/>
            <w:vMerge w:val="restart"/>
            <w:noWrap w:val="0"/>
            <w:vAlign w:val="top"/>
          </w:tcPr>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r>
              <w:rPr>
                <w:rFonts w:hint="eastAsia" w:ascii="宋体" w:hAnsi="宋体" w:cs="宋体"/>
                <w:kern w:val="0"/>
                <w:sz w:val="22"/>
                <w:szCs w:val="22"/>
              </w:rPr>
              <w:t>实地核查</w:t>
            </w:r>
          </w:p>
          <w:p>
            <w:pPr>
              <w:widowControl/>
              <w:ind w:firstLine="110" w:firstLineChars="50"/>
              <w:rPr>
                <w:rFonts w:ascii="宋体" w:hAnsi="宋体" w:cs="宋体"/>
                <w:kern w:val="0"/>
                <w:sz w:val="22"/>
                <w:szCs w:val="22"/>
              </w:rPr>
            </w:pPr>
            <w:r>
              <w:rPr>
                <w:rFonts w:hint="eastAsia" w:ascii="宋体" w:hAnsi="宋体" w:cs="宋体"/>
                <w:kern w:val="0"/>
                <w:sz w:val="22"/>
                <w:szCs w:val="22"/>
              </w:rPr>
              <w:t>书面检查</w:t>
            </w:r>
          </w:p>
        </w:tc>
        <w:tc>
          <w:tcPr>
            <w:tcW w:w="1185" w:type="dxa"/>
            <w:vMerge w:val="restart"/>
            <w:noWrap w:val="0"/>
            <w:vAlign w:val="top"/>
          </w:tcPr>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jc w:val="center"/>
              <w:rPr>
                <w:rFonts w:hint="eastAsia" w:ascii="宋体" w:hAnsi="宋体" w:cs="宋体"/>
                <w:kern w:val="0"/>
                <w:sz w:val="22"/>
                <w:szCs w:val="22"/>
              </w:rPr>
            </w:pPr>
            <w:r>
              <w:rPr>
                <w:rFonts w:hint="eastAsia" w:ascii="宋体" w:hAnsi="宋体" w:cs="宋体"/>
                <w:kern w:val="0"/>
                <w:sz w:val="22"/>
                <w:szCs w:val="22"/>
              </w:rPr>
              <w:t>非煤矿山企业</w:t>
            </w:r>
          </w:p>
          <w:p>
            <w:pPr>
              <w:widowControl/>
              <w:jc w:val="center"/>
              <w:rPr>
                <w:rFonts w:ascii="宋体" w:hAnsi="宋体" w:cs="宋体"/>
                <w:kern w:val="0"/>
                <w:sz w:val="22"/>
                <w:szCs w:val="22"/>
              </w:rPr>
            </w:pPr>
            <w:r>
              <w:rPr>
                <w:rFonts w:hint="eastAsia" w:ascii="宋体" w:hAnsi="宋体" w:cs="宋体"/>
                <w:kern w:val="0"/>
                <w:sz w:val="22"/>
                <w:szCs w:val="22"/>
              </w:rPr>
              <w:t>（通用）</w:t>
            </w:r>
          </w:p>
        </w:tc>
        <w:tc>
          <w:tcPr>
            <w:tcW w:w="960" w:type="dxa"/>
            <w:vMerge w:val="restart"/>
            <w:noWrap w:val="0"/>
            <w:vAlign w:val="top"/>
          </w:tcPr>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jc w:val="center"/>
              <w:rPr>
                <w:rFonts w:ascii="宋体" w:hAnsi="宋体" w:cs="宋体"/>
                <w:kern w:val="0"/>
                <w:sz w:val="22"/>
                <w:szCs w:val="22"/>
              </w:rPr>
            </w:pPr>
            <w:r>
              <w:rPr>
                <w:rFonts w:hint="eastAsia" w:ascii="宋体" w:hAnsi="宋体" w:cs="宋体"/>
                <w:kern w:val="0"/>
                <w:sz w:val="22"/>
                <w:szCs w:val="22"/>
              </w:rPr>
              <w:t>市场监管执法事项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hint="eastAsia" w:ascii="宋体" w:hAnsi="宋体" w:cs="宋体"/>
                <w:color w:val="000000"/>
                <w:kern w:val="0"/>
                <w:sz w:val="22"/>
                <w:szCs w:val="22"/>
              </w:rPr>
            </w:pPr>
            <w:r>
              <w:rPr>
                <w:rFonts w:hint="eastAsia" w:ascii="宋体" w:hAnsi="宋体" w:cs="宋体"/>
                <w:b/>
                <w:bCs/>
                <w:color w:val="000000"/>
                <w:kern w:val="0"/>
                <w:sz w:val="22"/>
                <w:szCs w:val="22"/>
              </w:rPr>
              <w:t xml:space="preserve">2.《安全生产许可证条例》第二条 </w:t>
            </w:r>
            <w:r>
              <w:rPr>
                <w:rFonts w:hint="eastAsia" w:ascii="宋体" w:hAnsi="宋体" w:cs="宋体"/>
                <w:color w:val="000000"/>
                <w:kern w:val="0"/>
                <w:sz w:val="22"/>
                <w:szCs w:val="22"/>
              </w:rPr>
              <w:t xml:space="preserve"> 国家对矿山企业、建筑施工企业和危险化学品、烟花爆竹、民用爆破器材生产企业(以下统称企业)实行安全生产许可制度。</w:t>
            </w:r>
          </w:p>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企业未取得安全生产许可证的，不得从事生产活动。</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1.2检查非煤矿山证照有关内容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top"/>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3.《安全生产法》第二十一条</w:t>
            </w:r>
            <w:r>
              <w:rPr>
                <w:rFonts w:hint="eastAsia" w:ascii="宋体" w:hAnsi="宋体" w:cs="宋体"/>
                <w:color w:val="000000"/>
                <w:kern w:val="0"/>
                <w:sz w:val="22"/>
                <w:szCs w:val="22"/>
              </w:rPr>
              <w:t xml:space="preserve">  矿山、金属冶炼、建筑施工、道路运输单位和危险物品的生产、经营、储存单位，应当设置安全生产管理机构或者配备专职安全生产管理人员。</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前款规定以外的其他生产经营单位，从业人员超过一百人的，应当设置安全生产管理机构或者配备专职安全生产管理人员</w:t>
            </w:r>
            <w:r>
              <w:rPr>
                <w:rFonts w:ascii="宋体" w:hAnsi="宋体" w:cs="宋体"/>
                <w:color w:val="000000"/>
                <w:kern w:val="0"/>
                <w:sz w:val="22"/>
                <w:szCs w:val="22"/>
              </w:rPr>
              <w:t>;</w:t>
            </w:r>
            <w:r>
              <w:rPr>
                <w:rFonts w:hint="eastAsia" w:ascii="宋体" w:hAnsi="宋体" w:cs="宋体"/>
                <w:color w:val="000000"/>
                <w:kern w:val="0"/>
                <w:sz w:val="22"/>
                <w:szCs w:val="22"/>
              </w:rPr>
              <w:t>从业人员在一百人以下的，应当配备专职或者兼职的安全生产管理人员。</w:t>
            </w:r>
          </w:p>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第二十五条</w:t>
            </w:r>
            <w:r>
              <w:rPr>
                <w:rFonts w:ascii="宋体" w:hAnsi="宋体" w:cs="宋体"/>
                <w:color w:val="000000"/>
                <w:kern w:val="0"/>
                <w:sz w:val="22"/>
                <w:szCs w:val="22"/>
              </w:rPr>
              <w:t> </w:t>
            </w:r>
            <w:r>
              <w:rPr>
                <w:rFonts w:hint="eastAsia" w:ascii="宋体" w:hAnsi="宋体" w:cs="宋体"/>
                <w:color w:val="000000"/>
                <w:kern w:val="0"/>
                <w:sz w:val="22"/>
                <w:szCs w:val="2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生产经营单位应当建立安全生产教育和培训档案，如实记录安全生产教育和培训的时间、内容、参加人员以及考核结果等情况。</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1.3检查安全管理机构设置、安全生产责任制建立和从业人员培训有关内容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ascii="宋体" w:hAnsi="宋体" w:cs="宋体"/>
                <w:color w:val="000000"/>
                <w:kern w:val="0"/>
                <w:sz w:val="22"/>
                <w:szCs w:val="22"/>
              </w:rPr>
            </w:pPr>
            <w:r>
              <w:rPr>
                <w:rFonts w:hint="eastAsia" w:ascii="宋体" w:hAnsi="宋体" w:cs="宋体"/>
                <w:b/>
                <w:bCs/>
                <w:color w:val="000000"/>
                <w:kern w:val="0"/>
                <w:sz w:val="22"/>
                <w:szCs w:val="22"/>
              </w:rPr>
              <w:t>4.《安全生产法》第二十四条</w:t>
            </w:r>
            <w:r>
              <w:rPr>
                <w:rFonts w:ascii="宋体" w:hAnsi="宋体" w:cs="宋体"/>
                <w:color w:val="000000"/>
                <w:kern w:val="0"/>
                <w:sz w:val="22"/>
                <w:szCs w:val="22"/>
              </w:rPr>
              <w:t> </w:t>
            </w:r>
            <w:r>
              <w:rPr>
                <w:rFonts w:hint="eastAsia" w:ascii="宋体" w:hAnsi="宋体" w:cs="宋体"/>
                <w:color w:val="000000"/>
                <w:kern w:val="0"/>
                <w:sz w:val="22"/>
                <w:szCs w:val="22"/>
              </w:rPr>
              <w:t>生产经营单位的主要负责人和安全生产管理人员必须具备与本单位所从事的生产经营活动相应的安全生产知识和管理能力。</w:t>
            </w:r>
          </w:p>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widowControl/>
              <w:rPr>
                <w:rFonts w:hint="eastAsia" w:ascii="宋体" w:hAnsi="宋体" w:cs="宋体"/>
                <w:color w:val="000000"/>
                <w:kern w:val="0"/>
                <w:sz w:val="22"/>
                <w:szCs w:val="22"/>
              </w:rPr>
            </w:pPr>
            <w:r>
              <w:rPr>
                <w:rFonts w:hint="eastAsia" w:ascii="宋体" w:hAnsi="宋体" w:cs="宋体"/>
                <w:b/>
                <w:bCs/>
                <w:color w:val="000000"/>
                <w:kern w:val="0"/>
                <w:sz w:val="22"/>
                <w:szCs w:val="22"/>
              </w:rPr>
              <w:t xml:space="preserve">第二十七条  </w:t>
            </w:r>
            <w:r>
              <w:rPr>
                <w:rFonts w:hint="eastAsia" w:ascii="宋体" w:hAnsi="宋体" w:cs="宋体"/>
                <w:color w:val="000000"/>
                <w:kern w:val="0"/>
                <w:sz w:val="22"/>
                <w:szCs w:val="22"/>
              </w:rPr>
              <w:t>生产经营单位的特种作业人员必须按照国家有关规定经专门的安全作业培训，取得相应资格，方可上岗作业。</w:t>
            </w:r>
          </w:p>
          <w:p>
            <w:pPr>
              <w:widowControl/>
              <w:rPr>
                <w:rFonts w:ascii="宋体" w:hAnsi="宋体" w:cs="宋体"/>
                <w:color w:val="000000"/>
                <w:kern w:val="0"/>
                <w:sz w:val="22"/>
                <w:szCs w:val="22"/>
              </w:rPr>
            </w:pPr>
            <w:r>
              <w:rPr>
                <w:rFonts w:hint="eastAsia" w:ascii="宋体" w:hAnsi="宋体" w:cs="宋体"/>
                <w:color w:val="000000"/>
                <w:kern w:val="0"/>
                <w:sz w:val="22"/>
                <w:szCs w:val="22"/>
              </w:rPr>
              <w:t>特种作业人员的范围由国务院负安全生产监督管理部门会同国务院有关部门确定。</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1.4检查主要负责人、安全管理人员考核合格和特种作业人员持证上岗有关内容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spacing w:line="300" w:lineRule="exact"/>
              <w:rPr>
                <w:rFonts w:ascii="宋体" w:hAnsi="宋体" w:cs="宋体"/>
                <w:color w:val="000000"/>
                <w:kern w:val="0"/>
                <w:sz w:val="22"/>
                <w:szCs w:val="22"/>
              </w:rPr>
            </w:pPr>
            <w:r>
              <w:rPr>
                <w:rFonts w:hint="eastAsia" w:ascii="宋体" w:hAnsi="宋体" w:cs="宋体"/>
                <w:b/>
                <w:bCs/>
                <w:color w:val="000000"/>
                <w:kern w:val="0"/>
                <w:sz w:val="22"/>
                <w:szCs w:val="22"/>
              </w:rPr>
              <w:t>5.《安全生产法》第二十条</w:t>
            </w:r>
            <w:r>
              <w:rPr>
                <w:rFonts w:ascii="宋体" w:hAnsi="宋体" w:cs="宋体"/>
                <w:color w:val="000000"/>
                <w:kern w:val="0"/>
                <w:sz w:val="22"/>
                <w:szCs w:val="22"/>
              </w:rPr>
              <w:t> </w:t>
            </w:r>
            <w:r>
              <w:rPr>
                <w:rFonts w:hint="eastAsia" w:ascii="宋体" w:hAnsi="宋体" w:cs="宋体"/>
                <w:color w:val="000000"/>
                <w:kern w:val="0"/>
                <w:sz w:val="22"/>
                <w:szCs w:val="22"/>
              </w:rPr>
              <w:t>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300" w:lineRule="exact"/>
              <w:rPr>
                <w:rFonts w:ascii="宋体" w:hAnsi="宋体" w:cs="宋体"/>
                <w:color w:val="000000"/>
                <w:kern w:val="0"/>
                <w:sz w:val="22"/>
                <w:szCs w:val="22"/>
              </w:rPr>
            </w:pPr>
            <w:r>
              <w:rPr>
                <w:rFonts w:hint="eastAsia" w:ascii="宋体" w:hAnsi="宋体" w:cs="宋体"/>
                <w:color w:val="000000"/>
                <w:kern w:val="0"/>
                <w:sz w:val="22"/>
                <w:szCs w:val="22"/>
              </w:rPr>
              <w:t xml:space="preserve">    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1.5检查安全投入有关内容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ascii="宋体" w:hAnsi="宋体" w:cs="宋体"/>
                <w:color w:val="000000"/>
                <w:kern w:val="0"/>
                <w:sz w:val="22"/>
                <w:szCs w:val="22"/>
              </w:rPr>
            </w:pPr>
            <w:r>
              <w:rPr>
                <w:rFonts w:hint="eastAsia" w:ascii="宋体" w:hAnsi="宋体" w:cs="宋体"/>
                <w:b/>
                <w:bCs/>
                <w:color w:val="000000"/>
                <w:kern w:val="0"/>
                <w:sz w:val="22"/>
                <w:szCs w:val="22"/>
              </w:rPr>
              <w:t xml:space="preserve">6.《安全生产法》第三十五条  </w:t>
            </w:r>
            <w:r>
              <w:rPr>
                <w:rFonts w:hint="eastAsia" w:ascii="宋体" w:hAnsi="宋体" w:cs="宋体"/>
                <w:color w:val="000000"/>
                <w:kern w:val="0"/>
                <w:sz w:val="22"/>
                <w:szCs w:val="22"/>
              </w:rPr>
              <w:t>国家对严重危及生产安全的工艺、设备实行淘汰制度，具体目录由国务院安全生产监督管理部门会同国务院有关部门制定并公布。法律、行政法规对目录的制定另有规定的，适用其规定。</w:t>
            </w:r>
          </w:p>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省、自治区、直辖市人民政府可以根据本地区实际情况制定并公布具体目录，对前款规定以外的危及生产安全的工艺、设备予以淘汰。</w:t>
            </w:r>
          </w:p>
          <w:p>
            <w:pPr>
              <w:widowControl/>
              <w:rPr>
                <w:rFonts w:ascii="宋体" w:hAnsi="宋体" w:cs="宋体"/>
                <w:color w:val="000000"/>
                <w:kern w:val="0"/>
                <w:sz w:val="22"/>
                <w:szCs w:val="22"/>
              </w:rPr>
            </w:pPr>
            <w:r>
              <w:rPr>
                <w:rFonts w:hint="eastAsia" w:ascii="宋体" w:hAnsi="宋体" w:cs="宋体"/>
                <w:color w:val="000000"/>
                <w:kern w:val="0"/>
                <w:sz w:val="22"/>
                <w:szCs w:val="22"/>
              </w:rPr>
              <w:t>生产经营单位不得使用应当淘汰的危及生产安全的工艺、设备。</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1.6检查淘汰危及安全生产工艺、设备有关内容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numPr>
                <w:ilvl w:val="0"/>
                <w:numId w:val="1"/>
              </w:numPr>
              <w:rPr>
                <w:rFonts w:hint="eastAsia" w:ascii="宋体" w:hAnsi="宋体" w:cs="宋体"/>
                <w:b/>
                <w:bCs/>
                <w:color w:val="000000"/>
                <w:kern w:val="0"/>
                <w:sz w:val="22"/>
                <w:szCs w:val="22"/>
              </w:rPr>
            </w:pPr>
            <w:r>
              <w:rPr>
                <w:rFonts w:hint="eastAsia" w:ascii="宋体" w:hAnsi="宋体" w:cs="宋体"/>
                <w:b/>
                <w:bCs/>
                <w:color w:val="000000"/>
                <w:kern w:val="0"/>
                <w:sz w:val="22"/>
                <w:szCs w:val="22"/>
              </w:rPr>
              <w:t>《金属非金属矿山安全规程》（GB16423-2006）</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4.15露天矿山，应保存下列图纸，并根据实际情况的变化及时更新：地形地质图；采剥工程年末图；防排水系统及排水设备布置图。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地下矿山，应保存下列图纸，并根据实际情况的变化及时更新：矿区地形地质和水文地质图；井上、井下对照图；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中段平面图；通风系统图；提升运输系统图；风、水管网系统图；充填系统图；井下通讯系统图；井上、井下配电系统图和井下电气设备布置图；井下避灾路线图。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图中应正确标记：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已掘进巷道和计划(年度)掘进巷道的位置、名称、规格、数量；采空区(包括已充填采空区)、废弃井巷和计划(年度)开采的采场(矿块)的位置、数量；矿石运输线路；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主要安全、通风、防尘、防火、防水、排水等设备和设施的位置；风流方向，人员安全撤离的路线和安全出口；采空区及废弃井巷的处理进度、方式、数量及地表塌陷区的位置。</w:t>
            </w:r>
          </w:p>
          <w:p>
            <w:pPr>
              <w:widowControl/>
              <w:rPr>
                <w:rFonts w:ascii="宋体" w:hAnsi="宋体" w:cs="宋体"/>
                <w:color w:val="000000"/>
                <w:kern w:val="0"/>
                <w:sz w:val="22"/>
                <w:szCs w:val="22"/>
              </w:rPr>
            </w:pP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1.7检查图纸真实性有关内容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numPr>
                <w:ilvl w:val="0"/>
                <w:numId w:val="1"/>
              </w:numPr>
              <w:rPr>
                <w:rFonts w:hint="eastAsia" w:ascii="宋体" w:hAnsi="宋体" w:cs="宋体"/>
                <w:color w:val="000000"/>
                <w:kern w:val="0"/>
                <w:sz w:val="22"/>
                <w:szCs w:val="22"/>
              </w:rPr>
            </w:pPr>
            <w:r>
              <w:rPr>
                <w:rFonts w:hint="eastAsia" w:ascii="宋体" w:hAnsi="宋体" w:cs="宋体"/>
                <w:b/>
                <w:bCs/>
                <w:color w:val="000000"/>
                <w:kern w:val="0"/>
                <w:sz w:val="22"/>
                <w:szCs w:val="22"/>
              </w:rPr>
              <w:t xml:space="preserve">《安全生产法》第七十八条  </w:t>
            </w:r>
            <w:r>
              <w:rPr>
                <w:rFonts w:hint="eastAsia" w:ascii="宋体" w:hAnsi="宋体" w:cs="宋体"/>
                <w:color w:val="000000"/>
                <w:kern w:val="0"/>
                <w:sz w:val="22"/>
                <w:szCs w:val="22"/>
              </w:rPr>
              <w:t>生产经营单位应当制定本单位生产安全事故应急救援预案，与所在地县级以上地方人民政府组织制定的生产安全事故应急救援预案相衔接，并定期组织演练。</w:t>
            </w:r>
          </w:p>
          <w:p>
            <w:pPr>
              <w:widowControl/>
              <w:rPr>
                <w:rFonts w:hint="eastAsia" w:ascii="宋体" w:hAnsi="宋体" w:cs="宋体"/>
                <w:color w:val="000000"/>
                <w:kern w:val="0"/>
                <w:sz w:val="22"/>
                <w:szCs w:val="22"/>
              </w:rPr>
            </w:pP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1.8检查应急救援队伍建立、应急演练和应急装备、物资配备有关内容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6" w:type="dxa"/>
            <w:vMerge w:val="restart"/>
            <w:noWrap w:val="0"/>
            <w:vAlign w:val="top"/>
          </w:tcPr>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jc w:val="center"/>
              <w:rPr>
                <w:rFonts w:ascii="宋体" w:hAnsi="宋体" w:cs="宋体"/>
                <w:kern w:val="0"/>
                <w:sz w:val="22"/>
                <w:szCs w:val="22"/>
              </w:rPr>
            </w:pPr>
            <w:r>
              <w:rPr>
                <w:rFonts w:hint="eastAsia" w:ascii="宋体" w:hAnsi="宋体" w:cs="宋体"/>
                <w:kern w:val="0"/>
                <w:sz w:val="22"/>
                <w:szCs w:val="22"/>
              </w:rPr>
              <w:t>2</w:t>
            </w:r>
          </w:p>
        </w:tc>
        <w:tc>
          <w:tcPr>
            <w:tcW w:w="1500" w:type="dxa"/>
            <w:vMerge w:val="restart"/>
            <w:noWrap w:val="0"/>
            <w:vAlign w:val="top"/>
          </w:tcPr>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jc w:val="center"/>
              <w:rPr>
                <w:rFonts w:ascii="宋体" w:hAnsi="宋体" w:cs="宋体"/>
                <w:color w:val="000000"/>
                <w:kern w:val="0"/>
                <w:sz w:val="22"/>
                <w:szCs w:val="22"/>
              </w:rPr>
            </w:pPr>
            <w:r>
              <w:rPr>
                <w:rFonts w:hint="eastAsia" w:ascii="宋体" w:hAnsi="宋体" w:cs="宋体"/>
                <w:kern w:val="0"/>
                <w:sz w:val="22"/>
                <w:szCs w:val="22"/>
              </w:rPr>
              <w:t>地下矿山企业监督检查</w:t>
            </w:r>
          </w:p>
        </w:tc>
        <w:tc>
          <w:tcPr>
            <w:tcW w:w="6930" w:type="dxa"/>
            <w:noWrap w:val="0"/>
            <w:vAlign w:val="center"/>
          </w:tcPr>
          <w:p>
            <w:pPr>
              <w:widowControl/>
              <w:rPr>
                <w:rFonts w:ascii="宋体" w:hAnsi="宋体" w:cs="宋体"/>
                <w:color w:val="000000"/>
                <w:kern w:val="0"/>
                <w:sz w:val="22"/>
                <w:szCs w:val="22"/>
              </w:rPr>
            </w:pPr>
            <w:r>
              <w:rPr>
                <w:rFonts w:hint="eastAsia" w:ascii="宋体" w:hAnsi="宋体" w:cs="宋体"/>
                <w:b/>
                <w:bCs/>
                <w:color w:val="000000"/>
                <w:kern w:val="0"/>
                <w:sz w:val="22"/>
                <w:szCs w:val="22"/>
              </w:rPr>
              <w:t>1.《金属非金属地下矿山企业领导带班下井及监督检查暂行规定》（国家安全监管总局令第34号）第四条</w:t>
            </w:r>
            <w:r>
              <w:rPr>
                <w:rFonts w:hint="eastAsia" w:ascii="宋体" w:hAnsi="宋体" w:cs="宋体"/>
                <w:color w:val="000000"/>
                <w:kern w:val="0"/>
                <w:sz w:val="22"/>
                <w:szCs w:val="22"/>
              </w:rPr>
              <w:t xml:space="preserve">  矿山企业是落实领导带班下井制度的责任主体，必须确保每个班次至少有</w:t>
            </w:r>
            <w:r>
              <w:rPr>
                <w:rFonts w:ascii="宋体" w:hAnsi="宋体" w:cs="宋体"/>
                <w:color w:val="000000"/>
                <w:kern w:val="0"/>
                <w:sz w:val="22"/>
                <w:szCs w:val="22"/>
              </w:rPr>
              <w:t>1</w:t>
            </w:r>
            <w:r>
              <w:rPr>
                <w:rFonts w:hint="eastAsia" w:ascii="宋体" w:hAnsi="宋体" w:cs="宋体"/>
                <w:color w:val="000000"/>
                <w:kern w:val="0"/>
                <w:sz w:val="22"/>
                <w:szCs w:val="22"/>
              </w:rPr>
              <w:t>名领导在井下现场带班，并与工人同时下井、同时升井。</w:t>
            </w:r>
          </w:p>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矿山企业的主要负责人对落实领导带班下井制度全面负责。</w:t>
            </w:r>
          </w:p>
          <w:p>
            <w:pPr>
              <w:widowControl/>
              <w:rPr>
                <w:rFonts w:ascii="宋体" w:hAnsi="宋体" w:cs="宋体"/>
                <w:color w:val="000000"/>
                <w:kern w:val="0"/>
                <w:sz w:val="22"/>
                <w:szCs w:val="22"/>
              </w:rPr>
            </w:pPr>
            <w:r>
              <w:rPr>
                <w:rFonts w:hint="eastAsia" w:ascii="宋体" w:hAnsi="宋体" w:cs="宋体"/>
                <w:b/>
                <w:bCs/>
                <w:color w:val="000000"/>
                <w:kern w:val="0"/>
                <w:sz w:val="22"/>
                <w:szCs w:val="22"/>
              </w:rPr>
              <w:t>第五条</w:t>
            </w:r>
            <w:r>
              <w:rPr>
                <w:rFonts w:hint="eastAsia" w:ascii="宋体" w:hAnsi="宋体" w:cs="宋体"/>
                <w:color w:val="000000"/>
                <w:kern w:val="0"/>
                <w:sz w:val="22"/>
                <w:szCs w:val="22"/>
              </w:rPr>
              <w:t xml:space="preserve">  安全生产监督管理部门对矿山企业落实领导带班下井制度情况进行监督检查，并依法作出现场处理或者实施行政处罚。</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2.1检查矿领导下井带班有关内容</w:t>
            </w:r>
          </w:p>
        </w:tc>
        <w:tc>
          <w:tcPr>
            <w:tcW w:w="1305" w:type="dxa"/>
            <w:vMerge w:val="restart"/>
            <w:noWrap w:val="0"/>
            <w:vAlign w:val="top"/>
          </w:tcPr>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p>
          <w:p>
            <w:pPr>
              <w:widowControl/>
              <w:ind w:firstLine="110" w:firstLineChars="50"/>
              <w:rPr>
                <w:rFonts w:hint="eastAsia" w:ascii="宋体" w:hAnsi="宋体" w:cs="宋体"/>
                <w:kern w:val="0"/>
                <w:sz w:val="22"/>
                <w:szCs w:val="22"/>
              </w:rPr>
            </w:pPr>
            <w:r>
              <w:rPr>
                <w:rFonts w:hint="eastAsia" w:ascii="宋体" w:hAnsi="宋体" w:cs="宋体"/>
                <w:kern w:val="0"/>
                <w:sz w:val="22"/>
                <w:szCs w:val="22"/>
              </w:rPr>
              <w:t>实地核查</w:t>
            </w:r>
          </w:p>
          <w:p>
            <w:pPr>
              <w:widowControl/>
              <w:ind w:firstLine="110" w:firstLineChars="50"/>
              <w:rPr>
                <w:rFonts w:ascii="宋体" w:hAnsi="宋体" w:cs="宋体"/>
                <w:kern w:val="0"/>
                <w:sz w:val="22"/>
                <w:szCs w:val="22"/>
              </w:rPr>
            </w:pPr>
            <w:r>
              <w:rPr>
                <w:rFonts w:hint="eastAsia" w:ascii="宋体" w:hAnsi="宋体" w:cs="宋体"/>
                <w:kern w:val="0"/>
                <w:sz w:val="22"/>
                <w:szCs w:val="22"/>
              </w:rPr>
              <w:t>书面检查</w:t>
            </w:r>
          </w:p>
        </w:tc>
        <w:tc>
          <w:tcPr>
            <w:tcW w:w="1185" w:type="dxa"/>
            <w:vMerge w:val="restart"/>
            <w:noWrap w:val="0"/>
            <w:vAlign w:val="top"/>
          </w:tcPr>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jc w:val="center"/>
              <w:rPr>
                <w:rFonts w:ascii="宋体" w:hAnsi="宋体" w:cs="宋体"/>
                <w:kern w:val="0"/>
                <w:sz w:val="22"/>
                <w:szCs w:val="22"/>
              </w:rPr>
            </w:pPr>
            <w:r>
              <w:rPr>
                <w:rFonts w:hint="eastAsia" w:ascii="宋体" w:hAnsi="宋体" w:cs="宋体"/>
                <w:color w:val="000000"/>
                <w:kern w:val="0"/>
                <w:sz w:val="22"/>
                <w:szCs w:val="22"/>
              </w:rPr>
              <w:t>地下矿山企业</w:t>
            </w:r>
          </w:p>
        </w:tc>
        <w:tc>
          <w:tcPr>
            <w:tcW w:w="960" w:type="dxa"/>
            <w:vMerge w:val="restart"/>
            <w:noWrap w:val="0"/>
            <w:vAlign w:val="top"/>
          </w:tcPr>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rPr>
                <w:rFonts w:hint="eastAsia" w:ascii="宋体" w:hAnsi="宋体" w:cs="宋体"/>
                <w:kern w:val="0"/>
                <w:sz w:val="22"/>
                <w:szCs w:val="22"/>
              </w:rPr>
            </w:pPr>
          </w:p>
          <w:p>
            <w:pPr>
              <w:widowControl/>
              <w:jc w:val="center"/>
              <w:rPr>
                <w:rFonts w:ascii="宋体" w:hAnsi="宋体" w:cs="宋体"/>
                <w:kern w:val="0"/>
                <w:sz w:val="22"/>
                <w:szCs w:val="22"/>
              </w:rPr>
            </w:pPr>
            <w:r>
              <w:rPr>
                <w:rFonts w:hint="eastAsia" w:ascii="宋体" w:hAnsi="宋体" w:cs="宋体"/>
                <w:kern w:val="0"/>
                <w:sz w:val="22"/>
                <w:szCs w:val="22"/>
              </w:rPr>
              <w:t>市场监管执法事项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xml:space="preserve">2.《矿山安全法》第十条  </w:t>
            </w:r>
            <w:r>
              <w:rPr>
                <w:rFonts w:hint="eastAsia" w:ascii="宋体" w:hAnsi="宋体" w:cs="宋体"/>
                <w:color w:val="000000"/>
                <w:kern w:val="0"/>
                <w:sz w:val="22"/>
                <w:szCs w:val="22"/>
              </w:rPr>
              <w:t>每个矿井必须有两个以上能行人的安全出口，出口之间的直线水平距离必须符合矿山安全规程和行业技术规范。《金属非金属矿山安全规程》（GB16423-2006）第6章6.1.1.3每个矿井至少应有两个独立的直达地面的安全出口，安全出口的间距应不小于30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大型矿井，矿床地质条件复杂，走向长度一翼超过1000m的，应在矿体端部的下盘增设安全出口。</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每个生产水平(中段)，均应至少有两个便于行人的安全出口，并应同通往地面的安全出口相通。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井巷的分道口应有路标，注明其所在地点及通往地面出口的方向。所有井下作业人员，均应熟悉安全出口。</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2.2检查安全出口有关内容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numPr>
                <w:ilvl w:val="0"/>
                <w:numId w:val="2"/>
              </w:numPr>
              <w:rPr>
                <w:rFonts w:hint="eastAsia" w:ascii="宋体" w:hAnsi="宋体" w:cs="宋体"/>
                <w:b/>
                <w:bCs/>
                <w:kern w:val="0"/>
                <w:sz w:val="22"/>
                <w:szCs w:val="22"/>
              </w:rPr>
            </w:pPr>
            <w:r>
              <w:rPr>
                <w:rFonts w:hint="eastAsia" w:ascii="宋体" w:hAnsi="宋体" w:cs="宋体"/>
                <w:b/>
                <w:bCs/>
                <w:kern w:val="0"/>
                <w:sz w:val="22"/>
                <w:szCs w:val="22"/>
              </w:rPr>
              <w:t>《金属非金属矿山安全规程》（GB16423-2006）</w:t>
            </w:r>
          </w:p>
          <w:p>
            <w:pPr>
              <w:widowControl/>
              <w:rPr>
                <w:rFonts w:ascii="宋体" w:hAnsi="宋体" w:cs="宋体"/>
                <w:color w:val="FF0000"/>
                <w:kern w:val="0"/>
                <w:sz w:val="22"/>
                <w:szCs w:val="22"/>
              </w:rPr>
            </w:pPr>
            <w:r>
              <w:rPr>
                <w:rFonts w:hint="eastAsia" w:ascii="宋体" w:hAnsi="宋体" w:cs="宋体"/>
                <w:kern w:val="0"/>
                <w:sz w:val="22"/>
                <w:szCs w:val="22"/>
              </w:rPr>
              <w:t>第6章 天井、溜井应尽快与其上部平巷贯通，贯通前宜不开或少开其他工程；需要</w:t>
            </w:r>
            <w:r>
              <w:rPr>
                <w:rFonts w:hint="eastAsia" w:ascii="宋体" w:hAnsi="宋体" w:cs="宋体"/>
                <w:color w:val="343333"/>
                <w:kern w:val="0"/>
                <w:sz w:val="22"/>
                <w:szCs w:val="22"/>
              </w:rPr>
              <w:t>增开其他工程时，应加强局部通风措施；天井与上部巷道贯通时，应加强上部巷道的通风和警戒。爆破后，工作面应经过通风、洒水、处理浮石、清扫井圈和处理盲炮，才准进行抓岩作业；</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2.3检查主通风机运行监控情况及有关内容</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top"/>
          </w:tcPr>
          <w:p>
            <w:pPr>
              <w:widowControl/>
              <w:numPr>
                <w:ilvl w:val="0"/>
                <w:numId w:val="3"/>
              </w:numPr>
              <w:rPr>
                <w:rFonts w:hint="eastAsia" w:ascii="宋体" w:hAnsi="宋体" w:cs="宋体"/>
                <w:b/>
                <w:bCs/>
                <w:kern w:val="0"/>
                <w:sz w:val="22"/>
                <w:szCs w:val="22"/>
              </w:rPr>
            </w:pPr>
            <w:r>
              <w:rPr>
                <w:rFonts w:hint="eastAsia" w:ascii="宋体" w:hAnsi="宋体" w:cs="宋体"/>
                <w:b/>
                <w:bCs/>
                <w:kern w:val="0"/>
                <w:sz w:val="22"/>
                <w:szCs w:val="22"/>
              </w:rPr>
              <w:t>《金属非金属地下矿山紧急避险系统建设规范》（AQ2033-2011）</w:t>
            </w:r>
          </w:p>
          <w:p>
            <w:pPr>
              <w:widowControl/>
              <w:rPr>
                <w:rFonts w:hint="eastAsia" w:ascii="宋体" w:hAnsi="宋体" w:cs="宋体"/>
                <w:spacing w:val="-4"/>
                <w:kern w:val="0"/>
                <w:sz w:val="22"/>
                <w:szCs w:val="22"/>
              </w:rPr>
            </w:pPr>
            <w:r>
              <w:rPr>
                <w:rFonts w:hint="eastAsia" w:ascii="宋体" w:hAnsi="宋体" w:cs="宋体"/>
                <w:kern w:val="0"/>
                <w:sz w:val="22"/>
                <w:szCs w:val="22"/>
              </w:rPr>
              <w:t>第4章 4.1 </w:t>
            </w:r>
            <w:r>
              <w:rPr>
                <w:rFonts w:hint="eastAsia" w:ascii="宋体" w:hAnsi="宋体" w:cs="宋体"/>
                <w:spacing w:val="-4"/>
                <w:kern w:val="0"/>
                <w:sz w:val="22"/>
                <w:szCs w:val="22"/>
              </w:rPr>
              <w:t>金属非金属地下矿山应建设完善紧急避险系统，并随井下生产系统的变化及时调整。紧急避险系统建设的内容包括：为入井人员提供自救器、建设紧急避险设施、合理设置避灾路线、科学制定应急预案等。</w:t>
            </w:r>
          </w:p>
          <w:p>
            <w:pPr>
              <w:widowControl/>
              <w:rPr>
                <w:rFonts w:hint="eastAsia" w:ascii="宋体" w:hAnsi="宋体" w:cs="宋体"/>
                <w:kern w:val="0"/>
                <w:sz w:val="22"/>
                <w:szCs w:val="22"/>
              </w:rPr>
            </w:pPr>
            <w:r>
              <w:rPr>
                <w:rFonts w:hint="eastAsia" w:ascii="宋体" w:hAnsi="宋体" w:cs="宋体"/>
                <w:kern w:val="0"/>
                <w:sz w:val="22"/>
                <w:szCs w:val="22"/>
              </w:rPr>
              <w:t>4.2 紧急避险应遵循“撤离优先，避险就近”的原则。</w:t>
            </w:r>
          </w:p>
          <w:p>
            <w:pPr>
              <w:widowControl/>
              <w:rPr>
                <w:rFonts w:hint="eastAsia" w:ascii="宋体" w:hAnsi="宋体" w:cs="宋体"/>
                <w:kern w:val="0"/>
                <w:sz w:val="22"/>
                <w:szCs w:val="22"/>
              </w:rPr>
            </w:pPr>
            <w:r>
              <w:rPr>
                <w:rFonts w:hint="eastAsia" w:ascii="宋体" w:hAnsi="宋体" w:cs="宋体"/>
                <w:kern w:val="0"/>
                <w:sz w:val="22"/>
                <w:szCs w:val="22"/>
              </w:rPr>
              <w:t>4.3 紧急避险系统应进行设计，并按照设计要求进行建设。</w:t>
            </w:r>
          </w:p>
          <w:p>
            <w:pPr>
              <w:widowControl/>
              <w:rPr>
                <w:rFonts w:hint="eastAsia" w:ascii="宋体" w:hAnsi="宋体" w:cs="宋体"/>
                <w:kern w:val="0"/>
                <w:sz w:val="22"/>
                <w:szCs w:val="22"/>
              </w:rPr>
            </w:pPr>
            <w:r>
              <w:rPr>
                <w:rFonts w:hint="eastAsia" w:ascii="宋体" w:hAnsi="宋体" w:cs="宋体"/>
                <w:kern w:val="0"/>
                <w:sz w:val="22"/>
                <w:szCs w:val="22"/>
              </w:rPr>
              <w:t>4.4 应为入井人员配备额定防护时间不少于30min的自救器，并按入井总人数的10%配备备用自救器。</w:t>
            </w:r>
          </w:p>
          <w:p>
            <w:pPr>
              <w:widowControl/>
              <w:rPr>
                <w:rFonts w:hint="eastAsia" w:ascii="宋体" w:hAnsi="宋体" w:cs="宋体"/>
                <w:kern w:val="0"/>
                <w:sz w:val="22"/>
                <w:szCs w:val="22"/>
              </w:rPr>
            </w:pPr>
            <w:r>
              <w:rPr>
                <w:rFonts w:hint="eastAsia" w:ascii="宋体" w:hAnsi="宋体" w:cs="宋体"/>
                <w:kern w:val="0"/>
                <w:sz w:val="22"/>
                <w:szCs w:val="22"/>
              </w:rPr>
              <w:t>4.5 所有入井人员必须随身携带自救器。</w:t>
            </w:r>
          </w:p>
          <w:p>
            <w:pPr>
              <w:widowControl/>
              <w:rPr>
                <w:rFonts w:hint="eastAsia" w:ascii="宋体" w:hAnsi="宋体" w:cs="宋体"/>
                <w:kern w:val="0"/>
                <w:sz w:val="22"/>
                <w:szCs w:val="22"/>
              </w:rPr>
            </w:pPr>
            <w:r>
              <w:rPr>
                <w:rFonts w:hint="eastAsia" w:ascii="宋体" w:hAnsi="宋体" w:cs="宋体"/>
                <w:kern w:val="0"/>
                <w:sz w:val="22"/>
                <w:szCs w:val="22"/>
              </w:rPr>
              <w:t>4.6 在自救器额定防护时间内不能到达安全地点或及时升井时，避灾人员应就近撤到紧急避险设施内。</w:t>
            </w:r>
          </w:p>
          <w:p>
            <w:pPr>
              <w:widowControl/>
              <w:rPr>
                <w:rFonts w:hint="eastAsia" w:ascii="宋体" w:hAnsi="宋体" w:cs="宋体"/>
                <w:kern w:val="0"/>
                <w:sz w:val="22"/>
                <w:szCs w:val="22"/>
              </w:rPr>
            </w:pPr>
            <w:r>
              <w:rPr>
                <w:rFonts w:hint="eastAsia" w:ascii="宋体" w:hAnsi="宋体" w:cs="宋体"/>
                <w:kern w:val="0"/>
                <w:sz w:val="22"/>
                <w:szCs w:val="22"/>
              </w:rPr>
              <w:t>4.7 紧急避险设施的额定防护时间应不低于96h。</w:t>
            </w:r>
          </w:p>
          <w:p>
            <w:pPr>
              <w:widowControl/>
              <w:rPr>
                <w:rFonts w:hint="eastAsia" w:ascii="宋体" w:hAnsi="宋体" w:cs="宋体"/>
                <w:kern w:val="0"/>
                <w:sz w:val="22"/>
                <w:szCs w:val="22"/>
              </w:rPr>
            </w:pPr>
            <w:r>
              <w:rPr>
                <w:rFonts w:hint="eastAsia" w:ascii="宋体" w:hAnsi="宋体" w:cs="宋体"/>
                <w:kern w:val="0"/>
                <w:sz w:val="22"/>
                <w:szCs w:val="22"/>
              </w:rPr>
              <w:t>4.8 紧急避险系统的配套设备应符合相关标准的规定，救生舱及其他纳入安全标志管理的设备应取得矿用产品安全标志。</w:t>
            </w:r>
          </w:p>
          <w:p>
            <w:pPr>
              <w:widowControl/>
              <w:rPr>
                <w:rFonts w:hint="eastAsia" w:ascii="宋体" w:hAnsi="宋体" w:cs="宋体"/>
                <w:b/>
                <w:bCs/>
                <w:kern w:val="0"/>
                <w:sz w:val="22"/>
                <w:szCs w:val="22"/>
              </w:rPr>
            </w:pPr>
            <w:r>
              <w:rPr>
                <w:rFonts w:hint="eastAsia" w:ascii="宋体" w:hAnsi="宋体" w:cs="宋体"/>
                <w:b/>
                <w:bCs/>
                <w:kern w:val="0"/>
                <w:sz w:val="22"/>
                <w:szCs w:val="22"/>
              </w:rPr>
              <w:t>5.《金属非金属地下矿山监测监控系统建设规范》（AQ2031-2011）</w:t>
            </w:r>
          </w:p>
          <w:p>
            <w:pPr>
              <w:widowControl/>
              <w:rPr>
                <w:rFonts w:hint="eastAsia" w:ascii="宋体" w:hAnsi="宋体" w:cs="宋体"/>
                <w:kern w:val="0"/>
                <w:sz w:val="22"/>
                <w:szCs w:val="22"/>
              </w:rPr>
            </w:pPr>
            <w:r>
              <w:rPr>
                <w:rFonts w:hint="eastAsia" w:ascii="宋体" w:hAnsi="宋体" w:cs="宋体"/>
                <w:kern w:val="0"/>
                <w:sz w:val="22"/>
                <w:szCs w:val="22"/>
              </w:rPr>
              <w:t>第5章</w:t>
            </w:r>
          </w:p>
          <w:p>
            <w:pPr>
              <w:widowControl/>
              <w:rPr>
                <w:rFonts w:hint="eastAsia" w:ascii="宋体" w:hAnsi="宋体" w:cs="宋体"/>
                <w:kern w:val="0"/>
                <w:sz w:val="22"/>
                <w:szCs w:val="22"/>
              </w:rPr>
            </w:pPr>
            <w:r>
              <w:rPr>
                <w:rFonts w:hint="eastAsia" w:ascii="宋体" w:hAnsi="宋体" w:cs="宋体"/>
                <w:kern w:val="0"/>
                <w:sz w:val="22"/>
                <w:szCs w:val="22"/>
              </w:rPr>
              <w:t>5.1 地下矿山应配置足够的便携式气体检测报警仪。</w:t>
            </w:r>
          </w:p>
          <w:p>
            <w:pPr>
              <w:widowControl/>
              <w:rPr>
                <w:rFonts w:hint="eastAsia" w:ascii="宋体" w:hAnsi="宋体" w:cs="宋体"/>
                <w:kern w:val="0"/>
                <w:sz w:val="22"/>
                <w:szCs w:val="22"/>
              </w:rPr>
            </w:pPr>
            <w:r>
              <w:rPr>
                <w:rFonts w:hint="eastAsia" w:ascii="宋体" w:hAnsi="宋体" w:cs="宋体"/>
                <w:kern w:val="0"/>
                <w:sz w:val="22"/>
                <w:szCs w:val="22"/>
              </w:rPr>
              <w:t>便携式气体检测报警仪应能测量一氧化碳、</w:t>
            </w:r>
          </w:p>
          <w:p>
            <w:pPr>
              <w:widowControl/>
              <w:rPr>
                <w:rFonts w:hint="eastAsia" w:ascii="宋体" w:hAnsi="宋体" w:cs="宋体"/>
                <w:kern w:val="0"/>
                <w:sz w:val="22"/>
                <w:szCs w:val="22"/>
              </w:rPr>
            </w:pPr>
            <w:r>
              <w:rPr>
                <w:rFonts w:hint="eastAsia" w:ascii="宋体" w:hAnsi="宋体" w:cs="宋体"/>
                <w:kern w:val="0"/>
                <w:sz w:val="22"/>
                <w:szCs w:val="22"/>
              </w:rPr>
              <w:t>氧气、</w:t>
            </w:r>
          </w:p>
          <w:p>
            <w:pPr>
              <w:widowControl/>
              <w:rPr>
                <w:rFonts w:ascii="宋体" w:hAnsi="宋体" w:cs="宋体"/>
                <w:kern w:val="0"/>
                <w:sz w:val="22"/>
                <w:szCs w:val="22"/>
              </w:rPr>
            </w:pPr>
            <w:r>
              <w:rPr>
                <w:rFonts w:hint="eastAsia" w:ascii="宋体" w:hAnsi="宋体" w:cs="宋体"/>
                <w:kern w:val="0"/>
                <w:sz w:val="22"/>
                <w:szCs w:val="22"/>
              </w:rPr>
              <w:t>二氧化氮浓度，并具有报警参数设置和声光报警功能。</w:t>
            </w:r>
          </w:p>
        </w:tc>
        <w:tc>
          <w:tcPr>
            <w:tcW w:w="2070" w:type="dxa"/>
            <w:noWrap w:val="0"/>
            <w:vAlign w:val="top"/>
          </w:tcPr>
          <w:p>
            <w:pPr>
              <w:widowControl/>
              <w:rPr>
                <w:rFonts w:ascii="宋体" w:hAnsi="宋体" w:cs="宋体"/>
                <w:kern w:val="0"/>
                <w:sz w:val="22"/>
                <w:szCs w:val="22"/>
              </w:rPr>
            </w:pPr>
            <w:r>
              <w:rPr>
                <w:rFonts w:hint="eastAsia" w:ascii="宋体" w:hAnsi="宋体" w:cs="宋体"/>
                <w:color w:val="000000"/>
                <w:kern w:val="0"/>
                <w:sz w:val="22"/>
                <w:szCs w:val="22"/>
              </w:rPr>
              <w:t>2.4检查自救器和便携式气体检测仪配备情况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top"/>
          </w:tcPr>
          <w:p>
            <w:pPr>
              <w:widowControl/>
              <w:rPr>
                <w:rFonts w:hint="eastAsia" w:ascii="宋体" w:hAnsi="宋体" w:cs="宋体"/>
                <w:b/>
                <w:bCs/>
                <w:kern w:val="0"/>
                <w:sz w:val="22"/>
                <w:szCs w:val="22"/>
              </w:rPr>
            </w:pPr>
            <w:r>
              <w:rPr>
                <w:rFonts w:hint="eastAsia" w:ascii="宋体" w:hAnsi="宋体" w:cs="宋体"/>
                <w:b/>
                <w:bCs/>
                <w:kern w:val="0"/>
                <w:sz w:val="22"/>
                <w:szCs w:val="22"/>
              </w:rPr>
              <w:t>6.《金属非金属地下矿山人员定位系统建设规范》（AQ2032-2011）</w:t>
            </w:r>
          </w:p>
          <w:p>
            <w:pPr>
              <w:widowControl/>
              <w:rPr>
                <w:rFonts w:hint="eastAsia" w:ascii="宋体" w:hAnsi="宋体" w:cs="宋体"/>
                <w:kern w:val="0"/>
                <w:sz w:val="22"/>
                <w:szCs w:val="22"/>
              </w:rPr>
            </w:pPr>
            <w:r>
              <w:rPr>
                <w:rFonts w:hint="eastAsia" w:ascii="宋体" w:hAnsi="宋体" w:cs="宋体"/>
                <w:kern w:val="0"/>
                <w:sz w:val="22"/>
                <w:szCs w:val="22"/>
              </w:rPr>
              <w:t>第4章</w:t>
            </w:r>
          </w:p>
          <w:p>
            <w:pPr>
              <w:widowControl/>
              <w:rPr>
                <w:rFonts w:hint="eastAsia" w:ascii="宋体" w:hAnsi="宋体" w:cs="宋体"/>
                <w:kern w:val="0"/>
                <w:sz w:val="22"/>
                <w:szCs w:val="22"/>
              </w:rPr>
            </w:pPr>
            <w:r>
              <w:rPr>
                <w:rFonts w:hint="eastAsia" w:ascii="宋体" w:hAnsi="宋体" w:cs="宋体"/>
                <w:kern w:val="0"/>
                <w:sz w:val="22"/>
                <w:szCs w:val="22"/>
              </w:rPr>
              <w:t>4.6 人员定位系统主机应安装在地面，并双机备份，且应在矿山生产调度室设置显示终端。</w:t>
            </w:r>
          </w:p>
          <w:p>
            <w:pPr>
              <w:widowControl/>
              <w:rPr>
                <w:rFonts w:hint="eastAsia" w:ascii="宋体" w:hAnsi="宋体" w:cs="宋体"/>
                <w:kern w:val="0"/>
                <w:sz w:val="22"/>
                <w:szCs w:val="22"/>
              </w:rPr>
            </w:pPr>
            <w:r>
              <w:rPr>
                <w:rFonts w:hint="eastAsia" w:ascii="宋体" w:hAnsi="宋体" w:cs="宋体"/>
                <w:kern w:val="0"/>
                <w:sz w:val="22"/>
                <w:szCs w:val="22"/>
              </w:rPr>
              <w:t>4.7 人员出入井口和重点区域进出口等地点应安装分站（读卡器）。</w:t>
            </w:r>
          </w:p>
          <w:p>
            <w:pPr>
              <w:widowControl/>
              <w:rPr>
                <w:rFonts w:hint="eastAsia" w:ascii="宋体" w:hAnsi="宋体" w:cs="宋体"/>
                <w:kern w:val="0"/>
                <w:sz w:val="22"/>
                <w:szCs w:val="22"/>
              </w:rPr>
            </w:pPr>
            <w:r>
              <w:rPr>
                <w:rFonts w:hint="eastAsia" w:ascii="宋体" w:hAnsi="宋体" w:cs="宋体"/>
                <w:kern w:val="0"/>
                <w:sz w:val="22"/>
                <w:szCs w:val="22"/>
              </w:rPr>
              <w:t>4.8 分站（读卡器）应安装在便于读卡、观察、调试、检验，且围岩稳固、支护良好、无淋水、无杂</w:t>
            </w:r>
          </w:p>
          <w:p>
            <w:pPr>
              <w:widowControl/>
              <w:rPr>
                <w:rFonts w:hint="eastAsia" w:ascii="宋体" w:hAnsi="宋体" w:cs="宋体"/>
                <w:kern w:val="0"/>
                <w:sz w:val="22"/>
                <w:szCs w:val="22"/>
              </w:rPr>
            </w:pPr>
            <w:r>
              <w:rPr>
                <w:rFonts w:hint="eastAsia" w:ascii="宋体" w:hAnsi="宋体" w:cs="宋体"/>
                <w:kern w:val="0"/>
                <w:sz w:val="22"/>
                <w:szCs w:val="22"/>
              </w:rPr>
              <w:t>物、不容易受到损害的位置。</w:t>
            </w:r>
          </w:p>
          <w:p>
            <w:pPr>
              <w:widowControl/>
              <w:rPr>
                <w:rFonts w:hint="eastAsia" w:ascii="宋体" w:hAnsi="宋体" w:cs="宋体"/>
                <w:kern w:val="0"/>
                <w:sz w:val="22"/>
                <w:szCs w:val="22"/>
              </w:rPr>
            </w:pPr>
            <w:r>
              <w:rPr>
                <w:rFonts w:hint="eastAsia" w:ascii="宋体" w:hAnsi="宋体" w:cs="宋体"/>
                <w:kern w:val="0"/>
                <w:sz w:val="22"/>
                <w:szCs w:val="22"/>
              </w:rPr>
              <w:t>4.9 主机及分站（读卡器）的备用电源应能保证连续工作</w:t>
            </w:r>
            <w:r>
              <w:rPr>
                <w:rFonts w:ascii="宋体" w:hAnsi="宋体" w:cs="宋体"/>
                <w:kern w:val="0"/>
                <w:sz w:val="22"/>
                <w:szCs w:val="22"/>
              </w:rPr>
              <w:t>2h</w:t>
            </w:r>
            <w:r>
              <w:rPr>
                <w:rFonts w:hint="eastAsia" w:ascii="宋体" w:hAnsi="宋体" w:cs="宋体"/>
                <w:kern w:val="0"/>
                <w:sz w:val="22"/>
                <w:szCs w:val="22"/>
              </w:rPr>
              <w:t>以上。</w:t>
            </w:r>
          </w:p>
          <w:p>
            <w:pPr>
              <w:widowControl/>
              <w:rPr>
                <w:rFonts w:hint="eastAsia" w:ascii="宋体" w:hAnsi="宋体" w:cs="宋体"/>
                <w:kern w:val="0"/>
                <w:sz w:val="22"/>
                <w:szCs w:val="22"/>
              </w:rPr>
            </w:pPr>
            <w:r>
              <w:rPr>
                <w:rFonts w:hint="eastAsia" w:ascii="宋体" w:hAnsi="宋体" w:cs="宋体"/>
                <w:kern w:val="0"/>
                <w:sz w:val="22"/>
                <w:szCs w:val="22"/>
              </w:rPr>
              <w:t>4.10 识别卡应专人专卡，并配备不少于经常下井人员总数</w:t>
            </w:r>
            <w:r>
              <w:rPr>
                <w:rFonts w:ascii="宋体" w:hAnsi="宋体" w:cs="宋体"/>
                <w:kern w:val="0"/>
                <w:sz w:val="22"/>
                <w:szCs w:val="22"/>
              </w:rPr>
              <w:t>10%</w:t>
            </w:r>
            <w:r>
              <w:rPr>
                <w:rFonts w:hint="eastAsia" w:ascii="宋体" w:hAnsi="宋体" w:cs="宋体"/>
                <w:kern w:val="0"/>
                <w:sz w:val="22"/>
                <w:szCs w:val="22"/>
              </w:rPr>
              <w:t>的备用卡。</w:t>
            </w:r>
          </w:p>
          <w:p>
            <w:pPr>
              <w:widowControl/>
              <w:rPr>
                <w:rFonts w:hint="eastAsia" w:ascii="宋体" w:hAnsi="宋体" w:cs="宋体"/>
                <w:kern w:val="0"/>
                <w:sz w:val="22"/>
                <w:szCs w:val="22"/>
              </w:rPr>
            </w:pPr>
            <w:r>
              <w:rPr>
                <w:rFonts w:hint="eastAsia" w:ascii="宋体" w:hAnsi="宋体" w:cs="宋体"/>
                <w:kern w:val="0"/>
                <w:sz w:val="22"/>
                <w:szCs w:val="22"/>
              </w:rPr>
              <w:t>4.11 每个下井人员应携带识别卡，工作时不得与识别卡分离。</w:t>
            </w:r>
          </w:p>
          <w:p>
            <w:pPr>
              <w:widowControl/>
              <w:rPr>
                <w:rFonts w:ascii="宋体" w:hAnsi="宋体" w:cs="宋体"/>
                <w:kern w:val="0"/>
                <w:sz w:val="22"/>
                <w:szCs w:val="22"/>
              </w:rPr>
            </w:pPr>
            <w:r>
              <w:rPr>
                <w:rFonts w:hint="eastAsia" w:ascii="宋体" w:hAnsi="宋体" w:cs="宋体"/>
                <w:kern w:val="0"/>
                <w:sz w:val="22"/>
                <w:szCs w:val="22"/>
              </w:rPr>
              <w:t>4.12 应配备检测识别卡工作是否正常的装置，工作不正常的识别卡严禁使用。</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2.5检查井下人员定位系统运行情况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hint="eastAsia" w:ascii="宋体" w:hAnsi="宋体" w:cs="宋体"/>
                <w:b/>
                <w:bCs/>
                <w:kern w:val="0"/>
                <w:sz w:val="22"/>
                <w:szCs w:val="22"/>
              </w:rPr>
            </w:pPr>
            <w:r>
              <w:rPr>
                <w:rFonts w:hint="eastAsia" w:ascii="宋体" w:hAnsi="宋体" w:cs="宋体"/>
                <w:b/>
                <w:bCs/>
                <w:kern w:val="0"/>
                <w:sz w:val="22"/>
                <w:szCs w:val="22"/>
              </w:rPr>
              <w:t>7.《金属非金属矿山安全规程》（GB16423-2006）</w:t>
            </w:r>
          </w:p>
          <w:p>
            <w:pPr>
              <w:widowControl/>
              <w:rPr>
                <w:rFonts w:hint="eastAsia" w:ascii="宋体" w:hAnsi="宋体" w:cs="宋体"/>
                <w:color w:val="343333"/>
                <w:kern w:val="0"/>
                <w:sz w:val="22"/>
                <w:szCs w:val="22"/>
              </w:rPr>
            </w:pPr>
            <w:r>
              <w:rPr>
                <w:rFonts w:hint="eastAsia" w:ascii="宋体" w:hAnsi="宋体" w:cs="宋体"/>
                <w:kern w:val="0"/>
                <w:sz w:val="22"/>
                <w:szCs w:val="22"/>
              </w:rPr>
              <w:t>第4章4.</w:t>
            </w:r>
            <w:r>
              <w:rPr>
                <w:rFonts w:hint="eastAsia" w:ascii="宋体" w:hAnsi="宋体" w:cs="宋体"/>
                <w:color w:val="343333"/>
                <w:kern w:val="0"/>
                <w:sz w:val="22"/>
                <w:szCs w:val="22"/>
              </w:rPr>
              <w:t>16地下矿山，应保存下列图纸，并根据实际情况的变化及时更新采空区(包括已充填采空区)、废弃井巷和计划(年度)开采的采场(矿块)的位置、数量；采空区及废弃井巷的处理进度、方式、数量及地表塌陷区的位置。</w:t>
            </w:r>
          </w:p>
          <w:p>
            <w:pPr>
              <w:widowControl/>
              <w:rPr>
                <w:rFonts w:ascii="宋体" w:hAnsi="宋体" w:cs="宋体"/>
                <w:color w:val="FF0000"/>
                <w:kern w:val="0"/>
                <w:sz w:val="22"/>
                <w:szCs w:val="22"/>
              </w:rPr>
            </w:pPr>
            <w:r>
              <w:rPr>
                <w:rFonts w:hint="eastAsia" w:ascii="宋体" w:hAnsi="宋体" w:cs="宋体"/>
                <w:color w:val="343333"/>
                <w:kern w:val="0"/>
                <w:sz w:val="22"/>
                <w:szCs w:val="22"/>
              </w:rPr>
              <w:t>5.2.5.1开采境界内和最终边坡邻近地段的废弃巷道、采空区和溶洞，应及时标在矿山平面图上，并随着采掘作业的进行，及时设置明显的警示标志。</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5.2.5.2开采境界内的废弃巷道、采空区和溶洞，应至少超前一个台阶进行处理。处理前应编制施工方案，并报主管矿长审批。</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2.6检查</w:t>
            </w:r>
            <w:r>
              <w:rPr>
                <w:rFonts w:hint="eastAsia" w:ascii="宋体" w:hAnsi="宋体" w:cs="宋体"/>
                <w:kern w:val="0"/>
                <w:sz w:val="22"/>
                <w:szCs w:val="22"/>
              </w:rPr>
              <w:t>顶板</w:t>
            </w:r>
            <w:r>
              <w:rPr>
                <w:rFonts w:hint="eastAsia" w:ascii="宋体" w:hAnsi="宋体" w:cs="宋体"/>
                <w:color w:val="000000"/>
                <w:kern w:val="0"/>
                <w:sz w:val="22"/>
                <w:szCs w:val="22"/>
              </w:rPr>
              <w:t>监测管控和采空区普查、治理、监测情况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hint="eastAsia" w:ascii="宋体" w:hAnsi="宋体" w:cs="宋体"/>
                <w:b/>
                <w:bCs/>
                <w:kern w:val="0"/>
                <w:sz w:val="22"/>
                <w:szCs w:val="22"/>
              </w:rPr>
            </w:pPr>
            <w:r>
              <w:rPr>
                <w:rFonts w:hint="eastAsia" w:ascii="宋体" w:hAnsi="宋体" w:cs="宋体"/>
                <w:b/>
                <w:bCs/>
                <w:kern w:val="0"/>
                <w:sz w:val="22"/>
                <w:szCs w:val="22"/>
              </w:rPr>
              <w:t>8.《金属非金属矿山安全规程》（GB16423-2006）</w:t>
            </w:r>
          </w:p>
          <w:p>
            <w:pPr>
              <w:widowControl/>
              <w:rPr>
                <w:rFonts w:ascii="宋体" w:hAnsi="宋体" w:cs="宋体"/>
                <w:kern w:val="0"/>
                <w:sz w:val="22"/>
                <w:szCs w:val="22"/>
              </w:rPr>
            </w:pPr>
            <w:r>
              <w:rPr>
                <w:rFonts w:hint="eastAsia" w:ascii="宋体" w:hAnsi="宋体" w:cs="宋体"/>
                <w:kern w:val="0"/>
                <w:sz w:val="22"/>
                <w:szCs w:val="22"/>
              </w:rPr>
              <w:t>第5章5.1.4采剥和排土作业，不应对深部开采或邻近矿山造成水害和其他潜在安全隐患。</w:t>
            </w:r>
            <w:r>
              <w:rPr>
                <w:rFonts w:hint="eastAsia" w:ascii="宋体" w:hAnsi="宋体" w:cs="宋体"/>
                <w:kern w:val="0"/>
                <w:sz w:val="22"/>
                <w:szCs w:val="22"/>
              </w:rPr>
              <w:br w:type="textWrapping"/>
            </w:r>
            <w:r>
              <w:rPr>
                <w:rFonts w:hint="eastAsia" w:ascii="宋体" w:hAnsi="宋体" w:cs="宋体"/>
                <w:kern w:val="0"/>
                <w:sz w:val="22"/>
                <w:szCs w:val="22"/>
              </w:rPr>
              <w:t>露天矿山，尤其是深凹露天矿山，应设置专用的防洪、排洪设施。</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2.7检查探放水制度落实、水害隐患治理情况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hint="eastAsia" w:ascii="宋体" w:hAnsi="宋体" w:cs="宋体"/>
                <w:b/>
                <w:bCs/>
                <w:kern w:val="0"/>
                <w:sz w:val="22"/>
                <w:szCs w:val="22"/>
              </w:rPr>
            </w:pPr>
            <w:r>
              <w:rPr>
                <w:rFonts w:hint="eastAsia" w:ascii="宋体" w:hAnsi="宋体" w:cs="宋体"/>
                <w:b/>
                <w:bCs/>
                <w:kern w:val="0"/>
                <w:sz w:val="22"/>
                <w:szCs w:val="22"/>
              </w:rPr>
              <w:t>9.《金属非金属矿山安全规程》（GB16423-2006）</w:t>
            </w:r>
          </w:p>
          <w:p>
            <w:pPr>
              <w:widowControl/>
              <w:rPr>
                <w:rFonts w:ascii="宋体" w:hAnsi="宋体" w:cs="宋体"/>
                <w:kern w:val="0"/>
                <w:sz w:val="22"/>
                <w:szCs w:val="22"/>
              </w:rPr>
            </w:pPr>
            <w:r>
              <w:rPr>
                <w:rFonts w:hint="eastAsia" w:ascii="宋体" w:hAnsi="宋体" w:cs="宋体"/>
                <w:kern w:val="0"/>
                <w:sz w:val="22"/>
                <w:szCs w:val="22"/>
              </w:rPr>
              <w:t>第6章吊罐提升用的钢丝绳的安全系数不小于13，任何一个捻距内的断丝数不超过钢丝总数的5％，磨损不超过原直径的10％；</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2.8检查提升设备定期检测检验情况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56" w:type="dxa"/>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500" w:type="dxa"/>
            <w:vMerge w:val="restart"/>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kern w:val="0"/>
                <w:sz w:val="22"/>
                <w:szCs w:val="22"/>
              </w:rPr>
              <w:t>露天矿山企业监督检查</w:t>
            </w:r>
          </w:p>
        </w:tc>
        <w:tc>
          <w:tcPr>
            <w:tcW w:w="6930" w:type="dxa"/>
            <w:noWrap w:val="0"/>
            <w:vAlign w:val="center"/>
          </w:tcPr>
          <w:p>
            <w:pPr>
              <w:widowControl/>
              <w:spacing w:line="300" w:lineRule="exact"/>
              <w:rPr>
                <w:rFonts w:ascii="宋体" w:hAnsi="宋体" w:cs="宋体"/>
                <w:color w:val="000000"/>
                <w:kern w:val="0"/>
                <w:sz w:val="22"/>
                <w:szCs w:val="22"/>
              </w:rPr>
            </w:pPr>
            <w:r>
              <w:rPr>
                <w:rFonts w:hint="eastAsia" w:ascii="宋体" w:hAnsi="宋体" w:cs="宋体"/>
                <w:b/>
                <w:bCs/>
                <w:color w:val="000000"/>
                <w:kern w:val="0"/>
                <w:sz w:val="22"/>
                <w:szCs w:val="22"/>
              </w:rPr>
              <w:t xml:space="preserve">1.《小型露天采石场安全管理与监督检查规定》（国家安全监管总局令第39号）第十六条  </w:t>
            </w:r>
            <w:r>
              <w:rPr>
                <w:rFonts w:hint="eastAsia" w:ascii="宋体" w:hAnsi="宋体" w:cs="宋体"/>
                <w:color w:val="000000"/>
                <w:kern w:val="0"/>
                <w:sz w:val="22"/>
                <w:szCs w:val="22"/>
              </w:rPr>
              <w:t>小型露天采石场应当遵守国家有关民用爆炸物品和爆破作业的安全规定，由具有相应资格的爆破作业人员进行爆破，设置爆破警戒范围，实行定时爆破制度。不得在爆破警戒范围内避炮。</w:t>
            </w:r>
          </w:p>
          <w:p>
            <w:pPr>
              <w:widowControl/>
              <w:spacing w:line="300" w:lineRule="exact"/>
              <w:rPr>
                <w:rFonts w:ascii="宋体" w:hAnsi="宋体" w:cs="宋体"/>
                <w:color w:val="000000"/>
                <w:kern w:val="0"/>
                <w:sz w:val="22"/>
                <w:szCs w:val="22"/>
              </w:rPr>
            </w:pPr>
            <w:r>
              <w:rPr>
                <w:rFonts w:hint="eastAsia" w:ascii="宋体" w:hAnsi="宋体" w:cs="宋体"/>
                <w:color w:val="000000"/>
                <w:kern w:val="0"/>
                <w:sz w:val="22"/>
                <w:szCs w:val="22"/>
              </w:rPr>
              <w:t>禁止在雷雨、大雾、大风等恶劣天气条件下进行爆破作业。雷电高发地区应当选用非电起爆系统。</w:t>
            </w:r>
          </w:p>
          <w:p>
            <w:pPr>
              <w:widowControl/>
              <w:spacing w:line="300" w:lineRule="exact"/>
              <w:rPr>
                <w:rFonts w:ascii="宋体" w:hAnsi="宋体" w:cs="宋体"/>
                <w:color w:val="000000"/>
                <w:kern w:val="0"/>
                <w:sz w:val="22"/>
                <w:szCs w:val="22"/>
              </w:rPr>
            </w:pPr>
            <w:r>
              <w:rPr>
                <w:rFonts w:hint="eastAsia" w:ascii="宋体" w:hAnsi="宋体" w:cs="宋体"/>
                <w:b/>
                <w:bCs/>
                <w:color w:val="000000"/>
                <w:kern w:val="0"/>
                <w:sz w:val="22"/>
                <w:szCs w:val="22"/>
              </w:rPr>
              <w:t>2.《爆破安全规程》（GB6722-2014）</w:t>
            </w:r>
            <w:r>
              <w:rPr>
                <w:rFonts w:hint="eastAsia" w:ascii="宋体" w:hAnsi="宋体" w:cs="宋体"/>
                <w:color w:val="000000"/>
                <w:kern w:val="0"/>
                <w:sz w:val="22"/>
                <w:szCs w:val="22"/>
              </w:rPr>
              <w:t>第13章</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3.1检查爆破安全距离有关问题</w:t>
            </w:r>
          </w:p>
        </w:tc>
        <w:tc>
          <w:tcPr>
            <w:tcW w:w="1305" w:type="dxa"/>
            <w:vMerge w:val="restart"/>
            <w:noWrap w:val="0"/>
            <w:vAlign w:val="center"/>
          </w:tcPr>
          <w:p>
            <w:pPr>
              <w:widowControl/>
              <w:ind w:firstLine="110" w:firstLineChars="50"/>
              <w:rPr>
                <w:rFonts w:hint="eastAsia" w:ascii="宋体" w:hAnsi="宋体" w:cs="宋体"/>
                <w:kern w:val="0"/>
                <w:sz w:val="22"/>
                <w:szCs w:val="22"/>
              </w:rPr>
            </w:pPr>
            <w:r>
              <w:rPr>
                <w:rFonts w:hint="eastAsia" w:ascii="宋体" w:hAnsi="宋体" w:cs="宋体"/>
                <w:kern w:val="0"/>
                <w:sz w:val="22"/>
                <w:szCs w:val="22"/>
              </w:rPr>
              <w:t>实地核查</w:t>
            </w:r>
          </w:p>
          <w:p>
            <w:pPr>
              <w:widowControl/>
              <w:ind w:firstLine="110" w:firstLineChars="50"/>
              <w:rPr>
                <w:rFonts w:ascii="宋体" w:hAnsi="宋体" w:cs="宋体"/>
                <w:kern w:val="0"/>
                <w:sz w:val="22"/>
                <w:szCs w:val="22"/>
              </w:rPr>
            </w:pPr>
            <w:r>
              <w:rPr>
                <w:rFonts w:hint="eastAsia" w:ascii="宋体" w:hAnsi="宋体" w:cs="宋体"/>
                <w:kern w:val="0"/>
                <w:sz w:val="22"/>
                <w:szCs w:val="22"/>
              </w:rPr>
              <w:t>书面检查</w:t>
            </w:r>
          </w:p>
        </w:tc>
        <w:tc>
          <w:tcPr>
            <w:tcW w:w="1185" w:type="dxa"/>
            <w:vMerge w:val="restart"/>
            <w:noWrap w:val="0"/>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露天矿山企业</w:t>
            </w:r>
          </w:p>
        </w:tc>
        <w:tc>
          <w:tcPr>
            <w:tcW w:w="960" w:type="dxa"/>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市场监管执法事项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spacing w:line="300" w:lineRule="exact"/>
              <w:rPr>
                <w:rFonts w:ascii="宋体" w:hAnsi="宋体" w:cs="宋体"/>
                <w:color w:val="000000"/>
                <w:kern w:val="0"/>
                <w:sz w:val="22"/>
                <w:szCs w:val="22"/>
              </w:rPr>
            </w:pPr>
            <w:r>
              <w:rPr>
                <w:rFonts w:hint="eastAsia" w:ascii="宋体" w:hAnsi="宋体" w:cs="宋体"/>
                <w:b/>
                <w:bCs/>
                <w:color w:val="000000"/>
                <w:kern w:val="0"/>
                <w:sz w:val="22"/>
                <w:szCs w:val="22"/>
              </w:rPr>
              <w:t xml:space="preserve">3.《小型露天采石场安全管理与监督检查规定》（国家安全监管总局令第39号）第十五条 </w:t>
            </w:r>
            <w:r>
              <w:rPr>
                <w:rFonts w:hint="eastAsia" w:ascii="宋体" w:hAnsi="宋体" w:cs="宋体"/>
                <w:color w:val="000000"/>
                <w:kern w:val="0"/>
                <w:sz w:val="22"/>
                <w:szCs w:val="22"/>
              </w:rPr>
              <w:t>小型露天采石场应当采用台阶式开采。不能采用台阶式开采的，应当自上而下分层顺序开采。</w:t>
            </w:r>
          </w:p>
          <w:p>
            <w:pPr>
              <w:widowControl/>
              <w:spacing w:line="300" w:lineRule="exact"/>
              <w:rPr>
                <w:rFonts w:ascii="宋体" w:hAnsi="宋体" w:cs="宋体"/>
                <w:color w:val="000000"/>
                <w:kern w:val="0"/>
                <w:sz w:val="22"/>
                <w:szCs w:val="22"/>
              </w:rPr>
            </w:pPr>
            <w:r>
              <w:rPr>
                <w:rFonts w:hint="eastAsia" w:ascii="宋体" w:hAnsi="宋体" w:cs="宋体"/>
                <w:color w:val="000000"/>
                <w:kern w:val="0"/>
                <w:sz w:val="22"/>
                <w:szCs w:val="22"/>
              </w:rPr>
              <w:t xml:space="preserve">    分层开采的分层高度、最大开采高度（第一分层的坡顶线到最后一分层的坡底线的垂直距离）和最终边坡角由设计确定，实施浅孔爆破作业时，分层数不得超过</w:t>
            </w:r>
            <w:r>
              <w:rPr>
                <w:rFonts w:ascii="宋体" w:hAnsi="宋体" w:cs="宋体"/>
                <w:color w:val="000000"/>
                <w:kern w:val="0"/>
                <w:sz w:val="22"/>
                <w:szCs w:val="22"/>
              </w:rPr>
              <w:t>6</w:t>
            </w:r>
            <w:r>
              <w:rPr>
                <w:rFonts w:hint="eastAsia" w:ascii="宋体" w:hAnsi="宋体" w:cs="宋体"/>
                <w:color w:val="000000"/>
                <w:kern w:val="0"/>
                <w:sz w:val="22"/>
                <w:szCs w:val="22"/>
              </w:rPr>
              <w:t>个，最大开采高度不得超过</w:t>
            </w:r>
            <w:r>
              <w:rPr>
                <w:rFonts w:ascii="宋体" w:hAnsi="宋体" w:cs="宋体"/>
                <w:color w:val="000000"/>
                <w:kern w:val="0"/>
                <w:sz w:val="22"/>
                <w:szCs w:val="22"/>
              </w:rPr>
              <w:t>30</w:t>
            </w:r>
            <w:r>
              <w:rPr>
                <w:rFonts w:hint="eastAsia" w:ascii="宋体" w:hAnsi="宋体" w:cs="宋体"/>
                <w:color w:val="000000"/>
                <w:kern w:val="0"/>
                <w:sz w:val="22"/>
                <w:szCs w:val="22"/>
              </w:rPr>
              <w:t>米；实施中深孔爆破作业时，分层高度不得超过</w:t>
            </w:r>
            <w:r>
              <w:rPr>
                <w:rFonts w:ascii="宋体" w:hAnsi="宋体" w:cs="宋体"/>
                <w:color w:val="000000"/>
                <w:kern w:val="0"/>
                <w:sz w:val="22"/>
                <w:szCs w:val="22"/>
              </w:rPr>
              <w:t>20</w:t>
            </w:r>
            <w:r>
              <w:rPr>
                <w:rFonts w:hint="eastAsia" w:ascii="宋体" w:hAnsi="宋体" w:cs="宋体"/>
                <w:color w:val="000000"/>
                <w:kern w:val="0"/>
                <w:sz w:val="22"/>
                <w:szCs w:val="22"/>
              </w:rPr>
              <w:t>米，分层数不得超过</w:t>
            </w:r>
            <w:r>
              <w:rPr>
                <w:rFonts w:ascii="宋体" w:hAnsi="宋体" w:cs="宋体"/>
                <w:color w:val="000000"/>
                <w:kern w:val="0"/>
                <w:sz w:val="22"/>
                <w:szCs w:val="22"/>
              </w:rPr>
              <w:t>3</w:t>
            </w:r>
            <w:r>
              <w:rPr>
                <w:rFonts w:hint="eastAsia" w:ascii="宋体" w:hAnsi="宋体" w:cs="宋体"/>
                <w:color w:val="000000"/>
                <w:kern w:val="0"/>
                <w:sz w:val="22"/>
                <w:szCs w:val="22"/>
              </w:rPr>
              <w:t>个，最大开采高度不得超过</w:t>
            </w:r>
            <w:r>
              <w:rPr>
                <w:rFonts w:ascii="宋体" w:hAnsi="宋体" w:cs="宋体"/>
                <w:color w:val="000000"/>
                <w:kern w:val="0"/>
                <w:sz w:val="22"/>
                <w:szCs w:val="22"/>
              </w:rPr>
              <w:t>60</w:t>
            </w:r>
            <w:r>
              <w:rPr>
                <w:rFonts w:hint="eastAsia" w:ascii="宋体" w:hAnsi="宋体" w:cs="宋体"/>
                <w:color w:val="000000"/>
                <w:kern w:val="0"/>
                <w:sz w:val="22"/>
                <w:szCs w:val="22"/>
              </w:rPr>
              <w:t>米。</w:t>
            </w:r>
          </w:p>
          <w:p>
            <w:pPr>
              <w:widowControl/>
              <w:spacing w:line="300" w:lineRule="exact"/>
              <w:rPr>
                <w:rFonts w:ascii="宋体" w:hAnsi="宋体" w:cs="宋体"/>
                <w:color w:val="000000"/>
                <w:kern w:val="0"/>
                <w:sz w:val="22"/>
                <w:szCs w:val="22"/>
              </w:rPr>
            </w:pPr>
            <w:r>
              <w:rPr>
                <w:rFonts w:hint="eastAsia" w:ascii="宋体" w:hAnsi="宋体" w:cs="宋体"/>
                <w:color w:val="000000"/>
                <w:kern w:val="0"/>
                <w:sz w:val="22"/>
                <w:szCs w:val="22"/>
              </w:rPr>
              <w:t xml:space="preserve">    分层开采的凿岩平台宽度由设计确定，最小凿岩平台宽度不得小于</w:t>
            </w:r>
            <w:r>
              <w:rPr>
                <w:rFonts w:ascii="宋体" w:hAnsi="宋体" w:cs="宋体"/>
                <w:color w:val="000000"/>
                <w:kern w:val="0"/>
                <w:sz w:val="22"/>
                <w:szCs w:val="22"/>
              </w:rPr>
              <w:t>4</w:t>
            </w:r>
            <w:r>
              <w:rPr>
                <w:rFonts w:hint="eastAsia" w:ascii="宋体" w:hAnsi="宋体" w:cs="宋体"/>
                <w:color w:val="000000"/>
                <w:kern w:val="0"/>
                <w:sz w:val="22"/>
                <w:szCs w:val="22"/>
              </w:rPr>
              <w:t>米。</w:t>
            </w:r>
          </w:p>
          <w:p>
            <w:pPr>
              <w:widowControl/>
              <w:spacing w:line="300" w:lineRule="exact"/>
              <w:rPr>
                <w:rFonts w:ascii="宋体" w:hAnsi="宋体" w:cs="宋体"/>
                <w:color w:val="000000"/>
                <w:kern w:val="0"/>
                <w:sz w:val="22"/>
                <w:szCs w:val="22"/>
              </w:rPr>
            </w:pPr>
            <w:r>
              <w:rPr>
                <w:rFonts w:hint="eastAsia" w:ascii="宋体" w:hAnsi="宋体" w:cs="宋体"/>
                <w:color w:val="000000"/>
                <w:kern w:val="0"/>
                <w:sz w:val="22"/>
                <w:szCs w:val="22"/>
              </w:rPr>
              <w:t xml:space="preserve">    分层开采的底部装运平台宽度由设计确定，且应当满足调车作业所需的最小平台宽度要求。</w:t>
            </w:r>
          </w:p>
          <w:p>
            <w:pPr>
              <w:widowControl/>
              <w:spacing w:line="300" w:lineRule="exact"/>
              <w:rPr>
                <w:rFonts w:hint="eastAsia" w:ascii="宋体" w:hAnsi="宋体" w:cs="宋体"/>
                <w:b/>
                <w:bCs/>
                <w:color w:val="000000"/>
                <w:kern w:val="0"/>
                <w:sz w:val="22"/>
                <w:szCs w:val="22"/>
              </w:rPr>
            </w:pPr>
            <w:r>
              <w:rPr>
                <w:rFonts w:hint="eastAsia" w:ascii="宋体" w:hAnsi="宋体" w:cs="宋体"/>
                <w:b/>
                <w:bCs/>
                <w:color w:val="000000"/>
                <w:kern w:val="0"/>
                <w:sz w:val="22"/>
                <w:szCs w:val="22"/>
              </w:rPr>
              <w:t>4.《金属非金属矿山安全规程》（GB16423-2006）</w:t>
            </w:r>
          </w:p>
          <w:p>
            <w:pPr>
              <w:widowControl/>
              <w:spacing w:line="300" w:lineRule="exact"/>
              <w:rPr>
                <w:rFonts w:ascii="宋体" w:hAnsi="宋体" w:cs="宋体"/>
                <w:color w:val="000000"/>
                <w:kern w:val="0"/>
                <w:sz w:val="22"/>
                <w:szCs w:val="22"/>
              </w:rPr>
            </w:pPr>
            <w:r>
              <w:rPr>
                <w:rFonts w:hint="eastAsia" w:ascii="宋体" w:hAnsi="宋体" w:cs="宋体"/>
                <w:color w:val="000000"/>
                <w:kern w:val="0"/>
                <w:sz w:val="22"/>
                <w:szCs w:val="22"/>
              </w:rPr>
              <w:t>第5章5.1.2露天开采应遵循自上而下的开采顺序，分台阶开采，并坚持“采剥并举，剥离先行”的原则。</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3.2检查按设计参数分层分台阶开采情况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ascii="宋体" w:hAnsi="宋体" w:cs="宋体"/>
                <w:color w:val="000000"/>
                <w:kern w:val="0"/>
                <w:sz w:val="22"/>
                <w:szCs w:val="22"/>
              </w:rPr>
            </w:pPr>
            <w:r>
              <w:rPr>
                <w:rFonts w:hint="eastAsia" w:ascii="宋体" w:hAnsi="宋体" w:cs="宋体"/>
                <w:b/>
                <w:bCs/>
                <w:color w:val="000000"/>
                <w:kern w:val="0"/>
                <w:sz w:val="22"/>
                <w:szCs w:val="22"/>
              </w:rPr>
              <w:t xml:space="preserve">5.《小型露天采石场安全管理与监督检查规定》（国家安全监管总局令第39号）第十三条  </w:t>
            </w:r>
            <w:r>
              <w:rPr>
                <w:rFonts w:hint="eastAsia" w:ascii="宋体" w:hAnsi="宋体" w:cs="宋体"/>
                <w:color w:val="000000"/>
                <w:kern w:val="0"/>
                <w:sz w:val="22"/>
                <w:szCs w:val="22"/>
              </w:rPr>
              <w:t>小型露天采石场应当采用中深孔爆破，严禁采用扩壶爆破、掏底崩落、掏挖开采和不分层的“一面墙”等开采方式。</w:t>
            </w:r>
          </w:p>
          <w:p>
            <w:pPr>
              <w:widowControl/>
              <w:rPr>
                <w:rFonts w:ascii="宋体" w:hAnsi="宋体" w:cs="宋体"/>
                <w:color w:val="000000"/>
                <w:kern w:val="0"/>
                <w:sz w:val="22"/>
                <w:szCs w:val="22"/>
              </w:rPr>
            </w:pPr>
            <w:r>
              <w:rPr>
                <w:rFonts w:hint="eastAsia" w:ascii="宋体" w:hAnsi="宋体" w:cs="宋体"/>
                <w:color w:val="000000"/>
                <w:kern w:val="0"/>
                <w:sz w:val="22"/>
                <w:szCs w:val="22"/>
              </w:rPr>
              <w:t>不具备实施中深孔爆破条件的，由所在地安全生产监督管理部门聘请有关专家进行论证，经论证符合要求的，方可采用浅孔爆破开采。</w:t>
            </w:r>
          </w:p>
          <w:p>
            <w:pPr>
              <w:widowControl/>
              <w:rPr>
                <w:rFonts w:ascii="宋体" w:hAnsi="宋体" w:cs="宋体"/>
                <w:color w:val="000000"/>
                <w:kern w:val="0"/>
                <w:sz w:val="22"/>
                <w:szCs w:val="22"/>
              </w:rPr>
            </w:pPr>
            <w:r>
              <w:rPr>
                <w:rFonts w:hint="eastAsia" w:ascii="宋体" w:hAnsi="宋体" w:cs="宋体"/>
                <w:color w:val="000000"/>
                <w:kern w:val="0"/>
                <w:sz w:val="22"/>
                <w:szCs w:val="22"/>
              </w:rPr>
              <w:t>小型露天采石场实施中深孔爆破条件的审核办法，由省级安全生产监督管理部门制定。</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3.3检查中深孔爆破作业落实情况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ascii="宋体" w:hAnsi="宋体" w:cs="宋体"/>
                <w:color w:val="000000"/>
                <w:kern w:val="0"/>
                <w:sz w:val="22"/>
                <w:szCs w:val="22"/>
              </w:rPr>
            </w:pPr>
            <w:r>
              <w:rPr>
                <w:rFonts w:hint="eastAsia" w:ascii="宋体" w:hAnsi="宋体" w:cs="宋体"/>
                <w:b/>
                <w:bCs/>
                <w:color w:val="000000"/>
                <w:kern w:val="0"/>
                <w:sz w:val="22"/>
                <w:szCs w:val="22"/>
              </w:rPr>
              <w:t xml:space="preserve">6.《小型露天采石场安全管理与监督检查规定》（国家安全监管总局令第39号）第十七条  </w:t>
            </w:r>
            <w:r>
              <w:rPr>
                <w:rFonts w:hint="eastAsia" w:ascii="宋体" w:hAnsi="宋体" w:cs="宋体"/>
                <w:color w:val="000000"/>
                <w:kern w:val="0"/>
                <w:sz w:val="22"/>
                <w:szCs w:val="22"/>
              </w:rPr>
              <w:t>对爆破后产生的大块矿岩应当采用机械方式进行破碎，不得使用爆破方式进行二次破碎。</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3.4</w:t>
            </w:r>
            <w:r>
              <w:rPr>
                <w:rFonts w:hint="eastAsia" w:ascii="宋体" w:hAnsi="宋体" w:cs="宋体"/>
                <w:color w:val="000000"/>
                <w:spacing w:val="-2"/>
                <w:kern w:val="0"/>
                <w:sz w:val="22"/>
                <w:szCs w:val="22"/>
              </w:rPr>
              <w:t>检查机械二次破碎和铲装作业情况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top"/>
          </w:tcPr>
          <w:p>
            <w:pPr>
              <w:widowControl/>
              <w:rPr>
                <w:rFonts w:ascii="宋体" w:hAnsi="宋体" w:cs="宋体"/>
                <w:color w:val="FF0000"/>
                <w:kern w:val="0"/>
                <w:sz w:val="22"/>
                <w:szCs w:val="22"/>
              </w:rPr>
            </w:pPr>
            <w:r>
              <w:rPr>
                <w:rFonts w:hint="eastAsia" w:ascii="宋体" w:hAnsi="宋体" w:cs="宋体"/>
                <w:b/>
                <w:bCs/>
                <w:kern w:val="0"/>
                <w:sz w:val="22"/>
                <w:szCs w:val="22"/>
              </w:rPr>
              <w:t>7.《金属非金属矿山安全规程》（GB16423-2006）</w:t>
            </w:r>
            <w:r>
              <w:rPr>
                <w:rFonts w:hint="eastAsia" w:ascii="宋体" w:hAnsi="宋体" w:cs="宋体"/>
                <w:color w:val="000000"/>
                <w:kern w:val="0"/>
                <w:sz w:val="22"/>
                <w:szCs w:val="22"/>
              </w:rPr>
              <w:t>第5章5.2.5.9在境界外邻近地区堆卸废石时，应遵守设计规定，保证边坡的稳固，防止滚石、滑塌的危害。并且废石场不应成为作用于边坡的附加荷载。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5.2.5.10边坡监测系统设计，应根据最终边坡的稳定类型、分区特点确定各区监测级别。对边坡应进行定点定期观测，包括坡体表面和内部位移观测、地下水位动态观测、爆破震动观测等。技术管理部门应及时整理边坡观测资料，据以指导采场安全生产。对存在不稳定因素的最终边坡应长期监测，发现问题及时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5.2.5.11大、中型矿山或边坡潜在危害性大的矿山，除应建立健全边坡管理和检查制度，对边坡重点部位和有潜在滑坡危险的地段采取有效的防治措施外，还应每5年由有资质的中介机构进行一次检测和稳定性分析。</w:t>
            </w:r>
          </w:p>
        </w:tc>
        <w:tc>
          <w:tcPr>
            <w:tcW w:w="2070" w:type="dxa"/>
            <w:noWrap w:val="0"/>
            <w:vAlign w:val="top"/>
          </w:tcPr>
          <w:p>
            <w:pPr>
              <w:widowControl/>
              <w:rPr>
                <w:rFonts w:ascii="宋体" w:hAnsi="宋体" w:cs="宋体"/>
                <w:kern w:val="0"/>
                <w:sz w:val="22"/>
                <w:szCs w:val="22"/>
              </w:rPr>
            </w:pPr>
            <w:r>
              <w:rPr>
                <w:rFonts w:hint="eastAsia" w:ascii="宋体" w:hAnsi="宋体" w:cs="宋体"/>
                <w:color w:val="000000"/>
                <w:kern w:val="0"/>
                <w:sz w:val="22"/>
                <w:szCs w:val="22"/>
              </w:rPr>
              <w:t>3.5检查按设计控制边坡参数和安全检查情况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hint="eastAsia" w:ascii="宋体" w:hAnsi="宋体" w:cs="宋体"/>
                <w:b/>
                <w:bCs/>
                <w:kern w:val="0"/>
                <w:sz w:val="22"/>
                <w:szCs w:val="22"/>
              </w:rPr>
            </w:pPr>
            <w:r>
              <w:rPr>
                <w:rFonts w:hint="eastAsia" w:ascii="宋体" w:hAnsi="宋体" w:cs="宋体"/>
                <w:b/>
                <w:bCs/>
                <w:kern w:val="0"/>
                <w:sz w:val="22"/>
                <w:szCs w:val="22"/>
              </w:rPr>
              <w:t>8.《金属非金属矿山安全规程》（GB16423-2006）</w:t>
            </w:r>
          </w:p>
          <w:p>
            <w:pPr>
              <w:widowControl/>
              <w:rPr>
                <w:rFonts w:hint="eastAsia" w:ascii="宋体" w:hAnsi="宋体" w:cs="宋体"/>
                <w:color w:val="343333"/>
                <w:kern w:val="0"/>
                <w:sz w:val="22"/>
                <w:szCs w:val="22"/>
              </w:rPr>
            </w:pPr>
            <w:r>
              <w:rPr>
                <w:rFonts w:hint="eastAsia" w:ascii="宋体" w:hAnsi="宋体" w:cs="宋体"/>
                <w:color w:val="000000"/>
                <w:kern w:val="0"/>
                <w:sz w:val="22"/>
                <w:szCs w:val="22"/>
              </w:rPr>
              <w:t>第5章；5.7.1矿山排土场应由有资质的中介机构进行设计。5.7.2排土场(包括水力排土场)位置的选择，应遵守以下原则：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——保证排弃土岩时不致因滚石、滑坡、塌方等威胁采矿场、工业场地(厂区)、居民点、铁路、道路、输电网线和通讯干线、耕种区、水域、隧道涵洞、旅游景区、固定标志及永久性建筑等的安全：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其安全距离在设计中规定；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——依据的工程地质资料可靠；不宜设在工程地质或水文地质条件不良的地带；若因地基不良而影响安全，应采取有效措施：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——依山而建的排土场，坡度大于1：5且山坡有植被或第四系软弱层时，最终境界100m内的植被或第四系软弱层应全部清除，将地基削成阶梯状；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——避免排土场成为矿山泥石流重大危险源，必要时，采取有效控制措施；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——排土场位置要符合相应的环保要求；排土场场址不应设在居民区或工业建筑主导风向的上风侧和生活水源的上游，含有污染物的废石要按照GBl8599要求进行堆放、处置。</w:t>
            </w:r>
            <w:r>
              <w:rPr>
                <w:rFonts w:hint="eastAsia" w:ascii="宋体" w:hAnsi="宋体" w:cs="宋体"/>
                <w:color w:val="000000"/>
                <w:kern w:val="0"/>
                <w:sz w:val="22"/>
                <w:szCs w:val="22"/>
              </w:rPr>
              <w:br w:type="textWrapping"/>
            </w:r>
            <w:r>
              <w:rPr>
                <w:rFonts w:hint="eastAsia" w:ascii="宋体" w:hAnsi="宋体" w:cs="宋体"/>
                <w:color w:val="343333"/>
                <w:kern w:val="0"/>
                <w:sz w:val="22"/>
                <w:szCs w:val="22"/>
              </w:rPr>
              <w:t>5.7.3排土场位置选定后，应进行专门的地质勘探工作。</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5.7.4排土场设计，应进行排土场土岩流失量估算，设计拦挡设施。</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5.7.5内部排土场不应影响矿山正常开采和边坡稳定，排土场坡脚与开采作业点之间应有一定的安全距离。必要时应设置滚石或泥石流拦挡设施。</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5.7.6排土场排土工艺、排土顺序、排土场的阶段高度、总堆置高度、安全平台宽度、总边坡角、废石滚落可能的最大距离，及相邻阶段同时作业的超前堆置距离等参数，均应在设计中明确规定。</w:t>
            </w:r>
          </w:p>
          <w:p>
            <w:pPr>
              <w:widowControl/>
              <w:rPr>
                <w:rFonts w:hint="eastAsia" w:ascii="宋体" w:hAnsi="宋体" w:cs="宋体"/>
                <w:color w:val="343333"/>
                <w:kern w:val="0"/>
                <w:sz w:val="22"/>
                <w:szCs w:val="22"/>
              </w:rPr>
            </w:pPr>
            <w:r>
              <w:rPr>
                <w:rFonts w:hint="eastAsia" w:ascii="宋体" w:hAnsi="宋体" w:cs="宋体"/>
                <w:color w:val="343333"/>
                <w:kern w:val="0"/>
                <w:sz w:val="22"/>
                <w:szCs w:val="22"/>
              </w:rPr>
              <w:t>5.7.7排土场进行排弃作业时，应圈定危险范围，并设立警戒标志，无关人员不应进入危险范围内。</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　　任何人均不应在排土场作业区或排土场危险区内从事捡矿石、捡石材和其他活动。</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　　未经设计或技术论证，任何单位不应在排土场内回采低品位矿石和石材。</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5.7.8排土场最终境界20m内，应排弃大块岩石。</w:t>
            </w:r>
            <w:r>
              <w:rPr>
                <w:rFonts w:hint="eastAsia" w:ascii="宋体" w:hAnsi="宋体" w:cs="宋体"/>
                <w:color w:val="343333"/>
                <w:kern w:val="0"/>
                <w:sz w:val="22"/>
                <w:szCs w:val="22"/>
              </w:rPr>
              <w:br w:type="textWrapping"/>
            </w:r>
            <w:r>
              <w:rPr>
                <w:rFonts w:hint="eastAsia" w:ascii="宋体" w:hAnsi="宋体" w:cs="宋体"/>
                <w:color w:val="343333"/>
                <w:kern w:val="0"/>
                <w:sz w:val="22"/>
                <w:szCs w:val="22"/>
              </w:rPr>
              <w:t>5.7.9高台阶排土场，应有专人负责观测和管理；发现危险征兆，应采取有效措施，及时处理。</w:t>
            </w:r>
          </w:p>
          <w:p>
            <w:pPr>
              <w:widowControl/>
              <w:rPr>
                <w:rFonts w:hint="eastAsia" w:ascii="宋体" w:hAnsi="宋体" w:cs="宋体"/>
                <w:b/>
                <w:bCs/>
                <w:kern w:val="0"/>
                <w:sz w:val="22"/>
                <w:szCs w:val="22"/>
              </w:rPr>
            </w:pPr>
            <w:r>
              <w:rPr>
                <w:rFonts w:hint="eastAsia" w:ascii="宋体" w:hAnsi="宋体" w:cs="宋体"/>
                <w:b/>
                <w:bCs/>
                <w:kern w:val="0"/>
                <w:sz w:val="22"/>
                <w:szCs w:val="22"/>
              </w:rPr>
              <w:t>9.《金属非金属矿山排土场安全生产规则》（AQ2005-2005）</w:t>
            </w:r>
          </w:p>
          <w:p>
            <w:pPr>
              <w:widowControl/>
              <w:rPr>
                <w:rFonts w:hint="eastAsia" w:ascii="宋体" w:hAnsi="宋体" w:cs="宋体"/>
                <w:color w:val="343333"/>
                <w:kern w:val="0"/>
                <w:sz w:val="22"/>
                <w:szCs w:val="22"/>
              </w:rPr>
            </w:pPr>
            <w:r>
              <w:rPr>
                <w:rFonts w:hint="eastAsia" w:ascii="宋体" w:hAnsi="宋体" w:cs="宋体"/>
                <w:kern w:val="0"/>
                <w:sz w:val="22"/>
                <w:szCs w:val="22"/>
              </w:rPr>
              <w:t>第4章</w:t>
            </w:r>
            <w:r>
              <w:rPr>
                <w:rFonts w:hint="eastAsia" w:ascii="宋体" w:hAnsi="宋体" w:cs="宋体"/>
                <w:kern w:val="0"/>
                <w:sz w:val="22"/>
                <w:szCs w:val="22"/>
              </w:rPr>
              <w:br w:type="textWrapping"/>
            </w:r>
            <w:r>
              <w:rPr>
                <w:rFonts w:hint="eastAsia" w:ascii="宋体" w:hAnsi="宋体" w:cs="宋体"/>
                <w:color w:val="343333"/>
                <w:kern w:val="0"/>
                <w:sz w:val="22"/>
                <w:szCs w:val="22"/>
              </w:rPr>
              <w:t>4.1 企业主要负责人是排土场安全生产第一责任人。企业应有专门机构和专职人员负责排土场的安全管理工作，保证排土场安全生产所需经费。</w:t>
            </w:r>
          </w:p>
          <w:p>
            <w:pPr>
              <w:widowControl/>
              <w:rPr>
                <w:rFonts w:hint="eastAsia" w:ascii="宋体" w:hAnsi="宋体" w:cs="宋体"/>
                <w:color w:val="343333"/>
                <w:kern w:val="0"/>
                <w:sz w:val="22"/>
                <w:szCs w:val="22"/>
              </w:rPr>
            </w:pPr>
            <w:r>
              <w:rPr>
                <w:rFonts w:hint="eastAsia" w:ascii="宋体" w:hAnsi="宋体" w:cs="宋体"/>
                <w:color w:val="343333"/>
                <w:kern w:val="0"/>
                <w:sz w:val="22"/>
                <w:szCs w:val="22"/>
              </w:rPr>
              <w:t>4.2 建立健全适合本单位排土场实际情况的规章制度，包括：排土场安全目标管理制度；排土场安全生产责任制度；排土场安全生产检查制度；排土场安全隐患治理制度；排土场抢险及险情报告制度；排土场安全技术措施实施计划；排土场安全技术规程；排土场安全事故调查、分析、报告、处理制度；排土场安全培训、教育制度；排土场安全评价制度等。</w:t>
            </w:r>
          </w:p>
          <w:p>
            <w:pPr>
              <w:widowControl/>
              <w:rPr>
                <w:rFonts w:hint="eastAsia" w:ascii="宋体" w:hAnsi="宋体" w:cs="宋体"/>
                <w:color w:val="343333"/>
                <w:kern w:val="0"/>
                <w:sz w:val="22"/>
                <w:szCs w:val="22"/>
              </w:rPr>
            </w:pPr>
            <w:r>
              <w:rPr>
                <w:rFonts w:hint="eastAsia" w:ascii="宋体" w:hAnsi="宋体" w:cs="宋体"/>
                <w:color w:val="343333"/>
                <w:kern w:val="0"/>
                <w:sz w:val="22"/>
                <w:szCs w:val="22"/>
              </w:rPr>
              <w:t>4.3 企业应严格执行建设项目安全设施“三同时”的有关规定，对排土场按照设计文件的要求和有关技术规范施工，并报批验收。</w:t>
            </w:r>
          </w:p>
          <w:p>
            <w:pPr>
              <w:widowControl/>
              <w:rPr>
                <w:rFonts w:hint="eastAsia" w:ascii="宋体" w:hAnsi="宋体" w:cs="宋体"/>
                <w:color w:val="343333"/>
                <w:kern w:val="0"/>
                <w:sz w:val="22"/>
                <w:szCs w:val="22"/>
              </w:rPr>
            </w:pPr>
            <w:r>
              <w:rPr>
                <w:rFonts w:hint="eastAsia" w:ascii="宋体" w:hAnsi="宋体" w:cs="宋体"/>
                <w:color w:val="343333"/>
                <w:kern w:val="0"/>
                <w:sz w:val="22"/>
                <w:szCs w:val="22"/>
              </w:rPr>
              <w:t>4.4 设计变更应经原设计单位同意，或经有资质的单位进行技术论证，并报安全生产监督管理部门审查，任何单位和个人不应随意变更排土场设计或研究机构经技术论证后推荐的排土段高等参数。</w:t>
            </w:r>
          </w:p>
          <w:p>
            <w:pPr>
              <w:widowControl/>
              <w:rPr>
                <w:rFonts w:hint="eastAsia" w:ascii="宋体" w:hAnsi="宋体" w:cs="宋体"/>
                <w:color w:val="343333"/>
                <w:kern w:val="0"/>
                <w:sz w:val="22"/>
                <w:szCs w:val="22"/>
              </w:rPr>
            </w:pPr>
            <w:r>
              <w:rPr>
                <w:rFonts w:hint="eastAsia" w:ascii="宋体" w:hAnsi="宋体" w:cs="宋体"/>
                <w:color w:val="343333"/>
                <w:kern w:val="0"/>
                <w:sz w:val="22"/>
                <w:szCs w:val="22"/>
              </w:rPr>
              <w:t>4.5 排土场滚石区应设置醒目的符合GB 14161标准的安全警示标志。</w:t>
            </w:r>
          </w:p>
          <w:p>
            <w:pPr>
              <w:widowControl/>
              <w:rPr>
                <w:rFonts w:hint="eastAsia" w:ascii="宋体" w:hAnsi="宋体" w:cs="宋体"/>
                <w:color w:val="343333"/>
                <w:kern w:val="0"/>
                <w:sz w:val="22"/>
                <w:szCs w:val="22"/>
              </w:rPr>
            </w:pPr>
            <w:r>
              <w:rPr>
                <w:rFonts w:hint="eastAsia" w:ascii="宋体" w:hAnsi="宋体" w:cs="宋体"/>
                <w:color w:val="343333"/>
                <w:kern w:val="0"/>
                <w:sz w:val="22"/>
                <w:szCs w:val="22"/>
              </w:rPr>
              <w:t>4.6 严禁个人在排土场作业区或排土场危险区内从事捡矿石、捡石材和其他活动。未经设计或技术论证，任何单位不应在排土场内回采低品位矿石和石材。</w:t>
            </w:r>
          </w:p>
          <w:p>
            <w:pPr>
              <w:widowControl/>
              <w:rPr>
                <w:rFonts w:ascii="宋体" w:hAnsi="宋体" w:cs="宋体"/>
                <w:color w:val="FF0000"/>
                <w:kern w:val="0"/>
                <w:sz w:val="22"/>
                <w:szCs w:val="22"/>
              </w:rPr>
            </w:pPr>
            <w:r>
              <w:rPr>
                <w:rFonts w:hint="eastAsia" w:ascii="宋体" w:hAnsi="宋体" w:cs="宋体"/>
                <w:color w:val="343333"/>
                <w:kern w:val="0"/>
                <w:sz w:val="22"/>
                <w:szCs w:val="22"/>
              </w:rPr>
              <w:t>4.7 排土场最终境界20m内应排弃大块岩石。</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3.6检查按设计控制排土场堆置参数和安全检查情况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500"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尾矿库监督检查</w:t>
            </w:r>
          </w:p>
        </w:tc>
        <w:tc>
          <w:tcPr>
            <w:tcW w:w="6930" w:type="dxa"/>
            <w:noWrap w:val="0"/>
            <w:vAlign w:val="center"/>
          </w:tcPr>
          <w:p>
            <w:pPr>
              <w:widowControl/>
              <w:numPr>
                <w:ilvl w:val="0"/>
                <w:numId w:val="4"/>
              </w:numPr>
              <w:rPr>
                <w:rFonts w:hint="eastAsia" w:ascii="宋体" w:hAnsi="宋体" w:cs="宋体"/>
                <w:b/>
                <w:bCs/>
                <w:color w:val="000000"/>
                <w:kern w:val="0"/>
                <w:sz w:val="22"/>
                <w:szCs w:val="22"/>
              </w:rPr>
            </w:pPr>
            <w:r>
              <w:rPr>
                <w:rFonts w:hint="eastAsia" w:ascii="宋体" w:hAnsi="宋体" w:cs="宋体"/>
                <w:b/>
                <w:bCs/>
                <w:color w:val="000000"/>
                <w:kern w:val="0"/>
                <w:sz w:val="22"/>
                <w:szCs w:val="22"/>
              </w:rPr>
              <w:t>《尾矿库安全监督管理规定》（国家安全监管总局令第38号）</w:t>
            </w:r>
          </w:p>
          <w:p>
            <w:pPr>
              <w:widowControl/>
              <w:rPr>
                <w:rFonts w:ascii="宋体" w:hAnsi="宋体" w:cs="宋体"/>
                <w:color w:val="000000"/>
                <w:kern w:val="0"/>
                <w:sz w:val="22"/>
                <w:szCs w:val="22"/>
              </w:rPr>
            </w:pPr>
            <w:r>
              <w:rPr>
                <w:rFonts w:hint="eastAsia" w:ascii="宋体" w:hAnsi="宋体" w:cs="宋体"/>
                <w:b/>
                <w:bCs/>
                <w:color w:val="000000"/>
                <w:kern w:val="0"/>
                <w:sz w:val="22"/>
                <w:szCs w:val="22"/>
              </w:rPr>
              <w:t xml:space="preserve">第十条 </w:t>
            </w:r>
            <w:r>
              <w:rPr>
                <w:rFonts w:hint="eastAsia" w:ascii="宋体" w:hAnsi="宋体" w:cs="宋体"/>
                <w:color w:val="000000"/>
                <w:kern w:val="0"/>
                <w:sz w:val="22"/>
                <w:szCs w:val="22"/>
              </w:rPr>
              <w:t>尾矿库的勘察单位应当具有矿山工程或者岩土工程类勘察资质。设计单位应当具有金属非金属矿山工程设计资质。安全评价单位应当具有尾矿库评价资质。施工单位应当具有矿山工程施工资质。施工监理单位应当具有矿山工程监理资质。</w:t>
            </w:r>
          </w:p>
          <w:p>
            <w:pPr>
              <w:widowControl/>
              <w:rPr>
                <w:rFonts w:ascii="宋体" w:hAnsi="宋体" w:cs="宋体"/>
                <w:color w:val="000000"/>
                <w:kern w:val="0"/>
                <w:sz w:val="22"/>
                <w:szCs w:val="22"/>
              </w:rPr>
            </w:pPr>
            <w:r>
              <w:rPr>
                <w:rFonts w:hint="eastAsia" w:ascii="宋体" w:hAnsi="宋体" w:cs="宋体"/>
                <w:color w:val="000000"/>
                <w:kern w:val="0"/>
                <w:sz w:val="22"/>
                <w:szCs w:val="22"/>
              </w:rPr>
              <w:t>尾矿库的勘察、设计、安全评价、施工、监理等单位除符合前款规定外，还应当按照尾矿库的等别符合下列规定：</w:t>
            </w:r>
          </w:p>
          <w:p>
            <w:pPr>
              <w:widowControl/>
              <w:rPr>
                <w:rFonts w:ascii="宋体" w:hAnsi="宋体" w:cs="宋体"/>
                <w:color w:val="000000"/>
                <w:kern w:val="0"/>
                <w:sz w:val="22"/>
                <w:szCs w:val="22"/>
              </w:rPr>
            </w:pPr>
            <w:r>
              <w:rPr>
                <w:rFonts w:hint="eastAsia" w:ascii="宋体" w:hAnsi="宋体" w:cs="宋体"/>
                <w:color w:val="000000"/>
                <w:kern w:val="0"/>
                <w:sz w:val="22"/>
                <w:szCs w:val="22"/>
              </w:rPr>
              <w:t>（一）一等、二等、三等尾矿库建设项目，其勘察、设计、安全评价、监理单位具有甲级资质，施工单位具有总承包一级或者特级资质；</w:t>
            </w:r>
          </w:p>
          <w:p>
            <w:pPr>
              <w:widowControl/>
              <w:rPr>
                <w:rFonts w:ascii="宋体" w:hAnsi="宋体" w:cs="宋体"/>
                <w:color w:val="000000"/>
                <w:kern w:val="0"/>
                <w:sz w:val="22"/>
                <w:szCs w:val="22"/>
              </w:rPr>
            </w:pPr>
            <w:r>
              <w:rPr>
                <w:rFonts w:hint="eastAsia" w:ascii="宋体" w:hAnsi="宋体" w:cs="宋体"/>
                <w:color w:val="000000"/>
                <w:kern w:val="0"/>
                <w:sz w:val="22"/>
                <w:szCs w:val="22"/>
              </w:rPr>
              <w:t>（二）四等、五等尾矿库建设项目，其勘察、设计、安全评价、监理单位具有乙级或者乙级以上资质，施工单位具有总承包三级或者三级以上资质，或者专业承包一级、二级资质。</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4.1检查勘察、设计、施工、监理、安全评价等中介机构资质情况</w:t>
            </w:r>
          </w:p>
        </w:tc>
        <w:tc>
          <w:tcPr>
            <w:tcW w:w="1305" w:type="dxa"/>
            <w:vMerge w:val="restart"/>
            <w:noWrap w:val="0"/>
            <w:vAlign w:val="center"/>
          </w:tcPr>
          <w:p>
            <w:pPr>
              <w:widowControl/>
              <w:ind w:firstLine="110" w:firstLineChars="50"/>
              <w:jc w:val="center"/>
              <w:rPr>
                <w:rFonts w:hint="eastAsia" w:ascii="宋体" w:hAnsi="宋体" w:cs="宋体"/>
                <w:kern w:val="0"/>
                <w:sz w:val="22"/>
                <w:szCs w:val="22"/>
              </w:rPr>
            </w:pPr>
            <w:r>
              <w:rPr>
                <w:rFonts w:hint="eastAsia" w:ascii="宋体" w:hAnsi="宋体" w:cs="宋体"/>
                <w:kern w:val="0"/>
                <w:sz w:val="22"/>
                <w:szCs w:val="22"/>
              </w:rPr>
              <w:t>实地核查</w:t>
            </w:r>
          </w:p>
          <w:p>
            <w:pPr>
              <w:widowControl/>
              <w:ind w:firstLine="110" w:firstLineChars="50"/>
              <w:jc w:val="center"/>
              <w:rPr>
                <w:rFonts w:ascii="宋体" w:hAnsi="宋体" w:cs="宋体"/>
                <w:kern w:val="0"/>
                <w:sz w:val="22"/>
                <w:szCs w:val="22"/>
              </w:rPr>
            </w:pPr>
            <w:r>
              <w:rPr>
                <w:rFonts w:hint="eastAsia" w:ascii="宋体" w:hAnsi="宋体" w:cs="宋体"/>
                <w:kern w:val="0"/>
                <w:sz w:val="22"/>
                <w:szCs w:val="22"/>
              </w:rPr>
              <w:t>书面检查</w:t>
            </w:r>
          </w:p>
        </w:tc>
        <w:tc>
          <w:tcPr>
            <w:tcW w:w="1185" w:type="dxa"/>
            <w:vMerge w:val="restart"/>
            <w:noWrap w:val="0"/>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尾矿库</w:t>
            </w:r>
          </w:p>
        </w:tc>
        <w:tc>
          <w:tcPr>
            <w:tcW w:w="960" w:type="dxa"/>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市场监管执法事项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top"/>
          </w:tcPr>
          <w:p>
            <w:pPr>
              <w:widowControl/>
              <w:numPr>
                <w:ilvl w:val="0"/>
                <w:numId w:val="4"/>
              </w:numPr>
              <w:rPr>
                <w:rFonts w:hint="eastAsia" w:ascii="宋体" w:hAnsi="宋体" w:cs="宋体"/>
                <w:b/>
                <w:bCs/>
                <w:color w:val="000000"/>
                <w:kern w:val="0"/>
                <w:sz w:val="22"/>
                <w:szCs w:val="22"/>
              </w:rPr>
            </w:pPr>
            <w:r>
              <w:rPr>
                <w:rFonts w:hint="eastAsia" w:ascii="宋体" w:hAnsi="宋体" w:cs="宋体"/>
                <w:b/>
                <w:bCs/>
                <w:color w:val="000000"/>
                <w:kern w:val="0"/>
                <w:sz w:val="22"/>
                <w:szCs w:val="22"/>
              </w:rPr>
              <w:t>《尾矿库安全监督管理规定》（国家安全监管总局令第38号）</w:t>
            </w:r>
          </w:p>
          <w:p>
            <w:pPr>
              <w:widowControl/>
              <w:rPr>
                <w:rFonts w:ascii="宋体" w:hAnsi="宋体" w:cs="宋体"/>
                <w:color w:val="000000"/>
                <w:kern w:val="0"/>
                <w:sz w:val="22"/>
                <w:szCs w:val="22"/>
              </w:rPr>
            </w:pPr>
            <w:r>
              <w:rPr>
                <w:rFonts w:hint="eastAsia" w:ascii="宋体" w:hAnsi="宋体" w:cs="宋体"/>
                <w:b/>
                <w:bCs/>
                <w:color w:val="000000"/>
                <w:kern w:val="0"/>
                <w:sz w:val="22"/>
                <w:szCs w:val="22"/>
              </w:rPr>
              <w:t>第十九条</w:t>
            </w:r>
            <w:r>
              <w:rPr>
                <w:rFonts w:hint="eastAsia" w:ascii="宋体" w:hAnsi="宋体" w:cs="宋体"/>
                <w:color w:val="000000"/>
                <w:kern w:val="0"/>
                <w:sz w:val="22"/>
                <w:szCs w:val="22"/>
              </w:rPr>
              <w:t xml:space="preserve"> 尾矿库应当每三年至少进行一次安全现状评价。安全现状评价应当符合国家标准或者行业标准的要求。</w:t>
            </w:r>
          </w:p>
          <w:p>
            <w:pPr>
              <w:widowControl/>
              <w:rPr>
                <w:rFonts w:ascii="宋体" w:hAnsi="宋体" w:cs="宋体"/>
                <w:color w:val="000000"/>
                <w:kern w:val="0"/>
                <w:sz w:val="22"/>
                <w:szCs w:val="22"/>
              </w:rPr>
            </w:pPr>
            <w:r>
              <w:rPr>
                <w:rFonts w:hint="eastAsia" w:ascii="宋体" w:hAnsi="宋体" w:cs="宋体"/>
                <w:color w:val="000000"/>
                <w:kern w:val="0"/>
                <w:sz w:val="22"/>
                <w:szCs w:val="22"/>
              </w:rPr>
              <w:t>尾矿库安全现状评价工作应当有能够进行尾矿坝稳定性验算、尾矿库水文计算、构筑物计算的专业技术人员参加。</w:t>
            </w:r>
          </w:p>
          <w:p>
            <w:pPr>
              <w:widowControl/>
              <w:rPr>
                <w:rFonts w:ascii="宋体" w:hAnsi="宋体" w:cs="宋体"/>
                <w:color w:val="000000"/>
                <w:kern w:val="0"/>
                <w:sz w:val="22"/>
                <w:szCs w:val="22"/>
              </w:rPr>
            </w:pPr>
            <w:r>
              <w:rPr>
                <w:rFonts w:hint="eastAsia" w:ascii="宋体" w:hAnsi="宋体" w:cs="宋体"/>
                <w:color w:val="000000"/>
                <w:kern w:val="0"/>
                <w:sz w:val="22"/>
                <w:szCs w:val="22"/>
              </w:rPr>
              <w:t>上游式尾矿坝堆积至二分之一至三分之二最终设计坝高时，应当对坝体进行一次全面勘察，并进行稳定性专项评价。</w:t>
            </w:r>
          </w:p>
        </w:tc>
        <w:tc>
          <w:tcPr>
            <w:tcW w:w="2070" w:type="dxa"/>
            <w:noWrap w:val="0"/>
            <w:vAlign w:val="top"/>
          </w:tcPr>
          <w:p>
            <w:pPr>
              <w:widowControl/>
              <w:rPr>
                <w:rFonts w:ascii="宋体" w:hAnsi="宋体" w:cs="宋体"/>
                <w:kern w:val="0"/>
                <w:sz w:val="22"/>
                <w:szCs w:val="22"/>
              </w:rPr>
            </w:pPr>
            <w:r>
              <w:rPr>
                <w:rFonts w:hint="eastAsia" w:ascii="宋体" w:hAnsi="宋体" w:cs="宋体"/>
                <w:color w:val="000000"/>
                <w:kern w:val="0"/>
                <w:sz w:val="22"/>
                <w:szCs w:val="22"/>
              </w:rPr>
              <w:t>4.2检查安全现状评价、全面勘察及稳定性专项评价完成情况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rPr>
                <w:rFonts w:hint="eastAsia" w:ascii="宋体" w:hAnsi="宋体" w:cs="宋体"/>
                <w:b/>
                <w:bCs/>
                <w:color w:val="000000"/>
                <w:kern w:val="0"/>
                <w:sz w:val="22"/>
                <w:szCs w:val="22"/>
              </w:rPr>
            </w:pPr>
            <w:r>
              <w:rPr>
                <w:rFonts w:hint="eastAsia" w:ascii="宋体" w:hAnsi="宋体" w:cs="宋体"/>
                <w:b/>
                <w:bCs/>
                <w:color w:val="000000"/>
                <w:kern w:val="0"/>
                <w:sz w:val="22"/>
                <w:szCs w:val="22"/>
              </w:rPr>
              <w:t>3.《尾矿库安全技术规程》（AQ2006-2005）</w:t>
            </w:r>
          </w:p>
          <w:p>
            <w:pPr>
              <w:widowControl/>
              <w:rPr>
                <w:rFonts w:ascii="宋体" w:hAnsi="宋体" w:cs="宋体"/>
                <w:color w:val="000000"/>
                <w:kern w:val="0"/>
                <w:sz w:val="22"/>
                <w:szCs w:val="22"/>
              </w:rPr>
            </w:pPr>
            <w:r>
              <w:rPr>
                <w:rFonts w:hint="eastAsia" w:ascii="宋体" w:hAnsi="宋体" w:cs="宋体"/>
                <w:color w:val="000000"/>
                <w:kern w:val="0"/>
                <w:sz w:val="22"/>
                <w:szCs w:val="22"/>
              </w:rPr>
              <w:t>第6章</w:t>
            </w:r>
            <w:r>
              <w:rPr>
                <w:rFonts w:ascii="宋体" w:hAnsi="宋体" w:cs="宋体"/>
                <w:color w:val="000000"/>
                <w:kern w:val="0"/>
                <w:sz w:val="22"/>
                <w:szCs w:val="22"/>
              </w:rPr>
              <w:t>6.1.3编制年、季作业计划和详细运行图表，统筹安排和实施尾矿输送、分级、筑坝和排洪的管理工作；</w:t>
            </w:r>
          </w:p>
          <w:p>
            <w:pPr>
              <w:widowControl/>
              <w:rPr>
                <w:rFonts w:ascii="宋体" w:hAnsi="宋体" w:cs="宋体"/>
                <w:color w:val="000000"/>
                <w:kern w:val="0"/>
                <w:sz w:val="22"/>
                <w:szCs w:val="22"/>
              </w:rPr>
            </w:pPr>
            <w:r>
              <w:rPr>
                <w:rFonts w:ascii="宋体" w:hAnsi="宋体" w:cs="宋体"/>
                <w:color w:val="000000"/>
                <w:kern w:val="0"/>
                <w:sz w:val="22"/>
                <w:szCs w:val="22"/>
              </w:rPr>
              <w:t>6.1.4严格按照本《规范》、《尾矿库安全监督管理规定》和设计文件的要求，做好尾矿库放矿筑坝、回水排水、防汛度汛、抗震等日常安全生产管理。</w:t>
            </w:r>
          </w:p>
          <w:p>
            <w:pPr>
              <w:widowControl/>
              <w:rPr>
                <w:rFonts w:ascii="宋体" w:hAnsi="宋体" w:cs="宋体"/>
                <w:color w:val="000000"/>
                <w:kern w:val="0"/>
                <w:sz w:val="22"/>
                <w:szCs w:val="22"/>
              </w:rPr>
            </w:pPr>
            <w:r>
              <w:rPr>
                <w:rFonts w:ascii="宋体" w:hAnsi="宋体" w:cs="宋体"/>
                <w:color w:val="000000"/>
                <w:kern w:val="0"/>
                <w:sz w:val="22"/>
                <w:szCs w:val="22"/>
              </w:rPr>
              <w:t>6.3.1尾矿排放与筑坝，包括岸坡清理、尾矿排放、坝体堆筑、坝面维护和质量检测等环节，必须严格按设计要求和作业计划及本规程精心施工。</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4.4检查按照设计放矿、筑坝情况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top"/>
          </w:tcPr>
          <w:p>
            <w:pPr>
              <w:widowControl/>
              <w:numPr>
                <w:ilvl w:val="0"/>
                <w:numId w:val="5"/>
              </w:numPr>
              <w:rPr>
                <w:rFonts w:hint="eastAsia" w:ascii="宋体" w:hAnsi="宋体" w:cs="宋体"/>
                <w:b/>
                <w:bCs/>
                <w:color w:val="000000"/>
                <w:kern w:val="0"/>
                <w:sz w:val="22"/>
                <w:szCs w:val="22"/>
              </w:rPr>
            </w:pPr>
            <w:r>
              <w:rPr>
                <w:rFonts w:hint="eastAsia" w:ascii="宋体" w:hAnsi="宋体" w:cs="宋体"/>
                <w:b/>
                <w:bCs/>
                <w:color w:val="000000"/>
                <w:kern w:val="0"/>
                <w:sz w:val="22"/>
                <w:szCs w:val="22"/>
              </w:rPr>
              <w:t>《尾矿库安全技术规程》（AQ2006-2005）</w:t>
            </w:r>
          </w:p>
          <w:p>
            <w:pPr>
              <w:widowControl/>
              <w:rPr>
                <w:rFonts w:ascii="宋体" w:hAnsi="宋体" w:cs="宋体"/>
                <w:color w:val="000000"/>
                <w:kern w:val="0"/>
                <w:sz w:val="22"/>
                <w:szCs w:val="22"/>
              </w:rPr>
            </w:pPr>
            <w:r>
              <w:rPr>
                <w:rFonts w:hint="eastAsia" w:ascii="宋体" w:hAnsi="宋体" w:cs="宋体"/>
                <w:color w:val="000000"/>
                <w:kern w:val="0"/>
                <w:sz w:val="22"/>
                <w:szCs w:val="22"/>
              </w:rPr>
              <w:t>第7章</w:t>
            </w:r>
            <w:r>
              <w:rPr>
                <w:rFonts w:ascii="宋体" w:hAnsi="宋体" w:cs="宋体"/>
                <w:color w:val="000000"/>
                <w:kern w:val="0"/>
                <w:sz w:val="22"/>
                <w:szCs w:val="22"/>
              </w:rPr>
              <w:t>9.1.9 排洪构筑物安全检查主要内容：构筑物有无变形、位移、损毁、淤堵，排水能力是否满足要求等。</w:t>
            </w:r>
          </w:p>
          <w:p>
            <w:pPr>
              <w:widowControl/>
              <w:rPr>
                <w:rFonts w:ascii="宋体" w:hAnsi="宋体" w:cs="宋体"/>
                <w:color w:val="000000"/>
                <w:kern w:val="0"/>
                <w:sz w:val="22"/>
                <w:szCs w:val="22"/>
              </w:rPr>
            </w:pPr>
            <w:r>
              <w:rPr>
                <w:rFonts w:ascii="宋体" w:hAnsi="宋体" w:cs="宋体"/>
                <w:color w:val="000000"/>
                <w:kern w:val="0"/>
                <w:sz w:val="22"/>
                <w:szCs w:val="22"/>
              </w:rPr>
              <w:t>9.1.10 排水井检查内容：井的内径、窗口尺寸及位置，井壁剥蚀、脱落、渗漏、最大裂缝开展宽度，井身倾斜度和变位，井、管联结部位，进水口水面漂浮物，停用井封盖方法等。</w:t>
            </w:r>
          </w:p>
          <w:p>
            <w:pPr>
              <w:widowControl/>
              <w:rPr>
                <w:rFonts w:ascii="宋体" w:hAnsi="宋体" w:cs="宋体"/>
                <w:color w:val="000000"/>
                <w:kern w:val="0"/>
                <w:sz w:val="22"/>
                <w:szCs w:val="22"/>
              </w:rPr>
            </w:pPr>
            <w:r>
              <w:rPr>
                <w:rFonts w:ascii="宋体" w:hAnsi="宋体" w:cs="宋体"/>
                <w:color w:val="000000"/>
                <w:kern w:val="0"/>
                <w:sz w:val="22"/>
                <w:szCs w:val="22"/>
              </w:rPr>
              <w:t>9.1.11排水斜槽检查内容：断面尺寸、槽身变形、损坏或坍塌，盖板放置、断裂，最大裂缝开展宽度，盖板之间以及盖板与槽壁之间的防漏充填物，漏砂，斜槽内淤堵等。</w:t>
            </w:r>
          </w:p>
          <w:p>
            <w:pPr>
              <w:widowControl/>
              <w:rPr>
                <w:rFonts w:ascii="宋体" w:hAnsi="宋体" w:cs="宋体"/>
                <w:color w:val="000000"/>
                <w:kern w:val="0"/>
                <w:sz w:val="22"/>
                <w:szCs w:val="22"/>
              </w:rPr>
            </w:pPr>
            <w:r>
              <w:rPr>
                <w:rFonts w:ascii="宋体" w:hAnsi="宋体" w:cs="宋体"/>
                <w:color w:val="000000"/>
                <w:kern w:val="0"/>
                <w:sz w:val="22"/>
                <w:szCs w:val="22"/>
              </w:rPr>
              <w:t>9.1.12排水涵管检查内容：断面尺寸，变形、破损、断裂和磨蚀，最大裂缝开展宽度，管间止水及充填物，涵管内淤堵等。</w:t>
            </w:r>
          </w:p>
          <w:p>
            <w:pPr>
              <w:widowControl/>
              <w:rPr>
                <w:rFonts w:ascii="宋体" w:hAnsi="宋体" w:cs="宋体"/>
                <w:color w:val="000000"/>
                <w:kern w:val="0"/>
                <w:sz w:val="22"/>
                <w:szCs w:val="22"/>
              </w:rPr>
            </w:pPr>
            <w:r>
              <w:rPr>
                <w:rFonts w:ascii="宋体" w:hAnsi="宋体" w:cs="宋体"/>
                <w:color w:val="000000"/>
                <w:kern w:val="0"/>
                <w:sz w:val="22"/>
                <w:szCs w:val="22"/>
              </w:rPr>
              <w:t>9.1.13排水隧洞检查内容：断面尺寸，洞内塌方，衬砌变形、破损、断裂、剥落和磨蚀，最大裂缝开展宽度，伸缩缝、止水及充填物，洞内淤堵等。</w:t>
            </w:r>
          </w:p>
          <w:p>
            <w:pPr>
              <w:widowControl/>
              <w:rPr>
                <w:rFonts w:ascii="宋体" w:hAnsi="宋体" w:cs="宋体"/>
                <w:color w:val="000000"/>
                <w:kern w:val="0"/>
                <w:sz w:val="22"/>
                <w:szCs w:val="22"/>
              </w:rPr>
            </w:pPr>
            <w:r>
              <w:rPr>
                <w:rFonts w:ascii="宋体" w:hAnsi="宋体" w:cs="宋体"/>
                <w:color w:val="000000"/>
                <w:kern w:val="0"/>
                <w:sz w:val="22"/>
                <w:szCs w:val="22"/>
              </w:rPr>
              <w:t>9.1.14溢洪道检查内容：断面尺寸，沿线山坡滑坡、塌方，护砌变形、破损、断裂和磨蚀，沟内淤堵，溢流坎顶高程，消力池及消力坎等。</w:t>
            </w:r>
          </w:p>
          <w:p>
            <w:pPr>
              <w:widowControl/>
              <w:rPr>
                <w:rFonts w:ascii="宋体" w:hAnsi="宋体" w:cs="宋体"/>
                <w:color w:val="000000"/>
                <w:kern w:val="0"/>
                <w:sz w:val="22"/>
                <w:szCs w:val="22"/>
              </w:rPr>
            </w:pPr>
            <w:r>
              <w:rPr>
                <w:rFonts w:ascii="宋体" w:hAnsi="宋体" w:cs="宋体"/>
                <w:color w:val="000000"/>
                <w:kern w:val="0"/>
                <w:sz w:val="22"/>
                <w:szCs w:val="22"/>
              </w:rPr>
              <w:t>9.1.15截洪沟检查内容：断面尺寸，沿线山坡滑坡、塌方，护砌变形、破损、断裂和磨蚀，沟内淤堵等。</w:t>
            </w:r>
          </w:p>
          <w:p>
            <w:pPr>
              <w:widowControl/>
              <w:rPr>
                <w:rFonts w:ascii="宋体" w:hAnsi="宋体" w:cs="宋体"/>
                <w:color w:val="000000"/>
                <w:kern w:val="0"/>
                <w:sz w:val="22"/>
                <w:szCs w:val="22"/>
              </w:rPr>
            </w:pPr>
            <w:r>
              <w:rPr>
                <w:rFonts w:ascii="宋体" w:hAnsi="宋体" w:cs="宋体"/>
                <w:color w:val="000000"/>
                <w:kern w:val="0"/>
                <w:sz w:val="22"/>
                <w:szCs w:val="22"/>
              </w:rPr>
              <w:t>9.2.6检查坝体浸润线的位置，应查明坝面浸润线出逸点位置、范围和形态。</w:t>
            </w:r>
          </w:p>
          <w:p>
            <w:pPr>
              <w:widowControl/>
              <w:rPr>
                <w:rFonts w:ascii="宋体" w:hAnsi="宋体" w:cs="宋体"/>
                <w:color w:val="000000"/>
                <w:kern w:val="0"/>
                <w:sz w:val="22"/>
                <w:szCs w:val="22"/>
              </w:rPr>
            </w:pPr>
            <w:r>
              <w:rPr>
                <w:rFonts w:ascii="宋体" w:hAnsi="宋体" w:cs="宋体"/>
                <w:color w:val="000000"/>
                <w:kern w:val="0"/>
                <w:sz w:val="22"/>
                <w:szCs w:val="22"/>
              </w:rPr>
              <w:t>9.2.7检查坝体排渗设施。应查明排渗设施是否完好、排渗效果及排水水质。</w:t>
            </w:r>
          </w:p>
          <w:p>
            <w:pPr>
              <w:widowControl/>
              <w:rPr>
                <w:rFonts w:ascii="宋体" w:hAnsi="宋体" w:cs="宋体"/>
                <w:color w:val="000000"/>
                <w:kern w:val="0"/>
                <w:sz w:val="22"/>
                <w:szCs w:val="22"/>
              </w:rPr>
            </w:pPr>
            <w:r>
              <w:rPr>
                <w:rFonts w:ascii="宋体" w:hAnsi="宋体" w:cs="宋体"/>
                <w:color w:val="000000"/>
                <w:kern w:val="0"/>
                <w:sz w:val="22"/>
                <w:szCs w:val="22"/>
              </w:rPr>
              <w:t>9.2.8检查坝体渗漏。应查明有无渗漏出逸点，出逸点的位置、形态、流量及含沙量等。</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4.5检查排洪、排渗设施情况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numPr>
                <w:ilvl w:val="0"/>
                <w:numId w:val="5"/>
              </w:numPr>
              <w:rPr>
                <w:rFonts w:hint="eastAsia" w:ascii="宋体" w:hAnsi="宋体" w:cs="宋体"/>
                <w:b/>
                <w:bCs/>
                <w:color w:val="000000"/>
                <w:kern w:val="0"/>
                <w:sz w:val="22"/>
                <w:szCs w:val="22"/>
              </w:rPr>
            </w:pPr>
            <w:r>
              <w:rPr>
                <w:rFonts w:hint="eastAsia" w:ascii="宋体" w:hAnsi="宋体" w:cs="宋体"/>
                <w:b/>
                <w:bCs/>
                <w:color w:val="000000"/>
                <w:kern w:val="0"/>
                <w:sz w:val="22"/>
                <w:szCs w:val="22"/>
              </w:rPr>
              <w:t>《尾矿库安全监督管理规定》（国家安全监管总局令第38号）</w:t>
            </w:r>
          </w:p>
          <w:p>
            <w:pPr>
              <w:widowControl/>
              <w:rPr>
                <w:rFonts w:ascii="宋体" w:hAnsi="宋体" w:cs="宋体"/>
                <w:color w:val="000000"/>
                <w:kern w:val="0"/>
                <w:sz w:val="22"/>
                <w:szCs w:val="22"/>
              </w:rPr>
            </w:pPr>
            <w:r>
              <w:rPr>
                <w:rFonts w:hint="eastAsia" w:ascii="宋体" w:hAnsi="宋体" w:cs="宋体"/>
                <w:b/>
                <w:bCs/>
                <w:color w:val="000000"/>
                <w:kern w:val="0"/>
                <w:sz w:val="22"/>
                <w:szCs w:val="22"/>
              </w:rPr>
              <w:t xml:space="preserve">第八条 </w:t>
            </w:r>
            <w:r>
              <w:rPr>
                <w:rFonts w:hint="eastAsia" w:ascii="宋体" w:hAnsi="宋体" w:cs="宋体"/>
                <w:color w:val="000000"/>
                <w:kern w:val="0"/>
                <w:sz w:val="22"/>
                <w:szCs w:val="22"/>
              </w:rPr>
              <w:t>鼓励生产经营单位应用尾矿库在线监测、尾矿充填、干式排尾、尾矿综合利用等先进适用技术。</w:t>
            </w:r>
          </w:p>
          <w:p>
            <w:pPr>
              <w:widowControl/>
              <w:rPr>
                <w:rFonts w:ascii="宋体" w:hAnsi="宋体" w:cs="宋体"/>
                <w:color w:val="000000"/>
                <w:kern w:val="0"/>
                <w:sz w:val="22"/>
                <w:szCs w:val="22"/>
              </w:rPr>
            </w:pPr>
            <w:r>
              <w:rPr>
                <w:rFonts w:hint="eastAsia" w:ascii="宋体" w:hAnsi="宋体" w:cs="宋体"/>
                <w:color w:val="000000"/>
                <w:kern w:val="0"/>
                <w:sz w:val="22"/>
                <w:szCs w:val="22"/>
              </w:rPr>
              <w:t>一等、二等、三等尾矿库应当安装在线监测系统。《尾矿库安全监测技术规范》（AQ2030-2010）第4章</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4.6检查尾矿库在线监测系统运行情况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top"/>
          </w:tcPr>
          <w:p>
            <w:pPr>
              <w:numPr>
                <w:ilvl w:val="0"/>
                <w:numId w:val="5"/>
              </w:numPr>
              <w:rPr>
                <w:rFonts w:hint="eastAsia" w:ascii="宋体" w:hAnsi="宋体" w:cs="宋体"/>
                <w:b/>
                <w:bCs/>
                <w:color w:val="000000"/>
                <w:kern w:val="0"/>
                <w:sz w:val="22"/>
                <w:szCs w:val="22"/>
              </w:rPr>
            </w:pPr>
            <w:r>
              <w:rPr>
                <w:rFonts w:hint="eastAsia" w:ascii="宋体" w:hAnsi="宋体" w:cs="宋体"/>
                <w:b/>
                <w:bCs/>
                <w:color w:val="000000"/>
                <w:kern w:val="0"/>
                <w:sz w:val="22"/>
                <w:szCs w:val="22"/>
              </w:rPr>
              <w:t>《尾矿库安全监督管理规定》（国家安全监管总局令第38号）</w:t>
            </w:r>
          </w:p>
          <w:p>
            <w:pPr>
              <w:rPr>
                <w:rFonts w:ascii="宋体" w:hAnsi="宋体" w:cs="宋体"/>
                <w:color w:val="000000"/>
                <w:kern w:val="0"/>
                <w:sz w:val="22"/>
                <w:szCs w:val="22"/>
              </w:rPr>
            </w:pPr>
            <w:r>
              <w:rPr>
                <w:rFonts w:hint="eastAsia" w:ascii="宋体" w:hAnsi="宋体" w:cs="宋体"/>
                <w:b/>
                <w:bCs/>
                <w:color w:val="000000"/>
                <w:kern w:val="0"/>
                <w:sz w:val="22"/>
                <w:szCs w:val="22"/>
              </w:rPr>
              <w:t>第二十条</w:t>
            </w:r>
            <w:r>
              <w:rPr>
                <w:rFonts w:hint="eastAsia" w:ascii="宋体" w:hAnsi="宋体" w:cs="宋体"/>
                <w:color w:val="000000"/>
                <w:kern w:val="0"/>
                <w:sz w:val="22"/>
                <w:szCs w:val="22"/>
              </w:rPr>
              <w:t xml:space="preserve"> 尾矿库经安全现状评价或者专家论证被确定为危库、险库和病库的，生产经营单位应当分别采取下列措施：</w:t>
            </w:r>
          </w:p>
          <w:p>
            <w:pPr>
              <w:rPr>
                <w:rFonts w:ascii="宋体" w:hAnsi="宋体" w:cs="宋体"/>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一</w:t>
            </w:r>
            <w:r>
              <w:rPr>
                <w:rFonts w:ascii="宋体" w:hAnsi="宋体" w:cs="宋体"/>
                <w:color w:val="000000"/>
                <w:kern w:val="0"/>
                <w:sz w:val="22"/>
                <w:szCs w:val="22"/>
              </w:rPr>
              <w:t>)</w:t>
            </w:r>
            <w:r>
              <w:rPr>
                <w:rFonts w:hint="eastAsia" w:ascii="宋体" w:hAnsi="宋体" w:cs="宋体"/>
                <w:color w:val="000000"/>
                <w:kern w:val="0"/>
                <w:sz w:val="22"/>
                <w:szCs w:val="22"/>
              </w:rPr>
              <w:t>确定为危库的，应当立即停产，进行抢险，并向尾矿库所在地县级人民政府、安全生产监督管理部门和上级主管单位报告；</w:t>
            </w:r>
          </w:p>
          <w:p>
            <w:pPr>
              <w:rPr>
                <w:rFonts w:ascii="宋体" w:hAnsi="宋体" w:cs="宋体"/>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二</w:t>
            </w:r>
            <w:r>
              <w:rPr>
                <w:rFonts w:ascii="宋体" w:hAnsi="宋体" w:cs="宋体"/>
                <w:color w:val="000000"/>
                <w:kern w:val="0"/>
                <w:sz w:val="22"/>
                <w:szCs w:val="22"/>
              </w:rPr>
              <w:t>)</w:t>
            </w:r>
            <w:r>
              <w:rPr>
                <w:rFonts w:hint="eastAsia" w:ascii="宋体" w:hAnsi="宋体" w:cs="宋体"/>
                <w:color w:val="000000"/>
                <w:kern w:val="0"/>
                <w:sz w:val="22"/>
                <w:szCs w:val="22"/>
              </w:rPr>
              <w:t>确定为险库的，应当立即停产，在限定的时间内消除险情，并向尾矿库所在地县级人民政府、安全生产监督管理部门和上级主管单位报告；</w:t>
            </w:r>
          </w:p>
          <w:p>
            <w:pPr>
              <w:rPr>
                <w:rFonts w:ascii="宋体" w:hAnsi="宋体" w:cs="宋体"/>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三</w:t>
            </w:r>
            <w:r>
              <w:rPr>
                <w:rFonts w:ascii="宋体" w:hAnsi="宋体" w:cs="宋体"/>
                <w:color w:val="000000"/>
                <w:kern w:val="0"/>
                <w:sz w:val="22"/>
                <w:szCs w:val="22"/>
              </w:rPr>
              <w:t>)</w:t>
            </w:r>
            <w:r>
              <w:rPr>
                <w:rFonts w:hint="eastAsia" w:ascii="宋体" w:hAnsi="宋体" w:cs="宋体"/>
                <w:color w:val="000000"/>
                <w:kern w:val="0"/>
                <w:sz w:val="22"/>
                <w:szCs w:val="22"/>
              </w:rPr>
              <w:t>确定为病库的，应当在限定的时间内按照正常库标准进行整治，消除事故隐患。</w:t>
            </w:r>
          </w:p>
        </w:tc>
        <w:tc>
          <w:tcPr>
            <w:tcW w:w="2070" w:type="dxa"/>
            <w:noWrap w:val="0"/>
            <w:vAlign w:val="top"/>
          </w:tcPr>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ascii="宋体" w:hAnsi="宋体" w:cs="宋体"/>
                <w:kern w:val="0"/>
                <w:sz w:val="22"/>
                <w:szCs w:val="22"/>
              </w:rPr>
            </w:pPr>
            <w:r>
              <w:rPr>
                <w:rFonts w:hint="eastAsia" w:ascii="宋体" w:hAnsi="宋体" w:cs="宋体"/>
                <w:color w:val="000000"/>
                <w:kern w:val="0"/>
                <w:sz w:val="22"/>
                <w:szCs w:val="22"/>
              </w:rPr>
              <w:t>4.7检查危、险库停产整改、病库限期整改情况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6" w:type="dxa"/>
            <w:vMerge w:val="continue"/>
            <w:noWrap w:val="0"/>
            <w:vAlign w:val="center"/>
          </w:tcPr>
          <w:p>
            <w:pPr>
              <w:widowControl/>
              <w:jc w:val="center"/>
              <w:rPr>
                <w:rFonts w:ascii="宋体" w:hAnsi="宋体" w:cs="宋体"/>
                <w:kern w:val="0"/>
                <w:sz w:val="22"/>
                <w:szCs w:val="22"/>
              </w:rPr>
            </w:pPr>
          </w:p>
        </w:tc>
        <w:tc>
          <w:tcPr>
            <w:tcW w:w="1500" w:type="dxa"/>
            <w:vMerge w:val="continue"/>
            <w:noWrap w:val="0"/>
            <w:vAlign w:val="center"/>
          </w:tcPr>
          <w:p>
            <w:pPr>
              <w:widowControl/>
              <w:jc w:val="center"/>
              <w:rPr>
                <w:rFonts w:ascii="宋体" w:hAnsi="宋体" w:cs="宋体"/>
                <w:color w:val="000000"/>
                <w:kern w:val="0"/>
                <w:sz w:val="22"/>
                <w:szCs w:val="22"/>
              </w:rPr>
            </w:pPr>
          </w:p>
        </w:tc>
        <w:tc>
          <w:tcPr>
            <w:tcW w:w="6930" w:type="dxa"/>
            <w:noWrap w:val="0"/>
            <w:vAlign w:val="center"/>
          </w:tcPr>
          <w:p>
            <w:pPr>
              <w:widowControl/>
              <w:numPr>
                <w:ilvl w:val="0"/>
                <w:numId w:val="5"/>
              </w:numPr>
              <w:rPr>
                <w:rFonts w:hint="eastAsia" w:ascii="宋体" w:hAnsi="宋体" w:cs="宋体"/>
                <w:b/>
                <w:bCs/>
                <w:color w:val="000000"/>
                <w:kern w:val="0"/>
                <w:sz w:val="22"/>
                <w:szCs w:val="22"/>
              </w:rPr>
            </w:pPr>
            <w:r>
              <w:rPr>
                <w:rFonts w:hint="eastAsia" w:ascii="宋体" w:hAnsi="宋体" w:cs="宋体"/>
                <w:b/>
                <w:bCs/>
                <w:color w:val="000000"/>
                <w:kern w:val="0"/>
                <w:sz w:val="22"/>
                <w:szCs w:val="22"/>
              </w:rPr>
              <w:t>《尾矿库安全监督管理规定》（国家安全监管总局令第38号）</w:t>
            </w:r>
          </w:p>
          <w:p>
            <w:pPr>
              <w:widowControl/>
              <w:rPr>
                <w:rFonts w:ascii="宋体" w:hAnsi="宋体" w:cs="宋体"/>
                <w:color w:val="000000"/>
                <w:kern w:val="0"/>
                <w:sz w:val="22"/>
                <w:szCs w:val="22"/>
              </w:rPr>
            </w:pPr>
            <w:r>
              <w:rPr>
                <w:rFonts w:hint="eastAsia" w:ascii="宋体" w:hAnsi="宋体" w:cs="宋体"/>
                <w:b/>
                <w:bCs/>
                <w:color w:val="000000"/>
                <w:kern w:val="0"/>
                <w:sz w:val="22"/>
                <w:szCs w:val="22"/>
              </w:rPr>
              <w:t>第二十一条</w:t>
            </w:r>
            <w:r>
              <w:rPr>
                <w:rFonts w:hint="eastAsia" w:ascii="宋体" w:hAnsi="宋体" w:cs="宋体"/>
                <w:color w:val="000000"/>
                <w:kern w:val="0"/>
                <w:sz w:val="22"/>
                <w:szCs w:val="22"/>
              </w:rPr>
              <w:t xml:space="preserve"> 生产经营单位应当建立健全防汛责任制，实施</w:t>
            </w:r>
            <w:r>
              <w:rPr>
                <w:rFonts w:ascii="宋体" w:hAnsi="宋体" w:cs="宋体"/>
                <w:color w:val="000000"/>
                <w:kern w:val="0"/>
                <w:sz w:val="22"/>
                <w:szCs w:val="22"/>
              </w:rPr>
              <w:t>24</w:t>
            </w:r>
            <w:r>
              <w:rPr>
                <w:rFonts w:hint="eastAsia" w:ascii="宋体" w:hAnsi="宋体" w:cs="宋体"/>
                <w:color w:val="000000"/>
                <w:kern w:val="0"/>
                <w:sz w:val="22"/>
                <w:szCs w:val="22"/>
              </w:rPr>
              <w:t>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widowControl/>
              <w:rPr>
                <w:rFonts w:ascii="宋体" w:hAnsi="宋体" w:cs="宋体"/>
                <w:color w:val="000000"/>
                <w:kern w:val="0"/>
                <w:sz w:val="22"/>
                <w:szCs w:val="22"/>
              </w:rPr>
            </w:pPr>
            <w:r>
              <w:rPr>
                <w:rFonts w:hint="eastAsia" w:ascii="宋体" w:hAnsi="宋体" w:cs="宋体"/>
                <w:color w:val="000000"/>
                <w:kern w:val="0"/>
                <w:sz w:val="22"/>
                <w:szCs w:val="22"/>
              </w:rPr>
              <w:t>应急预案应当按照规定报相应的安全生产监督管理部门备案，并每年至少进行一次演练。</w:t>
            </w:r>
          </w:p>
        </w:tc>
        <w:tc>
          <w:tcPr>
            <w:tcW w:w="207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4.8检查应急预案备案情况</w:t>
            </w:r>
          </w:p>
        </w:tc>
        <w:tc>
          <w:tcPr>
            <w:tcW w:w="1305" w:type="dxa"/>
            <w:vMerge w:val="continue"/>
            <w:noWrap w:val="0"/>
            <w:vAlign w:val="center"/>
          </w:tcPr>
          <w:p>
            <w:pPr>
              <w:widowControl/>
              <w:jc w:val="center"/>
              <w:rPr>
                <w:rFonts w:ascii="宋体" w:hAnsi="宋体" w:cs="宋体"/>
                <w:kern w:val="0"/>
                <w:sz w:val="22"/>
                <w:szCs w:val="22"/>
              </w:rPr>
            </w:pPr>
          </w:p>
        </w:tc>
        <w:tc>
          <w:tcPr>
            <w:tcW w:w="1185" w:type="dxa"/>
            <w:vMerge w:val="continue"/>
            <w:noWrap w:val="0"/>
            <w:vAlign w:val="center"/>
          </w:tcPr>
          <w:p>
            <w:pPr>
              <w:widowControl/>
              <w:jc w:val="center"/>
              <w:rPr>
                <w:rFonts w:ascii="宋体" w:hAnsi="宋体" w:cs="宋体"/>
                <w:kern w:val="0"/>
                <w:sz w:val="22"/>
                <w:szCs w:val="22"/>
              </w:rPr>
            </w:pPr>
          </w:p>
        </w:tc>
        <w:tc>
          <w:tcPr>
            <w:tcW w:w="960" w:type="dxa"/>
            <w:vMerge w:val="continue"/>
            <w:noWrap w:val="0"/>
            <w:vAlign w:val="center"/>
          </w:tcPr>
          <w:p>
            <w:pPr>
              <w:widowControl/>
              <w:jc w:val="center"/>
              <w:rPr>
                <w:rFonts w:ascii="宋体" w:hAnsi="宋体" w:cs="宋体"/>
                <w:kern w:val="0"/>
                <w:sz w:val="22"/>
                <w:szCs w:val="22"/>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428E9"/>
    <w:multiLevelType w:val="singleLevel"/>
    <w:tmpl w:val="582428E9"/>
    <w:lvl w:ilvl="0" w:tentative="0">
      <w:start w:val="7"/>
      <w:numFmt w:val="decimal"/>
      <w:suff w:val="nothing"/>
      <w:lvlText w:val="%1."/>
      <w:lvlJc w:val="left"/>
    </w:lvl>
  </w:abstractNum>
  <w:abstractNum w:abstractNumId="1">
    <w:nsid w:val="5824299D"/>
    <w:multiLevelType w:val="singleLevel"/>
    <w:tmpl w:val="5824299D"/>
    <w:lvl w:ilvl="0" w:tentative="0">
      <w:start w:val="4"/>
      <w:numFmt w:val="decimal"/>
      <w:suff w:val="nothing"/>
      <w:lvlText w:val="%1."/>
      <w:lvlJc w:val="left"/>
    </w:lvl>
  </w:abstractNum>
  <w:abstractNum w:abstractNumId="2">
    <w:nsid w:val="582429AA"/>
    <w:multiLevelType w:val="singleLevel"/>
    <w:tmpl w:val="582429AA"/>
    <w:lvl w:ilvl="0" w:tentative="0">
      <w:start w:val="3"/>
      <w:numFmt w:val="decimal"/>
      <w:suff w:val="nothing"/>
      <w:lvlText w:val="%1."/>
      <w:lvlJc w:val="left"/>
    </w:lvl>
  </w:abstractNum>
  <w:abstractNum w:abstractNumId="3">
    <w:nsid w:val="58242A9F"/>
    <w:multiLevelType w:val="singleLevel"/>
    <w:tmpl w:val="58242A9F"/>
    <w:lvl w:ilvl="0" w:tentative="0">
      <w:start w:val="1"/>
      <w:numFmt w:val="decimal"/>
      <w:suff w:val="nothing"/>
      <w:lvlText w:val="%1."/>
      <w:lvlJc w:val="left"/>
    </w:lvl>
  </w:abstractNum>
  <w:abstractNum w:abstractNumId="4">
    <w:nsid w:val="58242AE5"/>
    <w:multiLevelType w:val="singleLevel"/>
    <w:tmpl w:val="58242AE5"/>
    <w:lvl w:ilvl="0" w:tentative="0">
      <w:start w:val="4"/>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96DD1"/>
    <w:rsid w:val="4F29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2021-04-29T02:26:00Z</dcterms:created>
  <dc:creator>LENOVO1</dc:creator>
  <cp:lastModifiedBy>LENOVO1</cp:lastModifiedBy>
  <cp:lastPrinted>2021-04-29T02:28:46Z</cp:lastPrinted>
  <dcterms:modified xsi:type="dcterms:W3CDTF">2021-04-29T02:31:28Z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1753B439FE2E4C8C9E96C05391067AD4</vt:lpwstr>
  </property>
</Properties>
</file>