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34" w:rsidRDefault="00467A34" w:rsidP="00FC6817">
      <w:pPr>
        <w:jc w:val="center"/>
        <w:rPr>
          <w:rFonts w:ascii="仿宋_GB2312" w:eastAsia="仿宋_GB2312"/>
          <w:b/>
          <w:sz w:val="32"/>
          <w:szCs w:val="32"/>
        </w:rPr>
      </w:pPr>
    </w:p>
    <w:p w:rsidR="00467A34" w:rsidRDefault="00467A34" w:rsidP="00C619EB">
      <w:pPr>
        <w:jc w:val="center"/>
        <w:rPr>
          <w:b/>
          <w:bCs/>
          <w:sz w:val="44"/>
          <w:szCs w:val="44"/>
        </w:rPr>
      </w:pPr>
      <w:r>
        <w:rPr>
          <w:rFonts w:hint="eastAsia"/>
          <w:b/>
          <w:bCs/>
          <w:sz w:val="44"/>
          <w:szCs w:val="44"/>
        </w:rPr>
        <w:t>朔州市平鲁区林业局关于开展分级分类</w:t>
      </w:r>
    </w:p>
    <w:p w:rsidR="00467A34" w:rsidRPr="00C619EB" w:rsidRDefault="00467A34" w:rsidP="00C619EB">
      <w:pPr>
        <w:jc w:val="center"/>
        <w:rPr>
          <w:b/>
          <w:bCs/>
          <w:sz w:val="44"/>
          <w:szCs w:val="44"/>
        </w:rPr>
      </w:pPr>
      <w:r>
        <w:rPr>
          <w:rFonts w:hint="eastAsia"/>
          <w:b/>
          <w:bCs/>
          <w:sz w:val="44"/>
          <w:szCs w:val="44"/>
        </w:rPr>
        <w:t>监管和审慎包容执法的实施方案</w:t>
      </w:r>
    </w:p>
    <w:p w:rsidR="00467A34" w:rsidRDefault="00467A34">
      <w:pPr>
        <w:jc w:val="center"/>
        <w:rPr>
          <w:sz w:val="44"/>
          <w:szCs w:val="44"/>
        </w:rPr>
      </w:pP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hint="eastAsia"/>
          <w:sz w:val="32"/>
          <w:szCs w:val="32"/>
        </w:rPr>
        <w:t>为进一步优化我区营商环境，根据各级关于开展分级分类监管和审慎包容执法的要求，结合林业系统的特点，制订本实施方案。</w:t>
      </w:r>
    </w:p>
    <w:p w:rsidR="00467A34" w:rsidRPr="00FC6817" w:rsidRDefault="00467A34" w:rsidP="009524F6">
      <w:pPr>
        <w:ind w:firstLineChars="200" w:firstLine="31680"/>
        <w:rPr>
          <w:rFonts w:ascii="黑体" w:eastAsia="黑体" w:hAnsi="黑体" w:cs="黑体"/>
          <w:bCs/>
          <w:sz w:val="32"/>
          <w:szCs w:val="32"/>
        </w:rPr>
      </w:pPr>
      <w:r w:rsidRPr="00FC6817">
        <w:rPr>
          <w:rFonts w:ascii="黑体" w:eastAsia="黑体" w:hAnsi="黑体" w:cs="黑体" w:hint="eastAsia"/>
          <w:bCs/>
          <w:sz w:val="32"/>
          <w:szCs w:val="32"/>
        </w:rPr>
        <w:t>一、关于推行分级分类执法检查</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一</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严格按照市与区的职责划分进行执法监管。对于法律法规、规章规定由县级以上主管部门行的执法权，按照“减少执法层级、适当下移执法重心”的原则一般由县市区林业主管部门行使。</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二</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充分运用林业系统各类监管平台，减少现场人工检查次数</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通过信用体系监管、行政机关数据共享或者中介机构提供的数据能够达到管理目的的，不去现场检查</w:t>
      </w:r>
      <w:r w:rsidRPr="00FC6817">
        <w:rPr>
          <w:rFonts w:ascii="仿宋_GB2312" w:eastAsia="仿宋_GB2312" w:hAnsi="仿宋" w:cs="仿宋"/>
          <w:sz w:val="32"/>
          <w:szCs w:val="32"/>
        </w:rPr>
        <w:t>;</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三</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林业系统监管范围内可以通过书面告知承诺、政府部门内部核查和部门间核查、网络核查等办理的，或者能被法定证照、合同凭证等其他材料涵盖或替代的，不进行现场检查。</w:t>
      </w:r>
    </w:p>
    <w:p w:rsidR="00467A34" w:rsidRPr="00FC6817" w:rsidRDefault="00467A34" w:rsidP="009524F6">
      <w:pPr>
        <w:ind w:firstLineChars="200" w:firstLine="31680"/>
        <w:rPr>
          <w:rFonts w:ascii="黑体" w:eastAsia="黑体" w:hAnsi="黑体" w:cs="黑体"/>
          <w:sz w:val="32"/>
          <w:szCs w:val="32"/>
        </w:rPr>
      </w:pPr>
      <w:r w:rsidRPr="00FC6817">
        <w:rPr>
          <w:rFonts w:ascii="黑体" w:eastAsia="黑体" w:hAnsi="黑体" w:cs="黑体" w:hint="eastAsia"/>
          <w:sz w:val="32"/>
          <w:szCs w:val="32"/>
        </w:rPr>
        <w:t>二、关于审慎包容执法</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hint="eastAsia"/>
          <w:sz w:val="32"/>
          <w:szCs w:val="32"/>
        </w:rPr>
        <w:t>实施审慎包容执法应当把握以下几个原则</w:t>
      </w:r>
      <w:r w:rsidRPr="00FC6817">
        <w:rPr>
          <w:rFonts w:ascii="仿宋_GB2312" w:eastAsia="仿宋_GB2312" w:hAnsi="仿宋" w:cs="仿宋"/>
          <w:sz w:val="32"/>
          <w:szCs w:val="32"/>
        </w:rPr>
        <w:t>:</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一</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在行政执法过程中，要周密考虑企业等管理相对人各方面存在的实际情况，慎重实施法律手段，掌握好执法尺度，拿捏好法律效果与社会效果的分寸。</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二</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能够采用非强制性手段达到行政管理目的的或是违法行为情节轻微或者社会危害较小的，就不要实施行政强制</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如果确需实施行政强制的，严格按照强制执行程序规范实施。</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三</w:t>
      </w:r>
      <w:r w:rsidRPr="00FC6817">
        <w:rPr>
          <w:rFonts w:ascii="仿宋_GB2312" w:eastAsia="仿宋_GB2312" w:hAnsi="仿宋" w:cs="仿宋"/>
          <w:sz w:val="32"/>
          <w:szCs w:val="32"/>
        </w:rPr>
        <w:t>)</w:t>
      </w:r>
      <w:r w:rsidRPr="00FC6817">
        <w:rPr>
          <w:rFonts w:ascii="仿宋_GB2312" w:eastAsia="仿宋_GB2312" w:hAnsi="仿宋" w:cs="仿宋" w:hint="eastAsia"/>
          <w:sz w:val="32"/>
          <w:szCs w:val="32"/>
        </w:rPr>
        <w:t>严格落实统一规范审慎包容执法程序，落实好“不罚清单”和“减轻处罚清单”制度。相关执法人员要将不罚事项的告知承诺列入执法程序，将《责令改正通知书》和当事人《限期改正承诺书》等作为执法文书存档。</w:t>
      </w:r>
    </w:p>
    <w:p w:rsidR="00467A34" w:rsidRPr="00FC6817" w:rsidRDefault="00467A34" w:rsidP="009524F6">
      <w:pPr>
        <w:ind w:firstLineChars="200" w:firstLine="31680"/>
        <w:rPr>
          <w:rFonts w:ascii="仿宋_GB2312" w:eastAsia="仿宋_GB2312" w:hAnsi="仿宋" w:cs="仿宋"/>
          <w:sz w:val="32"/>
          <w:szCs w:val="32"/>
        </w:rPr>
      </w:pPr>
      <w:r w:rsidRPr="00FC6817">
        <w:rPr>
          <w:rFonts w:ascii="仿宋_GB2312" w:eastAsia="仿宋_GB2312" w:hAnsi="仿宋" w:cs="仿宋" w:hint="eastAsia"/>
          <w:sz w:val="32"/>
          <w:szCs w:val="32"/>
        </w:rPr>
        <w:t>本方案自公布之日实行。</w:t>
      </w:r>
    </w:p>
    <w:p w:rsidR="00467A34" w:rsidRDefault="00467A34" w:rsidP="00FC6817">
      <w:pPr>
        <w:jc w:val="left"/>
        <w:rPr>
          <w:rFonts w:ascii="仿宋_GB2312" w:eastAsia="仿宋_GB2312" w:hAnsi="仿宋" w:cs="仿宋"/>
          <w:sz w:val="32"/>
          <w:szCs w:val="32"/>
        </w:rPr>
      </w:pPr>
      <w:bookmarkStart w:id="0" w:name="_GoBack"/>
      <w:bookmarkEnd w:id="0"/>
    </w:p>
    <w:p w:rsidR="00467A34" w:rsidRDefault="00467A34" w:rsidP="009524F6">
      <w:pPr>
        <w:ind w:firstLineChars="1400" w:firstLine="31680"/>
        <w:jc w:val="left"/>
        <w:rPr>
          <w:rFonts w:ascii="仿宋_GB2312" w:eastAsia="仿宋_GB2312" w:hAnsi="仿宋" w:cs="仿宋"/>
          <w:sz w:val="32"/>
          <w:szCs w:val="32"/>
        </w:rPr>
      </w:pPr>
      <w:r w:rsidRPr="006C04FC">
        <w:rPr>
          <w:rFonts w:ascii="仿宋_GB2312" w:eastAsia="仿宋_GB2312" w:hAnsi="仿宋" w:cs="仿宋"/>
          <w:sz w:val="32"/>
          <w:szCs w:val="32"/>
        </w:rPr>
        <w:t xml:space="preserve"> </w:t>
      </w:r>
      <w:r w:rsidRPr="006C04FC">
        <w:rPr>
          <w:rFonts w:ascii="仿宋_GB2312" w:eastAsia="仿宋_GB2312" w:hAnsi="仿宋" w:cs="仿宋" w:hint="eastAsia"/>
          <w:sz w:val="32"/>
          <w:szCs w:val="32"/>
        </w:rPr>
        <w:t>朔州市平鲁区林业局</w:t>
      </w:r>
    </w:p>
    <w:p w:rsidR="00467A34" w:rsidRPr="00FC6817" w:rsidRDefault="00467A34" w:rsidP="00F21762">
      <w:pPr>
        <w:ind w:firstLineChars="1500" w:firstLine="31680"/>
        <w:jc w:val="left"/>
        <w:rPr>
          <w:rFonts w:ascii="仿宋_GB2312" w:eastAsia="仿宋_GB2312" w:hAnsi="仿宋" w:cs="仿宋"/>
          <w:sz w:val="32"/>
          <w:szCs w:val="32"/>
        </w:rPr>
      </w:pPr>
      <w:r>
        <w:rPr>
          <w:rFonts w:ascii="仿宋_GB2312" w:eastAsia="仿宋_GB2312" w:hAnsi="仿宋" w:cs="仿宋"/>
          <w:sz w:val="32"/>
          <w:szCs w:val="32"/>
        </w:rPr>
        <w:t>2021</w:t>
      </w:r>
      <w:r>
        <w:rPr>
          <w:rFonts w:ascii="仿宋_GB2312" w:eastAsia="仿宋_GB2312" w:hAnsi="仿宋" w:cs="仿宋" w:hint="eastAsia"/>
          <w:sz w:val="32"/>
          <w:szCs w:val="32"/>
        </w:rPr>
        <w:t>年</w:t>
      </w:r>
      <w:r>
        <w:rPr>
          <w:rFonts w:ascii="仿宋_GB2312" w:eastAsia="仿宋_GB2312" w:hAnsi="仿宋" w:cs="仿宋"/>
          <w:sz w:val="32"/>
          <w:szCs w:val="32"/>
        </w:rPr>
        <w:t>12</w:t>
      </w:r>
      <w:r>
        <w:rPr>
          <w:rFonts w:ascii="仿宋_GB2312" w:eastAsia="仿宋_GB2312" w:hAnsi="仿宋" w:cs="仿宋" w:hint="eastAsia"/>
          <w:sz w:val="32"/>
          <w:szCs w:val="32"/>
        </w:rPr>
        <w:t>月</w:t>
      </w:r>
      <w:r>
        <w:rPr>
          <w:rFonts w:ascii="仿宋_GB2312" w:eastAsia="仿宋_GB2312" w:hAnsi="仿宋" w:cs="仿宋"/>
          <w:sz w:val="32"/>
          <w:szCs w:val="32"/>
        </w:rPr>
        <w:t>10</w:t>
      </w:r>
      <w:r>
        <w:rPr>
          <w:rFonts w:ascii="仿宋_GB2312" w:eastAsia="仿宋_GB2312" w:hAnsi="仿宋" w:cs="仿宋" w:hint="eastAsia"/>
          <w:sz w:val="32"/>
          <w:szCs w:val="32"/>
        </w:rPr>
        <w:t>日</w:t>
      </w:r>
    </w:p>
    <w:sectPr w:rsidR="00467A34" w:rsidRPr="00FC6817" w:rsidSect="0037590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34" w:rsidRDefault="00467A34">
      <w:r>
        <w:separator/>
      </w:r>
    </w:p>
  </w:endnote>
  <w:endnote w:type="continuationSeparator" w:id="0">
    <w:p w:rsidR="00467A34" w:rsidRDefault="00467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34" w:rsidRDefault="00467A34" w:rsidP="00A964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7A34" w:rsidRDefault="00467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34" w:rsidRDefault="00467A34" w:rsidP="00A964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67A34" w:rsidRDefault="00467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34" w:rsidRDefault="00467A34">
      <w:r>
        <w:separator/>
      </w:r>
    </w:p>
  </w:footnote>
  <w:footnote w:type="continuationSeparator" w:id="0">
    <w:p w:rsidR="00467A34" w:rsidRDefault="00467A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1D785D"/>
    <w:rsid w:val="00031571"/>
    <w:rsid w:val="003512D4"/>
    <w:rsid w:val="00375901"/>
    <w:rsid w:val="0044625E"/>
    <w:rsid w:val="00467A34"/>
    <w:rsid w:val="00671692"/>
    <w:rsid w:val="006C04FC"/>
    <w:rsid w:val="006F3D14"/>
    <w:rsid w:val="007C0F90"/>
    <w:rsid w:val="007E22D0"/>
    <w:rsid w:val="009524F6"/>
    <w:rsid w:val="00A964AA"/>
    <w:rsid w:val="00C619EB"/>
    <w:rsid w:val="00F21762"/>
    <w:rsid w:val="00FC6817"/>
    <w:rsid w:val="2A853D0D"/>
    <w:rsid w:val="516A6836"/>
    <w:rsid w:val="6D1D785D"/>
    <w:rsid w:val="72A03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0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68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FC68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99</Words>
  <Characters>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笑脸给多了惯的都是病！</dc:creator>
  <cp:keywords/>
  <dc:description/>
  <cp:lastModifiedBy>微软用户</cp:lastModifiedBy>
  <cp:revision>5</cp:revision>
  <cp:lastPrinted>2021-12-10T03:09:00Z</cp:lastPrinted>
  <dcterms:created xsi:type="dcterms:W3CDTF">2021-12-10T02:41:00Z</dcterms:created>
  <dcterms:modified xsi:type="dcterms:W3CDTF">2021-12-10T07:47:00Z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