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DC" w:rsidRPr="00437591" w:rsidRDefault="00C41CDC" w:rsidP="00437591">
      <w:pPr>
        <w:pStyle w:val="21"/>
        <w:widowControl/>
        <w:shd w:val="clear" w:color="auto" w:fill="FFFFFF"/>
        <w:spacing w:line="502" w:lineRule="atLeast"/>
        <w:jc w:val="center"/>
        <w:rPr>
          <w:rFonts w:ascii="宋体" w:eastAsia="宋体" w:hAnsi="宋体" w:cs="宋体"/>
          <w:color w:val="333333"/>
          <w:spacing w:val="8"/>
          <w:kern w:val="0"/>
          <w:sz w:val="44"/>
          <w:szCs w:val="44"/>
          <w:bdr w:val="single" w:sz="6" w:space="0" w:color="F6F6F6"/>
        </w:rPr>
      </w:pPr>
      <w:r w:rsidRPr="00437591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  <w:bdr w:val="single" w:sz="6" w:space="0" w:color="F6F6F6"/>
        </w:rPr>
        <w:t>朔州市平鲁区林业局行政执法服务指南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行政执法名称：林业行政处罚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执法依据：《中华人民共和国森林法》《中华人民共和国森林法实施条例》《中华人民共和国野生动物保护法》等。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处罚条件：</w:t>
      </w:r>
      <w:r w:rsidRPr="00437591">
        <w:rPr>
          <w:rFonts w:ascii="仿宋_GB2312" w:eastAsia="仿宋_GB2312" w:hAnsi="仿宋" w:cs="??;??"/>
          <w:sz w:val="32"/>
          <w:szCs w:val="32"/>
        </w:rPr>
        <w:t>1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、有违法行为发生；</w:t>
      </w:r>
      <w:r w:rsidRPr="00437591">
        <w:rPr>
          <w:rFonts w:ascii="仿宋_GB2312" w:eastAsia="仿宋_GB2312" w:hAnsi="仿宋" w:cs="??;??"/>
          <w:sz w:val="32"/>
          <w:szCs w:val="32"/>
        </w:rPr>
        <w:t>2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、违法行为是应受处罚的行为；</w:t>
      </w:r>
      <w:r w:rsidRPr="00437591">
        <w:rPr>
          <w:rFonts w:ascii="仿宋_GB2312" w:eastAsia="仿宋_GB2312" w:hAnsi="仿宋" w:cs="??;??"/>
          <w:sz w:val="32"/>
          <w:szCs w:val="32"/>
        </w:rPr>
        <w:t>3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、属于本机关管辖；</w:t>
      </w:r>
      <w:r w:rsidRPr="00437591">
        <w:rPr>
          <w:rFonts w:ascii="仿宋_GB2312" w:eastAsia="仿宋_GB2312" w:hAnsi="仿宋" w:cs="??;??"/>
          <w:sz w:val="32"/>
          <w:szCs w:val="32"/>
        </w:rPr>
        <w:t>4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、属于一般程序适用范围。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办理程序：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（一）受理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凡发现或者接到举报、控告、移送、上级交办、主动交代等违反林业法律、法规、规章的行为，报行政负责人审批。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/>
          <w:b/>
          <w:sz w:val="32"/>
          <w:szCs w:val="32"/>
        </w:rPr>
        <w:t> </w:t>
      </w:r>
      <w:r w:rsidRPr="00437591">
        <w:rPr>
          <w:rFonts w:ascii="仿宋_GB2312" w:eastAsia="仿宋_GB2312" w:hAnsi="仿宋" w:cs="??;??"/>
          <w:b/>
          <w:sz w:val="32"/>
          <w:szCs w:val="32"/>
        </w:rPr>
        <w:t>(</w:t>
      </w: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二）立案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符合立案条件的，需要给予林业行政处罚的，填写立案审批表，报领导审批在七日内予以立案；对认为不需要给予行政处罚的，不予立案。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（三）调查取证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林业行政执法人员全面、公正、客观地收集调取各种证据，制作林业行政询问笔录和林业行政处罚法律文书。当事人有陈诉和申辩的权利。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（四）听证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告知当事人有听证的权利，当事人要求听证的，林业行政主管部门组织听证，制作举行听证通知，制作林业行政处罚听证笔录。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（五）审查与决定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林业行政负责人及法制机构审核，作出行政处罚决定，下达行政处罚决定书。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（六）送达与执行</w:t>
      </w:r>
      <w:r w:rsidRPr="00437591">
        <w:rPr>
          <w:rFonts w:ascii="仿宋_GB2312" w:eastAsia="仿宋_GB2312" w:hAnsi="仿宋" w:cs="??;??"/>
          <w:b/>
          <w:sz w:val="32"/>
          <w:szCs w:val="32"/>
        </w:rPr>
        <w:t xml:space="preserve"> </w:t>
      </w:r>
      <w:r w:rsidRPr="00437591">
        <w:rPr>
          <w:rFonts w:ascii="仿宋_GB2312" w:eastAsia="仿宋_GB2312" w:hAnsi="仿宋" w:cs="??;??"/>
          <w:b/>
          <w:sz w:val="32"/>
          <w:szCs w:val="32"/>
        </w:rPr>
        <w:t>  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送达处罚决定书，到指定银行缴纳罚款。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b/>
          <w:sz w:val="32"/>
          <w:szCs w:val="32"/>
        </w:rPr>
      </w:pPr>
      <w:r w:rsidRPr="00437591">
        <w:rPr>
          <w:rFonts w:ascii="仿宋_GB2312" w:eastAsia="仿宋_GB2312" w:hAnsi="仿宋" w:cs="??;??" w:hint="eastAsia"/>
          <w:b/>
          <w:sz w:val="32"/>
          <w:szCs w:val="32"/>
        </w:rPr>
        <w:t>（七）结案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受理机构：朔州市平鲁区林业局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审批机构：朔州市平鲁区林业局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办理电话：</w:t>
      </w:r>
      <w:r w:rsidRPr="00437591">
        <w:rPr>
          <w:rFonts w:ascii="仿宋_GB2312" w:eastAsia="仿宋_GB2312" w:hAnsi="仿宋" w:cs="??;??"/>
          <w:sz w:val="32"/>
          <w:szCs w:val="32"/>
        </w:rPr>
        <w:t>03496063385</w:t>
      </w:r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办公时间：全天</w:t>
      </w:r>
      <w:r w:rsidRPr="00437591">
        <w:rPr>
          <w:rFonts w:ascii="仿宋_GB2312" w:eastAsia="仿宋_GB2312" w:hAnsi="仿宋" w:cs="??;??"/>
          <w:sz w:val="32"/>
          <w:szCs w:val="32"/>
        </w:rPr>
        <w:t>24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小时</w:t>
      </w:r>
      <w:bookmarkStart w:id="0" w:name="_GoBack"/>
      <w:bookmarkEnd w:id="0"/>
    </w:p>
    <w:p w:rsidR="00C41CDC" w:rsidRPr="00437591" w:rsidRDefault="00C41CDC" w:rsidP="00437591">
      <w:pPr>
        <w:pStyle w:val="10"/>
        <w:shd w:val="clear" w:color="auto" w:fill="FFFFFF"/>
        <w:spacing w:after="0"/>
        <w:ind w:firstLine="641"/>
        <w:rPr>
          <w:rFonts w:ascii="仿宋_GB2312" w:eastAsia="仿宋_GB2312" w:hAnsi="仿宋" w:cs="??;??"/>
          <w:sz w:val="32"/>
          <w:szCs w:val="32"/>
        </w:rPr>
      </w:pPr>
      <w:r w:rsidRPr="00437591">
        <w:rPr>
          <w:rFonts w:ascii="仿宋_GB2312" w:eastAsia="仿宋_GB2312" w:hAnsi="仿宋" w:cs="??;??" w:hint="eastAsia"/>
          <w:sz w:val="32"/>
          <w:szCs w:val="32"/>
        </w:rPr>
        <w:t>办公地址：平鲁区文学街</w:t>
      </w:r>
      <w:r w:rsidRPr="00437591">
        <w:rPr>
          <w:rFonts w:ascii="仿宋_GB2312" w:eastAsia="仿宋_GB2312" w:hAnsi="仿宋" w:cs="??;??"/>
          <w:sz w:val="32"/>
          <w:szCs w:val="32"/>
        </w:rPr>
        <w:t>1</w:t>
      </w:r>
      <w:r w:rsidRPr="00437591">
        <w:rPr>
          <w:rFonts w:ascii="仿宋_GB2312" w:eastAsia="仿宋_GB2312" w:hAnsi="仿宋" w:cs="??;??" w:hint="eastAsia"/>
          <w:sz w:val="32"/>
          <w:szCs w:val="32"/>
        </w:rPr>
        <w:t>号林业局办公楼</w:t>
      </w:r>
      <w:r w:rsidRPr="00437591">
        <w:rPr>
          <w:rFonts w:ascii="仿宋_GB2312" w:eastAsia="仿宋_GB2312" w:hAnsi="仿宋" w:cs="??;??"/>
          <w:sz w:val="32"/>
          <w:szCs w:val="32"/>
        </w:rPr>
        <w:t xml:space="preserve"> </w:t>
      </w:r>
    </w:p>
    <w:p w:rsidR="00C41CDC" w:rsidRDefault="00C41CDC">
      <w:pPr>
        <w:pStyle w:val="10"/>
        <w:shd w:val="clear" w:color="auto" w:fill="FFFFFF"/>
        <w:spacing w:line="570" w:lineRule="atLeast"/>
        <w:ind w:firstLine="640"/>
        <w:rPr>
          <w:rFonts w:ascii="仿宋" w:eastAsia="仿宋" w:hAnsi="仿宋" w:cs="仿宋"/>
          <w:sz w:val="32"/>
          <w:szCs w:val="32"/>
          <w:bdr w:val="single" w:sz="6" w:space="0" w:color="F6F6F6"/>
        </w:rPr>
      </w:pPr>
    </w:p>
    <w:p w:rsidR="00C41CDC" w:rsidRDefault="00C41CDC" w:rsidP="00D85659">
      <w:pPr>
        <w:pStyle w:val="1"/>
        <w:ind w:firstLineChars="1550" w:firstLine="31680"/>
        <w:rPr>
          <w:rFonts w:ascii="仿宋_GB2312" w:eastAsia="仿宋_GB2312" w:hAnsi="仿宋" w:cs="??;??"/>
          <w:sz w:val="32"/>
          <w:szCs w:val="32"/>
        </w:rPr>
      </w:pPr>
      <w:r>
        <w:rPr>
          <w:bdr w:val="single" w:sz="6" w:space="0" w:color="F6F6F6"/>
        </w:rPr>
        <w:t xml:space="preserve">            </w:t>
      </w:r>
    </w:p>
    <w:p w:rsidR="00C41CDC" w:rsidRDefault="00C41CDC" w:rsidP="00D85659">
      <w:pPr>
        <w:pStyle w:val="1"/>
        <w:ind w:firstLineChars="1550" w:firstLine="31680"/>
        <w:rPr>
          <w:rFonts w:ascii="仿宋_GB2312" w:eastAsia="仿宋_GB2312" w:hAnsi="仿宋" w:cs="??;??"/>
          <w:sz w:val="32"/>
          <w:szCs w:val="32"/>
        </w:rPr>
      </w:pPr>
      <w:r w:rsidRPr="00C17BD3">
        <w:rPr>
          <w:rFonts w:ascii="仿宋_GB2312" w:eastAsia="仿宋_GB2312" w:hAnsi="仿宋" w:cs="??;??" w:hint="eastAsia"/>
          <w:sz w:val="32"/>
          <w:szCs w:val="32"/>
        </w:rPr>
        <w:t>朔州市平鲁区林业局</w:t>
      </w:r>
    </w:p>
    <w:p w:rsidR="00C41CDC" w:rsidRPr="00C17BD3" w:rsidRDefault="00C41CDC" w:rsidP="00D85659">
      <w:pPr>
        <w:pStyle w:val="1"/>
        <w:ind w:firstLineChars="1600" w:firstLine="31680"/>
        <w:rPr>
          <w:rFonts w:ascii="仿宋_GB2312" w:eastAsia="仿宋_GB2312" w:hAnsi="仿宋" w:cs="??;??"/>
          <w:sz w:val="32"/>
          <w:szCs w:val="32"/>
        </w:rPr>
      </w:pPr>
      <w:r>
        <w:rPr>
          <w:rFonts w:ascii="仿宋_GB2312" w:eastAsia="仿宋_GB2312" w:hAnsi="仿宋" w:cs="??;??"/>
          <w:sz w:val="32"/>
          <w:szCs w:val="32"/>
        </w:rPr>
        <w:t>2021</w:t>
      </w:r>
      <w:r>
        <w:rPr>
          <w:rFonts w:ascii="仿宋_GB2312" w:eastAsia="仿宋_GB2312" w:hAnsi="仿宋" w:cs="??;??" w:hint="eastAsia"/>
          <w:sz w:val="32"/>
          <w:szCs w:val="32"/>
        </w:rPr>
        <w:t>年</w:t>
      </w:r>
      <w:r>
        <w:rPr>
          <w:rFonts w:ascii="仿宋_GB2312" w:eastAsia="仿宋_GB2312" w:hAnsi="仿宋" w:cs="??;??"/>
          <w:sz w:val="32"/>
          <w:szCs w:val="32"/>
        </w:rPr>
        <w:t>12</w:t>
      </w:r>
      <w:r>
        <w:rPr>
          <w:rFonts w:ascii="仿宋_GB2312" w:eastAsia="仿宋_GB2312" w:hAnsi="仿宋" w:cs="??;??" w:hint="eastAsia"/>
          <w:sz w:val="32"/>
          <w:szCs w:val="32"/>
        </w:rPr>
        <w:t>月</w:t>
      </w:r>
      <w:r>
        <w:rPr>
          <w:rFonts w:ascii="仿宋_GB2312" w:eastAsia="仿宋_GB2312" w:hAnsi="仿宋" w:cs="??;??"/>
          <w:sz w:val="32"/>
          <w:szCs w:val="32"/>
        </w:rPr>
        <w:t>10</w:t>
      </w:r>
      <w:r>
        <w:rPr>
          <w:rFonts w:ascii="仿宋_GB2312" w:eastAsia="仿宋_GB2312" w:hAnsi="仿宋" w:cs="??;??" w:hint="eastAsia"/>
          <w:sz w:val="32"/>
          <w:szCs w:val="32"/>
        </w:rPr>
        <w:t>日</w:t>
      </w:r>
    </w:p>
    <w:p w:rsidR="00C41CDC" w:rsidRDefault="00C41CDC" w:rsidP="00437591">
      <w:pPr>
        <w:pStyle w:val="10"/>
        <w:shd w:val="clear" w:color="auto" w:fill="FFFFFF"/>
        <w:spacing w:line="570" w:lineRule="atLeast"/>
        <w:ind w:firstLine="640"/>
        <w:rPr>
          <w:b/>
          <w:color w:val="333333"/>
          <w:spacing w:val="8"/>
          <w:kern w:val="0"/>
          <w:sz w:val="36"/>
          <w:szCs w:val="36"/>
        </w:rPr>
      </w:pPr>
    </w:p>
    <w:sectPr w:rsidR="00C41CDC" w:rsidSect="00A264E3">
      <w:footerReference w:type="even" r:id="rId7"/>
      <w:footerReference w:type="default" r:id="rId8"/>
      <w:pgSz w:w="11906" w:h="16838"/>
      <w:pgMar w:top="1440" w:right="1800" w:bottom="1440" w:left="1800" w:header="0" w:footer="0" w:gutter="0"/>
      <w:cols w:space="720"/>
      <w:formProt w:val="0"/>
      <w:docGrid w:type="lines" w:linePitch="312" w:charSpace="2949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DC" w:rsidRDefault="00C41CDC">
      <w:r>
        <w:separator/>
      </w:r>
    </w:p>
  </w:endnote>
  <w:endnote w:type="continuationSeparator" w:id="0">
    <w:p w:rsidR="00C41CDC" w:rsidRDefault="00C4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;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DC" w:rsidRDefault="00C41CDC" w:rsidP="00A964AA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C41CDC" w:rsidRDefault="00C41C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DC" w:rsidRDefault="00C41CD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DC" w:rsidRDefault="00C41CDC">
      <w:r>
        <w:separator/>
      </w:r>
    </w:p>
  </w:footnote>
  <w:footnote w:type="continuationSeparator" w:id="0">
    <w:p w:rsidR="00C41CDC" w:rsidRDefault="00C4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A2A"/>
    <w:multiLevelType w:val="hybridMultilevel"/>
    <w:tmpl w:val="FBFECBBA"/>
    <w:lvl w:ilvl="0" w:tplc="FB1C02F0">
      <w:start w:val="1"/>
      <w:numFmt w:val="japaneseCounting"/>
      <w:lvlText w:val="（%1）"/>
      <w:lvlJc w:val="left"/>
      <w:pPr>
        <w:tabs>
          <w:tab w:val="num" w:pos="1721"/>
        </w:tabs>
        <w:ind w:left="172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E3"/>
    <w:rsid w:val="00031571"/>
    <w:rsid w:val="000D5B90"/>
    <w:rsid w:val="00207C90"/>
    <w:rsid w:val="00352C1F"/>
    <w:rsid w:val="0042153D"/>
    <w:rsid w:val="00437591"/>
    <w:rsid w:val="00554EFB"/>
    <w:rsid w:val="00912201"/>
    <w:rsid w:val="00A264E3"/>
    <w:rsid w:val="00A3548B"/>
    <w:rsid w:val="00A964AA"/>
    <w:rsid w:val="00AC6949"/>
    <w:rsid w:val="00AD52C7"/>
    <w:rsid w:val="00C17BD3"/>
    <w:rsid w:val="00C41CDC"/>
    <w:rsid w:val="00CA3F11"/>
    <w:rsid w:val="00CC74A8"/>
    <w:rsid w:val="00D15C67"/>
    <w:rsid w:val="00D85659"/>
    <w:rsid w:val="0AE03534"/>
    <w:rsid w:val="56947E2A"/>
    <w:rsid w:val="66306834"/>
    <w:rsid w:val="7C63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uiPriority w:val="99"/>
    <w:rsid w:val="00A264E3"/>
    <w:pPr>
      <w:widowControl w:val="0"/>
      <w:jc w:val="both"/>
    </w:pPr>
  </w:style>
  <w:style w:type="paragraph" w:customStyle="1" w:styleId="21">
    <w:name w:val="标题 21"/>
    <w:basedOn w:val="1"/>
    <w:next w:val="1"/>
    <w:uiPriority w:val="99"/>
    <w:rsid w:val="00A264E3"/>
    <w:pPr>
      <w:keepNext/>
      <w:keepLines/>
      <w:spacing w:before="260" w:after="260" w:line="415" w:lineRule="auto"/>
      <w:outlineLvl w:val="1"/>
    </w:pPr>
    <w:rPr>
      <w:rFonts w:ascii="Calibri" w:eastAsia="新宋体" w:hAnsi="Calibri" w:cs="Tahoma"/>
      <w:b/>
      <w:sz w:val="32"/>
      <w:szCs w:val="24"/>
    </w:rPr>
  </w:style>
  <w:style w:type="paragraph" w:customStyle="1" w:styleId="10">
    <w:name w:val="正文文本1"/>
    <w:uiPriority w:val="99"/>
    <w:rsid w:val="00A264E3"/>
    <w:pPr>
      <w:spacing w:after="283"/>
      <w:jc w:val="both"/>
    </w:pPr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20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20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07C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cp:lastPrinted>2021-12-10T07:33:00Z</cp:lastPrinted>
  <dcterms:created xsi:type="dcterms:W3CDTF">2021-12-10T01:45:00Z</dcterms:created>
  <dcterms:modified xsi:type="dcterms:W3CDTF">2021-12-10T07:46:00Z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