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499" w:rsidRDefault="00755499" w:rsidP="00755499">
      <w:pPr>
        <w:jc w:val="center"/>
        <w:rPr>
          <w:rFonts w:ascii="仿宋" w:eastAsia="仿宋" w:hAnsi="仿宋"/>
          <w:b/>
          <w:spacing w:val="-32"/>
          <w:sz w:val="44"/>
          <w:szCs w:val="44"/>
        </w:rPr>
      </w:pPr>
    </w:p>
    <w:p w:rsidR="00370613" w:rsidRDefault="00370613" w:rsidP="00755499">
      <w:pPr>
        <w:jc w:val="center"/>
        <w:rPr>
          <w:rFonts w:ascii="仿宋" w:eastAsia="仿宋" w:hAnsi="仿宋"/>
          <w:b/>
          <w:spacing w:val="-32"/>
          <w:sz w:val="44"/>
          <w:szCs w:val="44"/>
        </w:rPr>
      </w:pPr>
    </w:p>
    <w:p w:rsidR="00755499" w:rsidRDefault="00E47249" w:rsidP="00755499">
      <w:pPr>
        <w:jc w:val="center"/>
        <w:rPr>
          <w:rFonts w:ascii="仿宋" w:eastAsia="仿宋" w:hAnsi="仿宋"/>
          <w:b/>
          <w:spacing w:val="-32"/>
          <w:sz w:val="44"/>
          <w:szCs w:val="44"/>
        </w:rPr>
      </w:pPr>
      <w:r>
        <w:rPr>
          <w:rFonts w:ascii="Times New Roman" w:eastAsia="宋体" w:hAnsi="Times New Roman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2pt;margin-top:6.15pt;width:404.55pt;height:80.75pt;z-index:251658240;mso-position-horizontal-relative:text;mso-position-vertical-relative:text" fillcolor="red" stroked="f">
            <v:shadow color="#868686"/>
            <v:textpath style="font-family:&quot;方正小标宋简体&quot;;font-weight:bold;v-text-kern:t" trim="t" fitpath="t" string="朔州市平鲁区教育局文件"/>
          </v:shape>
        </w:pict>
      </w:r>
    </w:p>
    <w:p w:rsidR="00755499" w:rsidRDefault="00F833A0" w:rsidP="00F833A0">
      <w:pPr>
        <w:tabs>
          <w:tab w:val="left" w:pos="720"/>
        </w:tabs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ab/>
      </w:r>
    </w:p>
    <w:p w:rsidR="00755499" w:rsidRDefault="00755499" w:rsidP="00755499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755499" w:rsidRDefault="00755499" w:rsidP="00755499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755499" w:rsidRDefault="00755499" w:rsidP="00755499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33B06" w:rsidRDefault="00A33B06" w:rsidP="00755499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70613" w:rsidRDefault="00755499" w:rsidP="00370613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平教</w:t>
      </w:r>
      <w:r w:rsidR="00A33B06">
        <w:rPr>
          <w:rFonts w:ascii="仿宋" w:eastAsia="仿宋" w:hAnsi="仿宋" w:hint="eastAsia"/>
          <w:b/>
          <w:sz w:val="32"/>
          <w:szCs w:val="32"/>
        </w:rPr>
        <w:t>字</w:t>
      </w:r>
      <w:r>
        <w:rPr>
          <w:rFonts w:ascii="仿宋" w:eastAsia="仿宋" w:hAnsi="仿宋" w:hint="eastAsia"/>
          <w:b/>
          <w:sz w:val="32"/>
          <w:szCs w:val="32"/>
        </w:rPr>
        <w:t>[20</w:t>
      </w:r>
      <w:r w:rsidR="006F1897">
        <w:rPr>
          <w:rFonts w:ascii="仿宋" w:eastAsia="仿宋" w:hAnsi="仿宋" w:hint="eastAsia"/>
          <w:b/>
          <w:sz w:val="32"/>
          <w:szCs w:val="32"/>
        </w:rPr>
        <w:t>25</w:t>
      </w:r>
      <w:r>
        <w:rPr>
          <w:rFonts w:ascii="仿宋" w:eastAsia="仿宋" w:hAnsi="仿宋" w:hint="eastAsia"/>
          <w:b/>
          <w:sz w:val="32"/>
          <w:szCs w:val="32"/>
        </w:rPr>
        <w:t>]</w:t>
      </w:r>
      <w:r w:rsidR="00607976">
        <w:rPr>
          <w:rFonts w:ascii="仿宋" w:eastAsia="仿宋" w:hAnsi="仿宋"/>
          <w:b/>
          <w:sz w:val="32"/>
          <w:szCs w:val="32"/>
        </w:rPr>
        <w:t>16</w:t>
      </w:r>
      <w:r>
        <w:rPr>
          <w:rFonts w:ascii="仿宋" w:eastAsia="仿宋" w:hAnsi="仿宋" w:hint="eastAsia"/>
          <w:b/>
          <w:sz w:val="32"/>
          <w:szCs w:val="32"/>
        </w:rPr>
        <w:t>号</w:t>
      </w:r>
    </w:p>
    <w:p w:rsidR="00755499" w:rsidRPr="00370613" w:rsidRDefault="00484BB5" w:rsidP="00370613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Times New Roman" w:eastAsia="宋体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CF2F89" wp14:editId="205F6926">
                <wp:simplePos x="0" y="0"/>
                <wp:positionH relativeFrom="column">
                  <wp:posOffset>-120015</wp:posOffset>
                </wp:positionH>
                <wp:positionV relativeFrom="paragraph">
                  <wp:posOffset>210820</wp:posOffset>
                </wp:positionV>
                <wp:extent cx="5693410" cy="635"/>
                <wp:effectExtent l="22860" t="20955" r="17780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3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9.45pt;margin-top:16.6pt;width:448.3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" strokecolor="red" strokeweight="2.25pt"/>
            </w:pict>
          </mc:Fallback>
        </mc:AlternateContent>
      </w:r>
    </w:p>
    <w:p w:rsidR="000E709D" w:rsidRDefault="000E709D" w:rsidP="00370613">
      <w:pPr>
        <w:jc w:val="center"/>
        <w:rPr>
          <w:b/>
          <w:bCs/>
          <w:sz w:val="44"/>
          <w:szCs w:val="44"/>
        </w:rPr>
      </w:pPr>
    </w:p>
    <w:p w:rsidR="00370613" w:rsidRDefault="00370613" w:rsidP="0037061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朔州市平鲁区教育局关于</w:t>
      </w:r>
      <w:r>
        <w:rPr>
          <w:b/>
          <w:bCs/>
          <w:sz w:val="44"/>
          <w:szCs w:val="44"/>
        </w:rPr>
        <w:t xml:space="preserve"> </w:t>
      </w:r>
      <w:r w:rsidR="006F1897">
        <w:rPr>
          <w:rFonts w:hint="eastAsia"/>
          <w:b/>
          <w:bCs/>
          <w:sz w:val="44"/>
          <w:szCs w:val="44"/>
        </w:rPr>
        <w:t>2025</w:t>
      </w:r>
      <w:r>
        <w:rPr>
          <w:rFonts w:hint="eastAsia"/>
          <w:b/>
          <w:bCs/>
          <w:sz w:val="44"/>
          <w:szCs w:val="44"/>
        </w:rPr>
        <w:t>年度</w:t>
      </w:r>
    </w:p>
    <w:p w:rsidR="00370613" w:rsidRDefault="00370613" w:rsidP="0037061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“双随机、</w:t>
      </w:r>
      <w:proofErr w:type="gramStart"/>
      <w:r>
        <w:rPr>
          <w:rFonts w:hint="eastAsia"/>
          <w:b/>
          <w:bCs/>
          <w:sz w:val="44"/>
          <w:szCs w:val="44"/>
        </w:rPr>
        <w:t>一</w:t>
      </w:r>
      <w:proofErr w:type="gramEnd"/>
      <w:r>
        <w:rPr>
          <w:rFonts w:hint="eastAsia"/>
          <w:b/>
          <w:bCs/>
          <w:sz w:val="44"/>
          <w:szCs w:val="44"/>
        </w:rPr>
        <w:t>公开”抽查工作计划的通知</w:t>
      </w:r>
    </w:p>
    <w:p w:rsidR="00370613" w:rsidRDefault="00370613" w:rsidP="00370613">
      <w:pPr>
        <w:rPr>
          <w:rFonts w:ascii="仿宋" w:eastAsia="仿宋" w:hAnsi="仿宋" w:cs="仿宋"/>
          <w:sz w:val="32"/>
          <w:szCs w:val="32"/>
        </w:rPr>
      </w:pPr>
    </w:p>
    <w:p w:rsidR="00370613" w:rsidRDefault="00370613" w:rsidP="00370613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区直中小学、幼儿园、各乡镇寄校、局科室：</w:t>
      </w:r>
    </w:p>
    <w:p w:rsidR="00370613" w:rsidRDefault="00370613" w:rsidP="00370613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按照《朔州市平鲁区市场监管领域</w:t>
      </w:r>
      <w:r w:rsidR="00A74520">
        <w:rPr>
          <w:rFonts w:ascii="仿宋_GB2312" w:eastAsia="仿宋_GB2312" w:hAnsi="仿宋" w:cs="仿宋" w:hint="eastAsia"/>
          <w:sz w:val="32"/>
          <w:szCs w:val="32"/>
        </w:rPr>
        <w:t>2</w:t>
      </w:r>
      <w:r w:rsidR="00A74520">
        <w:rPr>
          <w:rFonts w:ascii="仿宋_GB2312" w:eastAsia="仿宋_GB2312" w:hAnsi="仿宋" w:cs="仿宋"/>
          <w:sz w:val="32"/>
          <w:szCs w:val="32"/>
        </w:rPr>
        <w:t>025</w:t>
      </w:r>
      <w:r w:rsidR="00A74520"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部门联合“双随机、一公开”监管工作</w:t>
      </w:r>
      <w:r w:rsidR="00AF5DC2">
        <w:rPr>
          <w:rFonts w:ascii="仿宋_GB2312" w:eastAsia="仿宋_GB2312" w:hAnsi="仿宋" w:cs="仿宋" w:hint="eastAsia"/>
          <w:sz w:val="32"/>
          <w:szCs w:val="32"/>
        </w:rPr>
        <w:t>实施方案</w:t>
      </w:r>
      <w:r>
        <w:rPr>
          <w:rFonts w:ascii="仿宋_GB2312" w:eastAsia="仿宋_GB2312" w:hAnsi="仿宋" w:cs="仿宋" w:hint="eastAsia"/>
          <w:sz w:val="32"/>
          <w:szCs w:val="32"/>
        </w:rPr>
        <w:t>》</w:t>
      </w:r>
      <w:r w:rsidR="00A74520">
        <w:rPr>
          <w:rFonts w:ascii="仿宋_GB2312" w:eastAsia="仿宋_GB2312" w:hAnsi="仿宋" w:cs="仿宋" w:hint="eastAsia"/>
          <w:sz w:val="32"/>
          <w:szCs w:val="32"/>
        </w:rPr>
        <w:t>的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文件要求，</w:t>
      </w:r>
      <w:r>
        <w:rPr>
          <w:rFonts w:ascii="仿宋_GB2312" w:eastAsia="仿宋_GB2312" w:hAnsi="仿宋_GB2312" w:cs="仿宋_GB2312" w:hint="eastAsia"/>
          <w:spacing w:val="14"/>
          <w:sz w:val="32"/>
          <w:szCs w:val="32"/>
        </w:rPr>
        <w:t>为进一步推进我区学校“双随机、一公开”监管</w:t>
      </w:r>
      <w:r>
        <w:rPr>
          <w:rFonts w:ascii="仿宋_GB2312" w:eastAsia="仿宋_GB2312" w:hAnsi="仿宋_GB2312" w:cs="仿宋_GB2312" w:hint="eastAsia"/>
          <w:spacing w:val="14"/>
          <w:sz w:val="32"/>
        </w:rPr>
        <w:t>工作</w:t>
      </w:r>
      <w:r>
        <w:rPr>
          <w:rFonts w:ascii="仿宋_GB2312" w:eastAsia="仿宋_GB2312" w:hAnsi="仿宋_GB2312" w:cs="仿宋_GB2312" w:hint="eastAsia"/>
          <w:sz w:val="32"/>
        </w:rPr>
        <w:t>持续、广泛、深入地开展，</w:t>
      </w:r>
      <w:r>
        <w:rPr>
          <w:rFonts w:ascii="仿宋_GB2312" w:eastAsia="仿宋_GB2312" w:hAnsi="仿宋" w:cs="仿宋" w:hint="eastAsia"/>
          <w:sz w:val="32"/>
          <w:szCs w:val="32"/>
        </w:rPr>
        <w:t>我局制定了《朔州市平鲁区教育局</w:t>
      </w:r>
      <w:r w:rsidR="00AF5DC2">
        <w:rPr>
          <w:rFonts w:ascii="仿宋_GB2312" w:eastAsia="仿宋_GB2312" w:hAnsi="仿宋" w:cs="仿宋" w:hint="eastAsia"/>
          <w:sz w:val="32"/>
          <w:szCs w:val="32"/>
        </w:rPr>
        <w:t>2</w:t>
      </w:r>
      <w:r w:rsidR="006F1897">
        <w:rPr>
          <w:rFonts w:ascii="仿宋_GB2312" w:eastAsia="仿宋_GB2312" w:hAnsi="仿宋" w:cs="仿宋" w:hint="eastAsia"/>
          <w:sz w:val="32"/>
          <w:szCs w:val="32"/>
        </w:rPr>
        <w:t>025</w:t>
      </w:r>
      <w:r>
        <w:rPr>
          <w:rFonts w:ascii="仿宋_GB2312" w:eastAsia="仿宋_GB2312" w:hAnsi="仿宋" w:cs="仿宋" w:hint="eastAsia"/>
          <w:sz w:val="32"/>
          <w:szCs w:val="32"/>
        </w:rPr>
        <w:t>年度</w:t>
      </w:r>
      <w:r w:rsidR="00AF5DC2">
        <w:rPr>
          <w:rFonts w:ascii="仿宋_GB2312" w:eastAsia="仿宋_GB2312" w:hAnsi="仿宋" w:cs="仿宋" w:hint="eastAsia"/>
          <w:sz w:val="32"/>
          <w:szCs w:val="32"/>
        </w:rPr>
        <w:t>部门联合双随机</w:t>
      </w:r>
      <w:r>
        <w:rPr>
          <w:rFonts w:ascii="仿宋_GB2312" w:eastAsia="仿宋_GB2312" w:hAnsi="仿宋" w:cs="仿宋" w:hint="eastAsia"/>
          <w:sz w:val="32"/>
          <w:szCs w:val="32"/>
        </w:rPr>
        <w:t>抽查工作计划</w:t>
      </w:r>
      <w:r w:rsidR="00AF5DC2">
        <w:rPr>
          <w:rFonts w:ascii="仿宋_GB2312" w:eastAsia="仿宋_GB2312" w:hAnsi="仿宋" w:cs="仿宋" w:hint="eastAsia"/>
          <w:sz w:val="32"/>
          <w:szCs w:val="32"/>
        </w:rPr>
        <w:t>(</w:t>
      </w:r>
      <w:r w:rsidR="00AF5DC2">
        <w:rPr>
          <w:rFonts w:ascii="仿宋_GB2312" w:eastAsia="仿宋_GB2312" w:hAnsi="仿宋" w:cs="仿宋"/>
          <w:sz w:val="32"/>
          <w:szCs w:val="32"/>
        </w:rPr>
        <w:t>“</w:t>
      </w:r>
      <w:r w:rsidR="00AF5DC2">
        <w:rPr>
          <w:rFonts w:ascii="仿宋_GB2312" w:eastAsia="仿宋_GB2312" w:hAnsi="仿宋" w:cs="仿宋" w:hint="eastAsia"/>
          <w:sz w:val="32"/>
          <w:szCs w:val="32"/>
        </w:rPr>
        <w:t>一业一查</w:t>
      </w:r>
      <w:r w:rsidR="00AF5DC2">
        <w:rPr>
          <w:rFonts w:ascii="仿宋_GB2312" w:eastAsia="仿宋_GB2312" w:hAnsi="仿宋" w:cs="仿宋"/>
          <w:sz w:val="32"/>
          <w:szCs w:val="32"/>
        </w:rPr>
        <w:t>”</w:t>
      </w:r>
      <w:r w:rsidR="00AF5DC2">
        <w:rPr>
          <w:rFonts w:ascii="仿宋_GB2312" w:eastAsia="仿宋_GB2312" w:hAnsi="仿宋" w:cs="仿宋"/>
          <w:sz w:val="32"/>
          <w:szCs w:val="32"/>
        </w:rPr>
        <w:t>部门联合</w:t>
      </w:r>
      <w:r w:rsidR="00AF5DC2">
        <w:rPr>
          <w:rFonts w:ascii="仿宋_GB2312" w:eastAsia="仿宋_GB2312" w:hAnsi="仿宋" w:cs="仿宋" w:hint="eastAsia"/>
          <w:sz w:val="32"/>
          <w:szCs w:val="32"/>
        </w:rPr>
        <w:t>双</w:t>
      </w:r>
      <w:r w:rsidR="00AF5DC2">
        <w:rPr>
          <w:rFonts w:ascii="仿宋_GB2312" w:eastAsia="仿宋_GB2312" w:hAnsi="仿宋" w:cs="仿宋"/>
          <w:sz w:val="32"/>
          <w:szCs w:val="32"/>
        </w:rPr>
        <w:t>随机</w:t>
      </w:r>
      <w:r w:rsidR="00AF5DC2">
        <w:rPr>
          <w:rFonts w:ascii="仿宋_GB2312" w:eastAsia="仿宋_GB2312" w:hAnsi="仿宋" w:cs="仿宋" w:hint="eastAsia"/>
          <w:sz w:val="32"/>
          <w:szCs w:val="32"/>
        </w:rPr>
        <w:t>抽查工作计划</w:t>
      </w:r>
      <w:r w:rsidR="00AF5DC2">
        <w:rPr>
          <w:rFonts w:ascii="仿宋_GB2312" w:eastAsia="仿宋_GB2312" w:hAnsi="仿宋" w:cs="仿宋"/>
          <w:sz w:val="32"/>
          <w:szCs w:val="32"/>
        </w:rPr>
        <w:t>)</w:t>
      </w:r>
      <w:r>
        <w:rPr>
          <w:rFonts w:ascii="仿宋_GB2312" w:eastAsia="仿宋_GB2312" w:hAnsi="仿宋" w:cs="仿宋" w:hint="eastAsia"/>
          <w:sz w:val="32"/>
          <w:szCs w:val="32"/>
        </w:rPr>
        <w:t>》。明确了今年的抽查领域及监管重点。具体情况如下</w:t>
      </w:r>
      <w:r>
        <w:rPr>
          <w:rFonts w:ascii="仿宋_GB2312" w:eastAsia="仿宋_GB2312" w:hAnsi="仿宋" w:cs="仿宋"/>
          <w:sz w:val="32"/>
          <w:szCs w:val="32"/>
        </w:rPr>
        <w:t>:</w:t>
      </w:r>
    </w:p>
    <w:p w:rsidR="00370613" w:rsidRDefault="00370613" w:rsidP="00370613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一、夯实工作基础</w:t>
      </w:r>
    </w:p>
    <w:p w:rsidR="00370613" w:rsidRDefault="00370613" w:rsidP="00370613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建立完善本单位的随机抽查事项清单，将抽查事项清单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复制到本单位名下。依托</w:t>
      </w:r>
      <w:r>
        <w:rPr>
          <w:rFonts w:ascii="仿宋_GB2312" w:eastAsia="仿宋_GB2312" w:hAnsi="仿宋" w:cs="仿宋"/>
          <w:sz w:val="32"/>
          <w:szCs w:val="32"/>
        </w:rPr>
        <w:t>"</w:t>
      </w:r>
      <w:r>
        <w:rPr>
          <w:rFonts w:ascii="仿宋_GB2312" w:eastAsia="仿宋_GB2312" w:hAnsi="仿宋" w:cs="仿宋" w:hint="eastAsia"/>
          <w:sz w:val="32"/>
          <w:szCs w:val="32"/>
        </w:rPr>
        <w:t>双随机、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公开”监管工作平台，结合监管特点和需要，统筹建立完善检查对象名录库，确保所管领域检查对象底清数明、全面准确。同时要进一步对执法检查人员名录库进行动态更新，确保执法检查人员分类标注、更新及时。</w:t>
      </w:r>
    </w:p>
    <w:p w:rsidR="00370613" w:rsidRDefault="00370613" w:rsidP="00370613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二、统筹制定抽查计划</w:t>
      </w:r>
    </w:p>
    <w:p w:rsidR="00370613" w:rsidRDefault="00370613" w:rsidP="00370613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加强组织领导，强化统筹协调，制定并落实跨部门和本部门年度</w:t>
      </w:r>
      <w:r w:rsidR="00AF5DC2">
        <w:rPr>
          <w:rFonts w:ascii="仿宋_GB2312" w:eastAsia="仿宋_GB2312" w:hAnsi="仿宋" w:cs="仿宋" w:hint="eastAsia"/>
          <w:sz w:val="32"/>
          <w:szCs w:val="32"/>
        </w:rPr>
        <w:t>联合</w:t>
      </w:r>
      <w:r>
        <w:rPr>
          <w:rFonts w:ascii="仿宋_GB2312" w:eastAsia="仿宋_GB2312" w:hAnsi="仿宋" w:cs="仿宋" w:hint="eastAsia"/>
          <w:sz w:val="32"/>
          <w:szCs w:val="32"/>
        </w:rPr>
        <w:t>抽查工作计划，做到分级分类监管和重点领域监管。工作计划在制定完成后要及时公示，确保部门联合抽查和本系统双随机抽查“全覆盖、常态化”。对于本辖区重点领域突发风险和情况，上级部门交办转办的工作，未列入年度抽查工作计划的，可以由发起部门组织临时性联合抽查</w:t>
      </w:r>
      <w:r>
        <w:rPr>
          <w:rFonts w:ascii="仿宋_GB2312" w:eastAsia="仿宋_GB2312" w:hAnsi="仿宋" w:cs="仿宋"/>
          <w:sz w:val="32"/>
          <w:szCs w:val="32"/>
        </w:rPr>
        <w:t>;</w:t>
      </w:r>
      <w:r>
        <w:rPr>
          <w:rFonts w:ascii="仿宋_GB2312" w:eastAsia="仿宋_GB2312" w:hAnsi="仿宋" w:cs="仿宋" w:hint="eastAsia"/>
          <w:sz w:val="32"/>
          <w:szCs w:val="32"/>
        </w:rPr>
        <w:t>需要开展的专项整治，涉及本地区部门联合抽查事项清单的，原则上要通过部门联合抽查的形式进行，减少涉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企检查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数量</w:t>
      </w:r>
      <w:r>
        <w:rPr>
          <w:rFonts w:ascii="仿宋_GB2312" w:eastAsia="仿宋_GB2312" w:hAnsi="仿宋" w:cs="仿宋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使部门联合抽查成为部门间协同监管的主要方式。</w:t>
      </w:r>
    </w:p>
    <w:p w:rsidR="00370613" w:rsidRDefault="00370613" w:rsidP="00370613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三、科学组织规范实施</w:t>
      </w:r>
    </w:p>
    <w:p w:rsidR="00370613" w:rsidRDefault="00370613" w:rsidP="00370613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抽查工作计划中的发起部门要与配合部门制定检查方案，明确检查内容、时间、方式、抽查比例、执法人员匹配等。在检查过程中严格落实行政执法三项制度。在检查前需要检查对象提供的证照、财务等资料、要一次性告知检查对象，提前准备。要按照“谁检查、谁录入、谁公开”的原则</w:t>
      </w:r>
      <w:r>
        <w:rPr>
          <w:rFonts w:ascii="仿宋_GB2312" w:eastAsia="仿宋_GB2312" w:hAnsi="仿宋" w:cs="仿宋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检查完成后将检查结果及时录入，通过“互联网</w:t>
      </w:r>
      <w:r>
        <w:rPr>
          <w:rFonts w:ascii="仿宋_GB2312" w:eastAsia="仿宋_GB2312" w:hAnsi="仿宋" w:cs="仿宋"/>
          <w:sz w:val="32"/>
          <w:szCs w:val="32"/>
        </w:rPr>
        <w:t>+</w:t>
      </w:r>
      <w:r>
        <w:rPr>
          <w:rFonts w:ascii="仿宋_GB2312" w:eastAsia="仿宋_GB2312" w:hAnsi="仿宋" w:cs="仿宋" w:hint="eastAsia"/>
          <w:sz w:val="32"/>
          <w:szCs w:val="32"/>
        </w:rPr>
        <w:t>监管</w:t>
      </w:r>
      <w:r>
        <w:rPr>
          <w:rFonts w:ascii="仿宋_GB2312" w:eastAsia="仿宋_GB2312" w:hAnsi="仿宋" w:cs="仿宋"/>
          <w:sz w:val="32"/>
          <w:szCs w:val="32"/>
        </w:rPr>
        <w:t>(</w:t>
      </w:r>
      <w:r>
        <w:rPr>
          <w:rFonts w:ascii="仿宋_GB2312" w:eastAsia="仿宋_GB2312" w:hAnsi="仿宋" w:cs="仿宋" w:hint="eastAsia"/>
          <w:sz w:val="32"/>
          <w:szCs w:val="32"/>
        </w:rPr>
        <w:t>山西</w:t>
      </w:r>
      <w:r>
        <w:rPr>
          <w:rFonts w:ascii="仿宋_GB2312" w:eastAsia="仿宋_GB2312" w:hAnsi="仿宋" w:cs="仿宋"/>
          <w:sz w:val="32"/>
          <w:szCs w:val="32"/>
        </w:rPr>
        <w:t>)</w:t>
      </w:r>
      <w:r>
        <w:rPr>
          <w:rFonts w:ascii="仿宋_GB2312" w:eastAsia="仿宋_GB2312" w:hAnsi="仿宋" w:cs="仿宋" w:hint="eastAsia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或其他官方网站等进行公示，接受社会监督。检查可以采取实地核查、书面检查、网络监测等方式开展，对抽查中发现的违法违规行为，要按照“谁审批、谁监管，谁主管、谁监管”和“谁管辖、谁负责”的原则做好后续监管衔接，防止监管脱节。要强化抽查检查结果政府部门间互认互用，对抽查发现的违法失信行为依法实施联合惩戒，增强市场主体守法自觉性。</w:t>
      </w:r>
    </w:p>
    <w:p w:rsidR="00370613" w:rsidRDefault="00370613" w:rsidP="00370613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四、不断提高监管效能</w:t>
      </w:r>
    </w:p>
    <w:p w:rsidR="00370613" w:rsidRDefault="00370613" w:rsidP="00370613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按照区委、区政府深化“放管服效”改革的要求，大力拓展部门联合“双随机、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公开”监管覆盖范围，将更多部门和更多事项纳入联合抽查，避免多头执法、重复检查，减轻企业负担，增强监管的威慑力。探索并推进信用风险分类管理</w:t>
      </w:r>
      <w:r>
        <w:rPr>
          <w:rFonts w:ascii="仿宋_GB2312" w:eastAsia="仿宋_GB2312" w:hAnsi="仿宋" w:cs="仿宋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将双随机抽查与信用风险分类结果有机结合，科学运用信用风险分类结果，合理确定双随机抽查的范围、对象和频次，采取差异化的监管措施，提高监督检查的精准性和有效性。</w:t>
      </w:r>
    </w:p>
    <w:p w:rsidR="00370613" w:rsidRDefault="00370613" w:rsidP="00370613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五、工作要求</w:t>
      </w:r>
    </w:p>
    <w:p w:rsidR="00370613" w:rsidRDefault="00370613" w:rsidP="00370613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加强组织领导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科</w:t>
      </w:r>
      <w:r>
        <w:rPr>
          <w:rFonts w:ascii="仿宋" w:eastAsia="仿宋" w:hAnsi="仿宋"/>
          <w:sz w:val="32"/>
          <w:szCs w:val="32"/>
        </w:rPr>
        <w:t>室负责人要加强对随机抽查工作的指导和监管，同时也要完善抽查工作机制，充实并合理调配执法抽查力量，提高抽查工作水平。</w:t>
      </w:r>
    </w:p>
    <w:p w:rsidR="00370613" w:rsidRDefault="00370613" w:rsidP="00370613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Style w:val="ac"/>
          <w:rFonts w:ascii="仿宋" w:eastAsia="仿宋" w:hAnsi="仿宋"/>
          <w:sz w:val="32"/>
          <w:szCs w:val="32"/>
        </w:rPr>
        <w:t>严格落实责任。</w:t>
      </w:r>
      <w:r>
        <w:rPr>
          <w:rFonts w:ascii="仿宋" w:eastAsia="仿宋" w:hAnsi="仿宋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科</w:t>
      </w:r>
      <w:r>
        <w:rPr>
          <w:rFonts w:ascii="仿宋" w:eastAsia="仿宋" w:hAnsi="仿宋"/>
          <w:sz w:val="32"/>
          <w:szCs w:val="32"/>
        </w:rPr>
        <w:t>室要根据本计划要求，具体细化推进随机抽查的任务和步骤，明确工作进度要求，落实责任</w:t>
      </w:r>
      <w:r>
        <w:rPr>
          <w:rFonts w:ascii="仿宋" w:eastAsia="仿宋" w:hAnsi="仿宋"/>
          <w:sz w:val="32"/>
          <w:szCs w:val="32"/>
        </w:rPr>
        <w:lastRenderedPageBreak/>
        <w:t>分工，强化过程管控，确保此项工作落到实处，抓出成效。</w:t>
      </w:r>
    </w:p>
    <w:p w:rsidR="00370613" w:rsidRDefault="00370613" w:rsidP="00370613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附件1：《朔州市平鲁区教育局</w:t>
      </w:r>
      <w:r w:rsidR="006F1897"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 w:rsidR="00F7572D"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联合</w:t>
      </w:r>
      <w:r w:rsidR="00A74520">
        <w:rPr>
          <w:rFonts w:ascii="仿宋_GB2312" w:eastAsia="仿宋_GB2312" w:hAnsi="仿宋_GB2312" w:cs="仿宋_GB2312" w:hint="eastAsia"/>
          <w:sz w:val="32"/>
          <w:szCs w:val="32"/>
        </w:rPr>
        <w:t>双</w:t>
      </w:r>
      <w:r>
        <w:rPr>
          <w:rFonts w:ascii="仿宋_GB2312" w:eastAsia="仿宋_GB2312" w:hAnsi="仿宋_GB2312" w:cs="仿宋_GB2312" w:hint="eastAsia"/>
          <w:sz w:val="32"/>
          <w:szCs w:val="32"/>
        </w:rPr>
        <w:t>随机</w:t>
      </w:r>
      <w:r w:rsidR="00F7572D">
        <w:rPr>
          <w:rFonts w:ascii="仿宋_GB2312" w:eastAsia="仿宋_GB2312" w:hAnsi="仿宋_GB2312" w:cs="仿宋_GB2312" w:hint="eastAsia"/>
          <w:sz w:val="32"/>
          <w:szCs w:val="32"/>
        </w:rPr>
        <w:t>抽查工作计划(</w:t>
      </w:r>
      <w:r w:rsidR="00F7572D">
        <w:rPr>
          <w:rFonts w:ascii="仿宋_GB2312" w:eastAsia="仿宋_GB2312" w:hAnsi="仿宋_GB2312" w:cs="仿宋_GB2312"/>
          <w:sz w:val="32"/>
          <w:szCs w:val="32"/>
        </w:rPr>
        <w:t>“</w:t>
      </w:r>
      <w:r w:rsidR="00F7572D">
        <w:rPr>
          <w:rFonts w:ascii="仿宋_GB2312" w:eastAsia="仿宋_GB2312" w:hAnsi="仿宋_GB2312" w:cs="仿宋_GB2312" w:hint="eastAsia"/>
          <w:sz w:val="32"/>
          <w:szCs w:val="32"/>
        </w:rPr>
        <w:t>一业一查</w:t>
      </w:r>
      <w:r w:rsidR="00F7572D">
        <w:rPr>
          <w:rFonts w:ascii="仿宋_GB2312" w:eastAsia="仿宋_GB2312" w:hAnsi="仿宋_GB2312" w:cs="仿宋_GB2312"/>
          <w:sz w:val="32"/>
          <w:szCs w:val="32"/>
        </w:rPr>
        <w:t>”部门联合</w:t>
      </w:r>
      <w:r w:rsidR="00F7572D">
        <w:rPr>
          <w:rFonts w:ascii="仿宋_GB2312" w:eastAsia="仿宋_GB2312" w:hAnsi="仿宋_GB2312" w:cs="仿宋_GB2312" w:hint="eastAsia"/>
          <w:sz w:val="32"/>
          <w:szCs w:val="32"/>
        </w:rPr>
        <w:t>双</w:t>
      </w:r>
      <w:r w:rsidR="00F7572D">
        <w:rPr>
          <w:rFonts w:ascii="仿宋_GB2312" w:eastAsia="仿宋_GB2312" w:hAnsi="仿宋_GB2312" w:cs="仿宋_GB2312"/>
          <w:sz w:val="32"/>
          <w:szCs w:val="32"/>
        </w:rPr>
        <w:t>随机</w:t>
      </w:r>
      <w:r w:rsidR="00F7572D">
        <w:rPr>
          <w:rFonts w:ascii="仿宋_GB2312" w:eastAsia="仿宋_GB2312" w:hAnsi="仿宋_GB2312" w:cs="仿宋_GB2312" w:hint="eastAsia"/>
          <w:sz w:val="32"/>
          <w:szCs w:val="32"/>
        </w:rPr>
        <w:t>抽查工作计划</w:t>
      </w:r>
      <w:r w:rsidR="00F7572D"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</w:p>
    <w:p w:rsidR="00370613" w:rsidRPr="00006AD1" w:rsidRDefault="00370613" w:rsidP="00370613">
      <w:pPr>
        <w:pStyle w:val="a9"/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370613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:rsidR="00370613" w:rsidRPr="00006AD1" w:rsidRDefault="00370613" w:rsidP="00370613">
      <w:pPr>
        <w:rPr>
          <w:rFonts w:ascii="仿宋_GB2312" w:eastAsia="仿宋_GB2312" w:hAnsi="仿宋" w:cs="仿宋"/>
          <w:sz w:val="32"/>
          <w:szCs w:val="32"/>
        </w:rPr>
      </w:pPr>
    </w:p>
    <w:p w:rsidR="00370613" w:rsidRDefault="00370613" w:rsidP="00A74520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朔州市平鲁区教育局</w:t>
      </w:r>
    </w:p>
    <w:p w:rsidR="00370613" w:rsidRDefault="00370613" w:rsidP="00370613">
      <w:pPr>
        <w:ind w:firstLineChars="1400" w:firstLine="4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202</w:t>
      </w:r>
      <w:r w:rsidR="006F1897"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="00F7572D">
        <w:rPr>
          <w:rFonts w:ascii="仿宋_GB2312" w:eastAsia="仿宋_GB2312" w:hAnsi="仿宋" w:cs="仿宋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月1</w:t>
      </w:r>
      <w:r w:rsidR="00F7572D">
        <w:rPr>
          <w:rFonts w:ascii="仿宋_GB2312" w:eastAsia="仿宋_GB2312" w:hAnsi="仿宋" w:cs="仿宋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370613" w:rsidRDefault="00370613" w:rsidP="00370613">
      <w:pPr>
        <w:pStyle w:val="aa"/>
        <w:rPr>
          <w:rFonts w:ascii="黑体" w:eastAsia="黑体" w:hAnsi="黑体" w:cs="黑体"/>
          <w:sz w:val="32"/>
          <w:szCs w:val="32"/>
        </w:rPr>
      </w:pPr>
    </w:p>
    <w:p w:rsidR="004836D9" w:rsidRPr="00776B16" w:rsidRDefault="00370613" w:rsidP="00776B16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  <w:sectPr w:rsidR="004836D9" w:rsidRPr="00776B16" w:rsidSect="00D84F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648F7" wp14:editId="0099EAB6">
                <wp:simplePos x="0" y="0"/>
                <wp:positionH relativeFrom="column">
                  <wp:posOffset>-83820</wp:posOffset>
                </wp:positionH>
                <wp:positionV relativeFrom="paragraph">
                  <wp:posOffset>4445</wp:posOffset>
                </wp:positionV>
                <wp:extent cx="5257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0F364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.35pt" to="407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">
                <v:stroke joinstyle="miter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>朔州市平鲁区教育局办公室</w:t>
      </w:r>
      <w:r w:rsidR="006F1897">
        <w:rPr>
          <w:rFonts w:ascii="仿宋_GB2312" w:eastAsia="仿宋_GB2312" w:hAnsi="仿宋_GB2312" w:cs="仿宋_GB2312" w:hint="eastAsia"/>
          <w:sz w:val="32"/>
          <w:szCs w:val="32"/>
        </w:rPr>
        <w:t xml:space="preserve">       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7572D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月1</w:t>
      </w:r>
      <w:r w:rsidR="00F7572D"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日印</w:t>
      </w:r>
      <w:r>
        <w:rPr>
          <w:rFonts w:ascii="仿宋_GB2312" w:eastAsia="仿宋_GB2312" w:hAnsi="仿宋_GB2312" w:cs="仿宋_GB2312" w:hint="eastAsia"/>
          <w:sz w:val="32"/>
          <w:szCs w:val="32"/>
        </w:rPr>
        <w:t>发</w: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7B90B" wp14:editId="0EC2D030">
                <wp:simplePos x="0" y="0"/>
                <wp:positionH relativeFrom="column">
                  <wp:posOffset>-83820</wp:posOffset>
                </wp:positionH>
                <wp:positionV relativeFrom="paragraph">
                  <wp:posOffset>4445</wp:posOffset>
                </wp:positionV>
                <wp:extent cx="52578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7FC93" id="直接连接符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.35pt" to="407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">
                <v:stroke joinstyle="miter"/>
              </v:line>
            </w:pict>
          </mc:Fallback>
        </mc:AlternateContent>
      </w: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851"/>
        <w:gridCol w:w="709"/>
        <w:gridCol w:w="1417"/>
        <w:gridCol w:w="2268"/>
        <w:gridCol w:w="1418"/>
        <w:gridCol w:w="1784"/>
        <w:gridCol w:w="2300"/>
        <w:gridCol w:w="1302"/>
        <w:gridCol w:w="851"/>
        <w:gridCol w:w="1275"/>
        <w:gridCol w:w="1134"/>
      </w:tblGrid>
      <w:tr w:rsidR="00EF4E69" w:rsidRPr="00EF4E69" w:rsidTr="000D59F8">
        <w:trPr>
          <w:trHeight w:val="1575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8"/>
                <w:szCs w:val="48"/>
              </w:rPr>
            </w:pPr>
            <w:r w:rsidRPr="00EF4E69">
              <w:rPr>
                <w:rFonts w:ascii="方正小标宋简体" w:eastAsia="方正小标宋简体" w:hAnsi="宋体" w:cs="宋体" w:hint="eastAsia"/>
                <w:kern w:val="0"/>
                <w:sz w:val="48"/>
                <w:szCs w:val="48"/>
              </w:rPr>
              <w:lastRenderedPageBreak/>
              <w:t>朔州市平鲁区教育局2025年度部门联合双随机抽查工作计划</w:t>
            </w:r>
            <w:r w:rsidRPr="00EF4E69">
              <w:rPr>
                <w:rFonts w:ascii="方正小标宋简体" w:eastAsia="方正小标宋简体" w:hAnsi="宋体" w:cs="宋体" w:hint="eastAsia"/>
                <w:kern w:val="0"/>
                <w:sz w:val="48"/>
                <w:szCs w:val="48"/>
              </w:rPr>
              <w:br/>
              <w:t>（“</w:t>
            </w:r>
            <w:proofErr w:type="gramStart"/>
            <w:r w:rsidRPr="00EF4E69">
              <w:rPr>
                <w:rFonts w:ascii="方正小标宋简体" w:eastAsia="方正小标宋简体" w:hAnsi="宋体" w:cs="宋体" w:hint="eastAsia"/>
                <w:kern w:val="0"/>
                <w:sz w:val="48"/>
                <w:szCs w:val="48"/>
              </w:rPr>
              <w:t>一</w:t>
            </w:r>
            <w:proofErr w:type="gramEnd"/>
            <w:r w:rsidRPr="00EF4E69">
              <w:rPr>
                <w:rFonts w:ascii="方正小标宋简体" w:eastAsia="方正小标宋简体" w:hAnsi="宋体" w:cs="宋体" w:hint="eastAsia"/>
                <w:kern w:val="0"/>
                <w:sz w:val="48"/>
                <w:szCs w:val="48"/>
              </w:rPr>
              <w:t>业一查”部门联合双随机抽查工作计划）</w:t>
            </w:r>
          </w:p>
        </w:tc>
      </w:tr>
      <w:tr w:rsidR="00EF4E69" w:rsidRPr="00EF4E69" w:rsidTr="000D59F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市区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抽查任务名称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抽查事项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抽查对象</w:t>
            </w: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范围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抽查比例</w:t>
            </w: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及频次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智慧监管（信用风险分类）要求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抽查检查</w:t>
            </w: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起止时间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发起部门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配合部门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抽查检查</w:t>
            </w:r>
            <w:r w:rsidRPr="00EF4E6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模式</w:t>
            </w:r>
          </w:p>
        </w:tc>
      </w:tr>
      <w:tr w:rsidR="00EF4E69" w:rsidRPr="00EF4E69" w:rsidTr="000D59F8">
        <w:trPr>
          <w:trHeight w:val="13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F4E69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平</w:t>
            </w:r>
            <w:r w:rsidRPr="00EF4E69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鲁</w:t>
            </w:r>
            <w:r w:rsidRPr="00EF4E69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</w:t>
            </w: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学校办学情况的双随机抽查（多项合抽）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中小学教育装备产品（含文体教育用品、教学仪器、音体美卫器材、信息技术装备、课桌椅、校服等）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中小学校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抽查比例不低于10%或重点检查100%。1次/年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根据企业信用风险分类结果，对A、B、C级企业分别递加抽查比例、频次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3月—12月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区教育局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区市场监管局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区抽区</w:t>
            </w:r>
            <w:proofErr w:type="gramEnd"/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</w:t>
            </w:r>
          </w:p>
        </w:tc>
      </w:tr>
      <w:tr w:rsidR="00EF4E69" w:rsidRPr="00EF4E69" w:rsidTr="000D59F8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民办学校招生、办学情况的检查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营利性的民办幼儿园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抽查比例不低于10%或重点检查80%。1次/年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根据企业信用风险分类结果，对A、B、C级企业分别递加抽查比例、频次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3月—12月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区市场监管局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区抽区</w:t>
            </w:r>
            <w:proofErr w:type="gramEnd"/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</w:t>
            </w:r>
          </w:p>
        </w:tc>
      </w:tr>
      <w:tr w:rsidR="00EF4E69" w:rsidRPr="00EF4E69" w:rsidTr="000D59F8">
        <w:trPr>
          <w:trHeight w:val="10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学校食堂食品安全情况的检查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各类学校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抽查比例不低于10%或重点检查100%。1次/年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根据企业信用风险分类结果，对A、B、C级企业分别递加抽查比例、频次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3月—12月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区市场监管局/区</w:t>
            </w:r>
            <w:proofErr w:type="gramStart"/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卫健局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区抽区</w:t>
            </w:r>
            <w:proofErr w:type="gramEnd"/>
            <w:r w:rsidRPr="00EF4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</w:t>
            </w:r>
          </w:p>
        </w:tc>
      </w:tr>
      <w:tr w:rsidR="00EF4E69" w:rsidRPr="00EF4E69" w:rsidTr="000D59F8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458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4E69" w:rsidRPr="00EF4E69" w:rsidRDefault="00EF4E69" w:rsidP="00EF4E6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EF4E6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E69" w:rsidRPr="00EF4E69" w:rsidTr="000D59F8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458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F4E69" w:rsidRPr="00EF4E69" w:rsidTr="000D59F8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458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F4E69" w:rsidRPr="00EF4E69" w:rsidTr="000D59F8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458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E69" w:rsidRPr="00EF4E69" w:rsidRDefault="00EF4E69" w:rsidP="00EF4E6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A6329C" w:rsidRPr="00A6329C" w:rsidRDefault="00A6329C" w:rsidP="00EF4E69">
      <w:pPr>
        <w:ind w:right="420"/>
        <w:rPr>
          <w:b/>
          <w:sz w:val="32"/>
          <w:szCs w:val="32"/>
        </w:rPr>
      </w:pPr>
    </w:p>
    <w:sectPr w:rsidR="00A6329C" w:rsidRPr="00A6329C" w:rsidSect="004836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249" w:rsidRDefault="00E47249" w:rsidP="00914A32">
      <w:r>
        <w:separator/>
      </w:r>
    </w:p>
  </w:endnote>
  <w:endnote w:type="continuationSeparator" w:id="0">
    <w:p w:rsidR="00E47249" w:rsidRDefault="00E47249" w:rsidP="0091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249" w:rsidRDefault="00E47249" w:rsidP="00914A32">
      <w:r>
        <w:separator/>
      </w:r>
    </w:p>
  </w:footnote>
  <w:footnote w:type="continuationSeparator" w:id="0">
    <w:p w:rsidR="00E47249" w:rsidRDefault="00E47249" w:rsidP="00914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016"/>
    <w:rsid w:val="00020ABA"/>
    <w:rsid w:val="000252BB"/>
    <w:rsid w:val="00034573"/>
    <w:rsid w:val="000D59F8"/>
    <w:rsid w:val="000E2DFE"/>
    <w:rsid w:val="000E709D"/>
    <w:rsid w:val="00111197"/>
    <w:rsid w:val="00115E62"/>
    <w:rsid w:val="00137634"/>
    <w:rsid w:val="001B17B8"/>
    <w:rsid w:val="001F7DAA"/>
    <w:rsid w:val="0029700B"/>
    <w:rsid w:val="002B62B0"/>
    <w:rsid w:val="002E2CAA"/>
    <w:rsid w:val="00323787"/>
    <w:rsid w:val="00343DEC"/>
    <w:rsid w:val="00370613"/>
    <w:rsid w:val="00387E75"/>
    <w:rsid w:val="003F19BC"/>
    <w:rsid w:val="00405973"/>
    <w:rsid w:val="00473988"/>
    <w:rsid w:val="00482F6D"/>
    <w:rsid w:val="004836D9"/>
    <w:rsid w:val="00484BB5"/>
    <w:rsid w:val="004B0546"/>
    <w:rsid w:val="00530499"/>
    <w:rsid w:val="005C7E91"/>
    <w:rsid w:val="00607976"/>
    <w:rsid w:val="006231B9"/>
    <w:rsid w:val="006656EF"/>
    <w:rsid w:val="006B72C1"/>
    <w:rsid w:val="006F1897"/>
    <w:rsid w:val="00741B86"/>
    <w:rsid w:val="007512FB"/>
    <w:rsid w:val="00755499"/>
    <w:rsid w:val="00767678"/>
    <w:rsid w:val="00776B16"/>
    <w:rsid w:val="0079395B"/>
    <w:rsid w:val="007A0458"/>
    <w:rsid w:val="007A2F3D"/>
    <w:rsid w:val="007C0F45"/>
    <w:rsid w:val="007C3A1A"/>
    <w:rsid w:val="007E309F"/>
    <w:rsid w:val="007F6C2F"/>
    <w:rsid w:val="00835381"/>
    <w:rsid w:val="00894F93"/>
    <w:rsid w:val="008A01B0"/>
    <w:rsid w:val="008B33F2"/>
    <w:rsid w:val="008C5FCA"/>
    <w:rsid w:val="00914A32"/>
    <w:rsid w:val="00942078"/>
    <w:rsid w:val="00956C54"/>
    <w:rsid w:val="009E5AA4"/>
    <w:rsid w:val="00A33B06"/>
    <w:rsid w:val="00A6329C"/>
    <w:rsid w:val="00A74520"/>
    <w:rsid w:val="00AB5016"/>
    <w:rsid w:val="00AD11BA"/>
    <w:rsid w:val="00AF5DC2"/>
    <w:rsid w:val="00B00415"/>
    <w:rsid w:val="00B01273"/>
    <w:rsid w:val="00B52EB8"/>
    <w:rsid w:val="00C26370"/>
    <w:rsid w:val="00C274DF"/>
    <w:rsid w:val="00C4487B"/>
    <w:rsid w:val="00CC0B4D"/>
    <w:rsid w:val="00CC3ADB"/>
    <w:rsid w:val="00D84F36"/>
    <w:rsid w:val="00DA56A6"/>
    <w:rsid w:val="00E47249"/>
    <w:rsid w:val="00EF4E69"/>
    <w:rsid w:val="00F7572D"/>
    <w:rsid w:val="00F833A0"/>
    <w:rsid w:val="00F964CA"/>
    <w:rsid w:val="00FC2E2D"/>
    <w:rsid w:val="00FF0FB8"/>
    <w:rsid w:val="00FF269F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0F6B8"/>
  <w15:docId w15:val="{0D7AE760-52A7-4FBA-8AC6-4CE77832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4A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4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4A3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554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55499"/>
    <w:rPr>
      <w:sz w:val="18"/>
      <w:szCs w:val="18"/>
    </w:rPr>
  </w:style>
  <w:style w:type="paragraph" w:styleId="a9">
    <w:name w:val="Block Text"/>
    <w:basedOn w:val="a"/>
    <w:next w:val="aa"/>
    <w:qFormat/>
    <w:rsid w:val="00370613"/>
    <w:rPr>
      <w:rFonts w:ascii="Calibri" w:eastAsia="宋体" w:hAnsi="Calibri" w:cs="Times New Roman"/>
      <w:szCs w:val="24"/>
    </w:rPr>
  </w:style>
  <w:style w:type="paragraph" w:styleId="aa">
    <w:name w:val="Body Text"/>
    <w:basedOn w:val="a"/>
    <w:link w:val="ab"/>
    <w:qFormat/>
    <w:rsid w:val="00370613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ab">
    <w:name w:val="正文文本 字符"/>
    <w:basedOn w:val="a0"/>
    <w:link w:val="aa"/>
    <w:rsid w:val="00370613"/>
    <w:rPr>
      <w:rFonts w:ascii="Calibri" w:eastAsia="宋体" w:hAnsi="Calibri" w:cs="Times New Roman"/>
      <w:szCs w:val="24"/>
    </w:rPr>
  </w:style>
  <w:style w:type="character" w:styleId="ac">
    <w:name w:val="Strong"/>
    <w:qFormat/>
    <w:rsid w:val="00370613"/>
    <w:rPr>
      <w:b/>
    </w:rPr>
  </w:style>
  <w:style w:type="table" w:styleId="ad">
    <w:name w:val="Table Grid"/>
    <w:basedOn w:val="a1"/>
    <w:uiPriority w:val="59"/>
    <w:rsid w:val="0076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293</Words>
  <Characters>1671</Characters>
  <Application>Microsoft Office Word</Application>
  <DocSecurity>0</DocSecurity>
  <Lines>13</Lines>
  <Paragraphs>3</Paragraphs>
  <ScaleCrop>false</ScaleCrop>
  <Company>Sky123.Org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xx x</cp:lastModifiedBy>
  <cp:revision>30</cp:revision>
  <cp:lastPrinted>2024-04-25T00:03:00Z</cp:lastPrinted>
  <dcterms:created xsi:type="dcterms:W3CDTF">2019-05-22T01:01:00Z</dcterms:created>
  <dcterms:modified xsi:type="dcterms:W3CDTF">2025-05-12T02:46:00Z</dcterms:modified>
</cp:coreProperties>
</file>