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30" w:rsidRDefault="00372C30" w:rsidP="00A12958">
      <w:pPr>
        <w:adjustRightInd w:val="0"/>
        <w:snapToGrid w:val="0"/>
        <w:rPr>
          <w:rFonts w:ascii="黑体" w:eastAsia="黑体" w:hAnsi="黑体"/>
          <w:sz w:val="32"/>
          <w:szCs w:val="32"/>
        </w:rPr>
      </w:pPr>
    </w:p>
    <w:p w:rsidR="00372C30" w:rsidRDefault="00372C30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平鲁区发改局</w:t>
      </w:r>
    </w:p>
    <w:p w:rsidR="00372C30" w:rsidRDefault="00372C30" w:rsidP="00A12958">
      <w:pPr>
        <w:adjustRightInd w:val="0"/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固定资产投资项目节能评估和审查流程图</w:t>
      </w:r>
    </w:p>
    <w:p w:rsidR="00372C30" w:rsidRDefault="00372C30">
      <w:pPr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:rsidR="00372C30" w:rsidRDefault="00372C30">
      <w:pPr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4" o:spid="_x0000_s1026" type="#_x0000_t110" style="position:absolute;left:0;text-align:left;margin-left:183pt;margin-top:16.05pt;width:98.25pt;height:39pt;z-index:251649536" o:preferrelative="t">
            <v:stroke miterlimit="2"/>
            <v:textbox>
              <w:txbxContent>
                <w:p w:rsidR="00372C30" w:rsidRDefault="00372C30" w:rsidP="00A12958">
                  <w:pPr>
                    <w:ind w:firstLineChars="50" w:firstLine="31680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</w:p>
    <w:p w:rsidR="00372C30" w:rsidRDefault="00372C30">
      <w:pPr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22" o:spid="_x0000_s1027" type="#_x0000_t32" style="position:absolute;left:0;text-align:left;margin-left:231.3pt;margin-top:26.85pt;width:.05pt;height:15pt;z-index:251667968" o:connectortype="straight" o:preferrelative="t">
            <v:stroke endarrow="block" miterlimit="2"/>
          </v:shape>
        </w:pict>
      </w:r>
    </w:p>
    <w:p w:rsidR="00372C30" w:rsidRDefault="00372C30">
      <w:pPr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rect id="Rectangle 5" o:spid="_x0000_s1028" style="position:absolute;left:0;text-align:left;margin-left:168.75pt;margin-top:10.65pt;width:135.75pt;height:24.75pt;z-index:251650560" o:preferrelative="t">
            <v:stroke miterlimit="2"/>
            <v:textbox>
              <w:txbxContent>
                <w:p w:rsidR="00372C30" w:rsidRDefault="00372C30">
                  <w:r>
                    <w:rPr>
                      <w:rFonts w:hint="eastAsia"/>
                    </w:rPr>
                    <w:t>到能评中心提出申请</w:t>
                  </w:r>
                </w:p>
              </w:txbxContent>
            </v:textbox>
          </v:rect>
        </w:pict>
      </w:r>
    </w:p>
    <w:p w:rsidR="00372C30" w:rsidRDefault="00372C30">
      <w:pPr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 id="Flowchart: Decision 6" o:spid="_x0000_s1029" type="#_x0000_t110" style="position:absolute;left:0;text-align:left;margin-left:137.25pt;margin-top:25.2pt;width:190.5pt;height:63pt;z-index:251651584" o:preferrelative="t">
            <v:stroke miterlimit="2"/>
            <v:textbox>
              <w:txbxContent>
                <w:p w:rsidR="00372C30" w:rsidRDefault="00372C30" w:rsidP="00A12958">
                  <w:pPr>
                    <w:spacing w:line="280" w:lineRule="exact"/>
                    <w:ind w:firstLineChars="250" w:firstLine="31680"/>
                  </w:pPr>
                  <w:r>
                    <w:rPr>
                      <w:rFonts w:hint="eastAsia"/>
                    </w:rPr>
                    <w:t>受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理</w:t>
                  </w:r>
                </w:p>
                <w:p w:rsidR="00372C30" w:rsidRDefault="00372C30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在规定时间内受理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Connector 21" o:spid="_x0000_s1030" type="#_x0000_t32" style="position:absolute;left:0;text-align:left;margin-left:231.3pt;margin-top:4.2pt;width:.05pt;height:21pt;z-index:251666944" o:connectortype="straight" o:preferrelative="t">
            <v:stroke endarrow="block" miterlimit="2"/>
          </v:shape>
        </w:pict>
      </w:r>
    </w:p>
    <w:p w:rsidR="00372C30" w:rsidRDefault="00372C30">
      <w:pPr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 id="Straight Connector 20" o:spid="_x0000_s1031" type="#_x0000_t32" style="position:absolute;left:0;text-align:left;margin-left:231.3pt;margin-top:25.8pt;width:.05pt;height:23.25pt;z-index:251665920" o:connectortype="straight" o:preferrelative="t">
            <v:stroke endarrow="block" miterlimit="2"/>
          </v:shape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rect id="Rectangle 7" o:spid="_x0000_s1032" style="position:absolute;left:0;text-align:left;margin-left:140.85pt;margin-top:17.85pt;width:195pt;height:54pt;z-index:251652608" o:preferrelative="t">
            <v:stroke miterlimit="2"/>
            <v:textbox>
              <w:txbxContent>
                <w:p w:rsidR="00372C30" w:rsidRDefault="00372C30">
                  <w:r>
                    <w:rPr>
                      <w:rFonts w:hint="eastAsia"/>
                    </w:rPr>
                    <w:t>申请材料齐全、符合法定形式，或者申请人按照本行政机关的要求提交全部补正申请材料的，出具《受理通知书》</w:t>
                  </w:r>
                </w:p>
                <w:p w:rsidR="00372C30" w:rsidRDefault="00372C30"/>
                <w:p w:rsidR="00372C30" w:rsidRDefault="00372C30"/>
              </w:txbxContent>
            </v:textbox>
          </v:rect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rect id="Rectangle 8" o:spid="_x0000_s1033" style="position:absolute;left:0;text-align:left;margin-left:105.7pt;margin-top:9.75pt;width:279.75pt;height:44.25pt;z-index:251653632" o:preferrelative="t">
            <v:stroke miterlimit="2"/>
            <v:textbox>
              <w:txbxContent>
                <w:p w:rsidR="00372C30" w:rsidRDefault="00372C30" w:rsidP="00A12958">
                  <w:pPr>
                    <w:ind w:firstLineChars="1050" w:firstLine="31680"/>
                  </w:pPr>
                  <w:r>
                    <w:rPr>
                      <w:rFonts w:hint="eastAsia"/>
                    </w:rPr>
                    <w:t>审</w:t>
                  </w:r>
                  <w:r>
                    <w:t xml:space="preserve">     </w:t>
                  </w:r>
                  <w:r>
                    <w:rPr>
                      <w:rFonts w:hint="eastAsia"/>
                    </w:rPr>
                    <w:t>查</w:t>
                  </w:r>
                </w:p>
                <w:p w:rsidR="00372C30" w:rsidRDefault="00372C30">
                  <w:r>
                    <w:rPr>
                      <w:rFonts w:hint="eastAsia"/>
                    </w:rPr>
                    <w:t>承办科室对申请材料进行审查，依法委托评审或登记备案</w:t>
                  </w:r>
                </w:p>
              </w:txbxContent>
            </v:textbox>
          </v:rect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 id="Straight Connector 19" o:spid="_x0000_s1034" type="#_x0000_t32" style="position:absolute;left:0;text-align:left;margin-left:237.9pt;margin-top:22.8pt;width:.05pt;height:22.2pt;z-index:251664896" o:connectortype="straight" o:preferrelative="t">
            <v:stroke endarrow="block" miterlimit="2"/>
          </v:shape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 id="Flowchart: Decision 9" o:spid="_x0000_s1035" type="#_x0000_t110" style="position:absolute;left:0;text-align:left;margin-left:133.35pt;margin-top:13.8pt;width:208.5pt;height:70.2pt;z-index:251654656" o:preferrelative="t">
            <v:stroke miterlimit="2"/>
            <v:textbox>
              <w:txbxContent>
                <w:p w:rsidR="00372C30" w:rsidRDefault="00372C30" w:rsidP="00A12958">
                  <w:pPr>
                    <w:ind w:firstLineChars="250" w:firstLine="31680"/>
                  </w:pPr>
                  <w:r>
                    <w:rPr>
                      <w:rFonts w:hint="eastAsia"/>
                    </w:rPr>
                    <w:t>决</w:t>
                  </w:r>
                  <w:r>
                    <w:t xml:space="preserve">   </w:t>
                  </w:r>
                  <w:r>
                    <w:rPr>
                      <w:rFonts w:hint="eastAsia"/>
                    </w:rPr>
                    <w:t>定</w:t>
                  </w:r>
                </w:p>
                <w:p w:rsidR="00372C30" w:rsidRDefault="00372C30">
                  <w:r>
                    <w:rPr>
                      <w:rFonts w:hint="eastAsia"/>
                    </w:rPr>
                    <w:t>依法作出决定并公示</w:t>
                  </w:r>
                </w:p>
              </w:txbxContent>
            </v:textbox>
          </v:shape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 id="Straight Connector 16" o:spid="_x0000_s1036" type="#_x0000_t32" style="position:absolute;left:0;text-align:left;margin-left:93.65pt;margin-top:17.05pt;width:.05pt;height:66.45pt;z-index:251661824" o:connectortype="straight" o:preferrelative="t">
            <v:stroke endarrow="block" miterlimit="2"/>
          </v:shape>
        </w:pict>
      </w:r>
      <w:r>
        <w:rPr>
          <w:noProof/>
        </w:rPr>
        <w:pict>
          <v:shape id="Straight Connector 15" o:spid="_x0000_s1037" type="#_x0000_t32" style="position:absolute;left:0;text-align:left;margin-left:93.65pt;margin-top:17.05pt;width:39.7pt;height:.05pt;flip:x;z-index:251660800" o:connectortype="straight" o:preferrelative="t">
            <v:stroke miterlimit="2"/>
          </v:shape>
        </w:pict>
      </w:r>
      <w:r>
        <w:rPr>
          <w:noProof/>
        </w:rPr>
        <w:pict>
          <v:shape id="Straight Connector 18" o:spid="_x0000_s1038" type="#_x0000_t32" style="position:absolute;left:0;text-align:left;margin-left:387.6pt;margin-top:17.05pt;width:.05pt;height:66.45pt;z-index:251663872" o:connectortype="straight" o:preferrelative="t">
            <v:stroke endarrow="block" miterlimit="2"/>
          </v:shape>
        </w:pict>
      </w:r>
      <w:r>
        <w:rPr>
          <w:noProof/>
        </w:rPr>
        <w:pict>
          <v:shape id="Straight Connector 17" o:spid="_x0000_s1039" type="#_x0000_t32" style="position:absolute;left:0;text-align:left;margin-left:341.85pt;margin-top:17.05pt;width:45.75pt;height:.05pt;z-index:251662848" o:connectortype="straight" o:preferrelative="t">
            <v:stroke miterlimit="2"/>
          </v:shape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rect id="Rectangle 10" o:spid="_x0000_s1040" style="position:absolute;left:0;text-align:left;margin-left:15pt;margin-top:21.1pt;width:171.75pt;height:55.95pt;z-index:251655680" o:preferrelative="t">
            <v:stroke miterlimit="2"/>
            <v:textbox>
              <w:txbxContent>
                <w:p w:rsidR="00372C30" w:rsidRDefault="00372C30">
                  <w:r>
                    <w:rPr>
                      <w:rFonts w:hint="eastAsia"/>
                    </w:rPr>
                    <w:t>作出不予行政许可的决定的，制作文书，说明理由，并告知依法申请复议、提起行政诉讼的权利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" o:spid="_x0000_s1041" style="position:absolute;left:0;text-align:left;margin-left:335.85pt;margin-top:21.1pt;width:110.25pt;height:42.45pt;z-index:251656704" o:preferrelative="t">
            <v:stroke miterlimit="2"/>
            <v:textbox>
              <w:txbxContent>
                <w:p w:rsidR="00372C30" w:rsidRDefault="00372C30">
                  <w:r>
                    <w:rPr>
                      <w:rFonts w:hint="eastAsia"/>
                    </w:rPr>
                    <w:t>作出准予行政许可的书面决定，制作文书</w:t>
                  </w:r>
                </w:p>
              </w:txbxContent>
            </v:textbox>
          </v:rect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14" o:spid="_x0000_s1042" type="#_x0000_t34" style="position:absolute;left:0;text-align:left;margin-left:162.9pt;margin-top:8.05pt;width:169.65pt;height:89.1pt;rotation:180;flip:y;z-index:251659776" o:connectortype="elbow" o:preferrelative="t" adj="10797">
            <v:stroke endarrow="block" miterlimit="2"/>
          </v:shape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shape id="Straight Connector 3" o:spid="_x0000_s1043" type="#_x0000_t32" style="position:absolute;left:0;text-align:left;margin-left:102.3pt;margin-top:13.15pt;width:.05pt;height:25.8pt;z-index:251648512" o:connectortype="straight" o:preferrelative="t">
            <v:stroke endarrow="block" miterlimit="2"/>
          </v:shape>
        </w:pict>
      </w:r>
      <w:r>
        <w:rPr>
          <w:noProof/>
        </w:rPr>
        <w:pict>
          <v:shape id="Straight Connector 2" o:spid="_x0000_s1044" type="#_x0000_t32" style="position:absolute;left:0;text-align:left;margin-left:387.65pt;margin-top:1.15pt;width:.05pt;height:37.8pt;z-index:251647488" o:connectortype="straight" o:preferrelative="t">
            <v:stroke endarrow="block" miterlimit="2"/>
          </v:shape>
        </w:pict>
      </w:r>
    </w:p>
    <w:p w:rsidR="00372C30" w:rsidRDefault="00372C30">
      <w:pPr>
        <w:tabs>
          <w:tab w:val="left" w:pos="4253"/>
        </w:tabs>
        <w:spacing w:line="240" w:lineRule="atLeast"/>
        <w:jc w:val="center"/>
        <w:rPr>
          <w:rFonts w:ascii="方正小标宋简体" w:eastAsia="方正小标宋简体" w:hAnsi="宋体"/>
          <w:sz w:val="28"/>
          <w:szCs w:val="32"/>
        </w:rPr>
      </w:pPr>
      <w:r>
        <w:rPr>
          <w:noProof/>
        </w:rPr>
        <w:pict>
          <v:roundrect id="Rounded Rectangle 12" o:spid="_x0000_s1045" style="position:absolute;left:0;text-align:left;margin-left:57.15pt;margin-top:5.4pt;width:105.75pt;height:43.5pt;z-index:251657728" arcsize="10923f" o:preferrelative="t">
            <v:stroke miterlimit="2"/>
            <v:textbox>
              <w:txbxContent>
                <w:p w:rsidR="00372C30" w:rsidRDefault="00372C30" w:rsidP="00A12958">
                  <w:pPr>
                    <w:ind w:firstLineChars="350" w:firstLine="31680"/>
                  </w:pPr>
                  <w:r>
                    <w:rPr>
                      <w:rFonts w:hint="eastAsia"/>
                    </w:rPr>
                    <w:t>送达</w:t>
                  </w:r>
                </w:p>
                <w:p w:rsidR="00372C30" w:rsidRDefault="00372C30" w:rsidP="00A12958">
                  <w:pPr>
                    <w:ind w:firstLineChars="200" w:firstLine="31680"/>
                  </w:pPr>
                  <w:r>
                    <w:rPr>
                      <w:rFonts w:hint="eastAsia"/>
                    </w:rPr>
                    <w:t>通知申请人</w:t>
                  </w:r>
                </w:p>
                <w:p w:rsidR="00372C30" w:rsidRDefault="00372C30" w:rsidP="00A12958">
                  <w:pPr>
                    <w:ind w:firstLineChars="50" w:firstLine="31680"/>
                  </w:pPr>
                </w:p>
                <w:p w:rsidR="00372C30" w:rsidRDefault="00372C30" w:rsidP="00A12958">
                  <w:pPr>
                    <w:ind w:firstLineChars="50" w:firstLine="31680"/>
                  </w:pPr>
                </w:p>
                <w:p w:rsidR="00372C30" w:rsidRDefault="00372C30" w:rsidP="00A12958">
                  <w:pPr>
                    <w:ind w:firstLineChars="50" w:firstLine="31680"/>
                  </w:pPr>
                </w:p>
                <w:p w:rsidR="00372C30" w:rsidRDefault="00372C30" w:rsidP="00A12958">
                  <w:pPr>
                    <w:ind w:firstLineChars="50" w:firstLine="31680"/>
                  </w:pPr>
                </w:p>
              </w:txbxContent>
            </v:textbox>
          </v:roundrect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13" o:spid="_x0000_s1046" type="#_x0000_t176" style="position:absolute;left:0;text-align:left;margin-left:354.15pt;margin-top:7.75pt;width:65.25pt;height:27pt;z-index:251658752" o:preferrelative="t">
            <v:stroke miterlimit="2"/>
            <v:textbox>
              <w:txbxContent>
                <w:p w:rsidR="00372C30" w:rsidRDefault="00372C30">
                  <w:r>
                    <w:rPr>
                      <w:rFonts w:hint="eastAsia"/>
                    </w:rPr>
                    <w:t>依法公开</w:t>
                  </w:r>
                </w:p>
              </w:txbxContent>
            </v:textbox>
          </v:shape>
        </w:pict>
      </w:r>
    </w:p>
    <w:p w:rsidR="00372C30" w:rsidRDefault="00372C30">
      <w:pPr>
        <w:adjustRightInd w:val="0"/>
        <w:snapToGrid w:val="0"/>
      </w:pPr>
      <w:bookmarkStart w:id="0" w:name="_GoBack"/>
      <w:bookmarkEnd w:id="0"/>
    </w:p>
    <w:sectPr w:rsidR="00372C30" w:rsidSect="00311498">
      <w:headerReference w:type="default" r:id="rId6"/>
      <w:footerReference w:type="default" r:id="rId7"/>
      <w:pgSz w:w="11906" w:h="16838"/>
      <w:pgMar w:top="1440" w:right="1134" w:bottom="851" w:left="1134" w:header="851" w:footer="992" w:gutter="0"/>
      <w:pgNumType w:start="2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C30" w:rsidRDefault="00372C30" w:rsidP="00311498">
      <w:r>
        <w:separator/>
      </w:r>
    </w:p>
  </w:endnote>
  <w:endnote w:type="continuationSeparator" w:id="1">
    <w:p w:rsidR="00372C30" w:rsidRDefault="00372C30" w:rsidP="0031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30" w:rsidRDefault="00372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C30" w:rsidRDefault="00372C30" w:rsidP="00311498">
      <w:r>
        <w:separator/>
      </w:r>
    </w:p>
  </w:footnote>
  <w:footnote w:type="continuationSeparator" w:id="1">
    <w:p w:rsidR="00372C30" w:rsidRDefault="00372C30" w:rsidP="0031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C30" w:rsidRDefault="00372C3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040"/>
    <w:rsid w:val="00012F46"/>
    <w:rsid w:val="00013EB9"/>
    <w:rsid w:val="00032780"/>
    <w:rsid w:val="00046DC5"/>
    <w:rsid w:val="00056569"/>
    <w:rsid w:val="0007588B"/>
    <w:rsid w:val="000833F0"/>
    <w:rsid w:val="0009283F"/>
    <w:rsid w:val="00092DED"/>
    <w:rsid w:val="0009594F"/>
    <w:rsid w:val="000A7AFA"/>
    <w:rsid w:val="000E2EFC"/>
    <w:rsid w:val="000E49C4"/>
    <w:rsid w:val="000F3A9F"/>
    <w:rsid w:val="001520C1"/>
    <w:rsid w:val="001526D1"/>
    <w:rsid w:val="00154C73"/>
    <w:rsid w:val="00161722"/>
    <w:rsid w:val="001D3123"/>
    <w:rsid w:val="00200EF2"/>
    <w:rsid w:val="00207420"/>
    <w:rsid w:val="00212F79"/>
    <w:rsid w:val="00215D74"/>
    <w:rsid w:val="002224A6"/>
    <w:rsid w:val="00223CBA"/>
    <w:rsid w:val="00232660"/>
    <w:rsid w:val="002420DC"/>
    <w:rsid w:val="002578FF"/>
    <w:rsid w:val="00276BF6"/>
    <w:rsid w:val="002B2663"/>
    <w:rsid w:val="002C2B51"/>
    <w:rsid w:val="002C3244"/>
    <w:rsid w:val="002D6D32"/>
    <w:rsid w:val="002D7040"/>
    <w:rsid w:val="002E3830"/>
    <w:rsid w:val="0030553D"/>
    <w:rsid w:val="00311498"/>
    <w:rsid w:val="00312816"/>
    <w:rsid w:val="00316A76"/>
    <w:rsid w:val="0033518D"/>
    <w:rsid w:val="003407FE"/>
    <w:rsid w:val="0035068A"/>
    <w:rsid w:val="00350C2A"/>
    <w:rsid w:val="003512C4"/>
    <w:rsid w:val="00363A2A"/>
    <w:rsid w:val="00372C30"/>
    <w:rsid w:val="003732D2"/>
    <w:rsid w:val="00391682"/>
    <w:rsid w:val="0039325F"/>
    <w:rsid w:val="00396248"/>
    <w:rsid w:val="003F092F"/>
    <w:rsid w:val="00400A59"/>
    <w:rsid w:val="00406507"/>
    <w:rsid w:val="004513DD"/>
    <w:rsid w:val="00456CB5"/>
    <w:rsid w:val="00461490"/>
    <w:rsid w:val="004628AB"/>
    <w:rsid w:val="00471C36"/>
    <w:rsid w:val="00473643"/>
    <w:rsid w:val="004A07A3"/>
    <w:rsid w:val="004A70C4"/>
    <w:rsid w:val="004E0CB8"/>
    <w:rsid w:val="004E26EC"/>
    <w:rsid w:val="004E3BA0"/>
    <w:rsid w:val="004E57AB"/>
    <w:rsid w:val="004F4497"/>
    <w:rsid w:val="0053031E"/>
    <w:rsid w:val="0053106A"/>
    <w:rsid w:val="005403EA"/>
    <w:rsid w:val="00551607"/>
    <w:rsid w:val="00555462"/>
    <w:rsid w:val="005575B3"/>
    <w:rsid w:val="00562574"/>
    <w:rsid w:val="00572FEA"/>
    <w:rsid w:val="005744C3"/>
    <w:rsid w:val="00581780"/>
    <w:rsid w:val="005C5622"/>
    <w:rsid w:val="005D1129"/>
    <w:rsid w:val="005E17DE"/>
    <w:rsid w:val="005F15BC"/>
    <w:rsid w:val="00603687"/>
    <w:rsid w:val="00611391"/>
    <w:rsid w:val="00615C08"/>
    <w:rsid w:val="00617711"/>
    <w:rsid w:val="00626495"/>
    <w:rsid w:val="006337CB"/>
    <w:rsid w:val="00641977"/>
    <w:rsid w:val="0065511C"/>
    <w:rsid w:val="00667410"/>
    <w:rsid w:val="00672316"/>
    <w:rsid w:val="00685701"/>
    <w:rsid w:val="0069440B"/>
    <w:rsid w:val="006A346B"/>
    <w:rsid w:val="006A47B8"/>
    <w:rsid w:val="006A48DF"/>
    <w:rsid w:val="006A6DE7"/>
    <w:rsid w:val="006B2561"/>
    <w:rsid w:val="006C5240"/>
    <w:rsid w:val="006C57A6"/>
    <w:rsid w:val="006C6F53"/>
    <w:rsid w:val="006D4E36"/>
    <w:rsid w:val="006E2F45"/>
    <w:rsid w:val="006F0FF9"/>
    <w:rsid w:val="006F2854"/>
    <w:rsid w:val="007034C2"/>
    <w:rsid w:val="0070437E"/>
    <w:rsid w:val="0073794F"/>
    <w:rsid w:val="00762A7C"/>
    <w:rsid w:val="00763120"/>
    <w:rsid w:val="00766A39"/>
    <w:rsid w:val="00773E80"/>
    <w:rsid w:val="0078611C"/>
    <w:rsid w:val="007870C7"/>
    <w:rsid w:val="0079115B"/>
    <w:rsid w:val="007A2B42"/>
    <w:rsid w:val="007A4C27"/>
    <w:rsid w:val="007A5EE7"/>
    <w:rsid w:val="007A61FD"/>
    <w:rsid w:val="007B2A36"/>
    <w:rsid w:val="007B7367"/>
    <w:rsid w:val="007F101C"/>
    <w:rsid w:val="007F2E0A"/>
    <w:rsid w:val="00823F7A"/>
    <w:rsid w:val="0085543B"/>
    <w:rsid w:val="00865A50"/>
    <w:rsid w:val="008A4BCB"/>
    <w:rsid w:val="008A732E"/>
    <w:rsid w:val="008B2C90"/>
    <w:rsid w:val="008C30F6"/>
    <w:rsid w:val="008C6524"/>
    <w:rsid w:val="008C72A3"/>
    <w:rsid w:val="008E4CB8"/>
    <w:rsid w:val="00905F4C"/>
    <w:rsid w:val="009140E4"/>
    <w:rsid w:val="00927F3D"/>
    <w:rsid w:val="00933410"/>
    <w:rsid w:val="00945194"/>
    <w:rsid w:val="00945298"/>
    <w:rsid w:val="00993B28"/>
    <w:rsid w:val="009948DC"/>
    <w:rsid w:val="009968D4"/>
    <w:rsid w:val="009A1118"/>
    <w:rsid w:val="009B11CF"/>
    <w:rsid w:val="009C7479"/>
    <w:rsid w:val="009D1359"/>
    <w:rsid w:val="009D3A46"/>
    <w:rsid w:val="009E477D"/>
    <w:rsid w:val="009E696C"/>
    <w:rsid w:val="00A04547"/>
    <w:rsid w:val="00A12958"/>
    <w:rsid w:val="00A24A47"/>
    <w:rsid w:val="00A3140A"/>
    <w:rsid w:val="00A34F8B"/>
    <w:rsid w:val="00A35B22"/>
    <w:rsid w:val="00A54DC8"/>
    <w:rsid w:val="00A61C94"/>
    <w:rsid w:val="00A71609"/>
    <w:rsid w:val="00A72D54"/>
    <w:rsid w:val="00A753C6"/>
    <w:rsid w:val="00A81716"/>
    <w:rsid w:val="00A821C4"/>
    <w:rsid w:val="00A8752E"/>
    <w:rsid w:val="00A91D0A"/>
    <w:rsid w:val="00AA0A8E"/>
    <w:rsid w:val="00AA2BE2"/>
    <w:rsid w:val="00AD0B8F"/>
    <w:rsid w:val="00AD5776"/>
    <w:rsid w:val="00B0002B"/>
    <w:rsid w:val="00B2186B"/>
    <w:rsid w:val="00B409DF"/>
    <w:rsid w:val="00B46B8D"/>
    <w:rsid w:val="00B72EA8"/>
    <w:rsid w:val="00B96E83"/>
    <w:rsid w:val="00BD020F"/>
    <w:rsid w:val="00C065E0"/>
    <w:rsid w:val="00C07F76"/>
    <w:rsid w:val="00C11F3B"/>
    <w:rsid w:val="00C4208C"/>
    <w:rsid w:val="00C42125"/>
    <w:rsid w:val="00C46F34"/>
    <w:rsid w:val="00C52F43"/>
    <w:rsid w:val="00C605E0"/>
    <w:rsid w:val="00C71B94"/>
    <w:rsid w:val="00C81880"/>
    <w:rsid w:val="00C8694E"/>
    <w:rsid w:val="00C9383B"/>
    <w:rsid w:val="00C96C29"/>
    <w:rsid w:val="00CB6FA5"/>
    <w:rsid w:val="00CB78C7"/>
    <w:rsid w:val="00CC426E"/>
    <w:rsid w:val="00CC7E4B"/>
    <w:rsid w:val="00CD13FA"/>
    <w:rsid w:val="00CD264B"/>
    <w:rsid w:val="00CD4A99"/>
    <w:rsid w:val="00CE3B77"/>
    <w:rsid w:val="00D203DC"/>
    <w:rsid w:val="00D45765"/>
    <w:rsid w:val="00D644DE"/>
    <w:rsid w:val="00D83942"/>
    <w:rsid w:val="00D87165"/>
    <w:rsid w:val="00D917FA"/>
    <w:rsid w:val="00D92B6B"/>
    <w:rsid w:val="00DB502F"/>
    <w:rsid w:val="00DB7D8D"/>
    <w:rsid w:val="00DC747D"/>
    <w:rsid w:val="00DD4588"/>
    <w:rsid w:val="00DF185E"/>
    <w:rsid w:val="00E02719"/>
    <w:rsid w:val="00E10606"/>
    <w:rsid w:val="00E115CE"/>
    <w:rsid w:val="00E24918"/>
    <w:rsid w:val="00E24D86"/>
    <w:rsid w:val="00E25AE1"/>
    <w:rsid w:val="00E33FD7"/>
    <w:rsid w:val="00E36881"/>
    <w:rsid w:val="00E42D43"/>
    <w:rsid w:val="00E445F9"/>
    <w:rsid w:val="00E51C54"/>
    <w:rsid w:val="00E805C8"/>
    <w:rsid w:val="00E80ED1"/>
    <w:rsid w:val="00E82C85"/>
    <w:rsid w:val="00EA15C0"/>
    <w:rsid w:val="00EA5C3E"/>
    <w:rsid w:val="00EC05FB"/>
    <w:rsid w:val="00EC50FA"/>
    <w:rsid w:val="00ED130C"/>
    <w:rsid w:val="00ED7951"/>
    <w:rsid w:val="00EE2B87"/>
    <w:rsid w:val="00EF05E5"/>
    <w:rsid w:val="00EF41B4"/>
    <w:rsid w:val="00F023BE"/>
    <w:rsid w:val="00F13082"/>
    <w:rsid w:val="00F251E2"/>
    <w:rsid w:val="00F3017F"/>
    <w:rsid w:val="00F33905"/>
    <w:rsid w:val="00F355F1"/>
    <w:rsid w:val="00F3608C"/>
    <w:rsid w:val="00F45595"/>
    <w:rsid w:val="00F5289E"/>
    <w:rsid w:val="00F53E55"/>
    <w:rsid w:val="00F63841"/>
    <w:rsid w:val="00F70884"/>
    <w:rsid w:val="00F85B18"/>
    <w:rsid w:val="00F9460B"/>
    <w:rsid w:val="00FA5C2A"/>
    <w:rsid w:val="00FB384D"/>
    <w:rsid w:val="00FB769D"/>
    <w:rsid w:val="00FC4B7F"/>
    <w:rsid w:val="00FD0D73"/>
    <w:rsid w:val="00FD1222"/>
    <w:rsid w:val="00FD1EBA"/>
    <w:rsid w:val="00FD6898"/>
    <w:rsid w:val="00FE1862"/>
    <w:rsid w:val="00FF58EE"/>
    <w:rsid w:val="09B85367"/>
    <w:rsid w:val="24580101"/>
    <w:rsid w:val="34C206B6"/>
    <w:rsid w:val="4ED86DAE"/>
    <w:rsid w:val="527E6852"/>
    <w:rsid w:val="545C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49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1498"/>
    <w:rPr>
      <w:rFonts w:eastAsia="方正仿宋_GBK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1498"/>
    <w:rPr>
      <w:rFonts w:ascii="Times New Roman" w:eastAsia="方正仿宋_GBK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114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49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1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1498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11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1498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311498"/>
    <w:pPr>
      <w:ind w:firstLineChars="200" w:firstLine="420"/>
    </w:pPr>
    <w:rPr>
      <w:rFonts w:ascii="Calibri" w:hAnsi="Calibri" w:cs="宋体"/>
      <w:szCs w:val="21"/>
    </w:rPr>
  </w:style>
  <w:style w:type="paragraph" w:customStyle="1" w:styleId="2">
    <w:name w:val="列出段落2"/>
    <w:basedOn w:val="Normal"/>
    <w:uiPriority w:val="99"/>
    <w:rsid w:val="003114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</Words>
  <Characters>58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朔州市发改委行政许可类权力运行流程图（1）</dc:title>
  <dc:subject/>
  <dc:creator>fgw</dc:creator>
  <cp:keywords/>
  <dc:description/>
  <cp:lastModifiedBy>hddell</cp:lastModifiedBy>
  <cp:revision>155</cp:revision>
  <cp:lastPrinted>2016-03-01T01:53:00Z</cp:lastPrinted>
  <dcterms:created xsi:type="dcterms:W3CDTF">2015-10-26T02:56:00Z</dcterms:created>
  <dcterms:modified xsi:type="dcterms:W3CDTF">2016-06-12T08:09:00Z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