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5F0A6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sz w:val="44"/>
          <w:szCs w:val="44"/>
          <w:lang w:val="en-US" w:eastAsia="zh-CN"/>
        </w:rPr>
      </w:pPr>
      <w:r>
        <w:rPr>
          <w:rFonts w:hint="eastAsia" w:ascii="宋体" w:hAnsi="宋体" w:eastAsia="宋体" w:cs="宋体"/>
          <w:b/>
          <w:sz w:val="44"/>
          <w:szCs w:val="44"/>
          <w:lang w:val="en-US" w:eastAsia="zh-CN"/>
        </w:rPr>
        <w:t>平鲁区下面高乡王家湾村南</w:t>
      </w:r>
    </w:p>
    <w:p w14:paraId="27364A9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sz w:val="44"/>
          <w:szCs w:val="44"/>
          <w:lang w:val="en-US" w:eastAsia="zh-CN"/>
        </w:rPr>
      </w:pPr>
      <w:r>
        <w:rPr>
          <w:rFonts w:hint="eastAsia" w:ascii="宋体" w:hAnsi="宋体" w:eastAsia="宋体" w:cs="宋体"/>
          <w:b/>
          <w:sz w:val="44"/>
          <w:szCs w:val="44"/>
          <w:lang w:val="en-US" w:eastAsia="zh-CN"/>
        </w:rPr>
        <w:t>（XMG-WJW-CN-01）地块实施性详细规划</w:t>
      </w:r>
    </w:p>
    <w:p w14:paraId="71C5BF0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sz w:val="44"/>
          <w:szCs w:val="44"/>
          <w:lang w:val="en-US" w:eastAsia="zh-CN"/>
        </w:rPr>
      </w:pPr>
      <w:r>
        <w:rPr>
          <w:rFonts w:hint="eastAsia" w:ascii="宋体" w:hAnsi="宋体" w:eastAsia="宋体" w:cs="宋体"/>
          <w:b/>
          <w:sz w:val="44"/>
          <w:szCs w:val="44"/>
          <w:lang w:val="en-US" w:eastAsia="zh-CN"/>
        </w:rPr>
        <w:t>成果公示</w:t>
      </w:r>
    </w:p>
    <w:p w14:paraId="38B8EA3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公文小标宋" w:hAnsi="方正公文小标宋" w:eastAsia="方正公文小标宋" w:cs="方正公文小标宋"/>
          <w:b w:val="0"/>
          <w:bCs w:val="0"/>
          <w:sz w:val="40"/>
          <w:szCs w:val="40"/>
          <w:lang w:val="en-US" w:eastAsia="zh-CN"/>
        </w:rPr>
      </w:pPr>
    </w:p>
    <w:p w14:paraId="3CC8D50A">
      <w:pPr>
        <w:pStyle w:val="4"/>
        <w:bidi w:val="0"/>
        <w:rPr>
          <w:rFonts w:hint="eastAsia"/>
          <w:lang w:val="en-US" w:eastAsia="zh-CN"/>
        </w:rPr>
      </w:pPr>
      <w:r>
        <w:rPr>
          <w:rFonts w:hint="eastAsia"/>
          <w:lang w:val="en-US" w:eastAsia="zh-CN"/>
        </w:rPr>
        <w:t>地块区域现状概况</w:t>
      </w:r>
    </w:p>
    <w:p w14:paraId="3117A44A">
      <w:pPr>
        <w:pStyle w:val="6"/>
        <w:bidi w:val="0"/>
        <w:rPr>
          <w:rFonts w:hint="eastAsia"/>
          <w:lang w:val="en-US" w:eastAsia="zh-CN"/>
        </w:rPr>
      </w:pPr>
      <w:r>
        <w:rPr>
          <w:rFonts w:hint="eastAsia"/>
          <w:lang w:val="en-US" w:eastAsia="zh-CN"/>
        </w:rPr>
        <w:t>地块区域位置</w:t>
      </w:r>
    </w:p>
    <w:p w14:paraId="29B46C62">
      <w:pP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平鲁区下面高乡王家湾村南（XMG-WJW-CN-01）地块</w:t>
      </w:r>
      <w:r>
        <w:rPr>
          <w:rFonts w:hint="eastAsia" w:ascii="宋体" w:hAnsi="宋体" w:eastAsia="宋体" w:cs="宋体"/>
          <w:b w:val="0"/>
          <w:bCs w:val="0"/>
          <w:color w:val="000000"/>
          <w:kern w:val="0"/>
          <w:sz w:val="28"/>
          <w:szCs w:val="28"/>
          <w:lang w:val="en-US" w:eastAsia="zh-CN" w:bidi="ar"/>
        </w:rPr>
        <w:t>位于山西省</w:t>
      </w:r>
      <w:r>
        <w:rPr>
          <w:rFonts w:hint="eastAsia" w:hAnsi="宋体" w:eastAsia="宋体" w:cs="宋体"/>
          <w:b w:val="0"/>
          <w:bCs w:val="0"/>
          <w:color w:val="000000"/>
          <w:kern w:val="0"/>
          <w:sz w:val="28"/>
          <w:szCs w:val="28"/>
          <w:lang w:val="en-US" w:eastAsia="zh-CN" w:bidi="ar"/>
        </w:rPr>
        <w:t>朔州</w:t>
      </w:r>
      <w:r>
        <w:rPr>
          <w:rFonts w:hint="eastAsia" w:ascii="宋体" w:hAnsi="宋体" w:eastAsia="宋体" w:cs="宋体"/>
          <w:b w:val="0"/>
          <w:bCs w:val="0"/>
          <w:color w:val="000000"/>
          <w:kern w:val="0"/>
          <w:sz w:val="28"/>
          <w:szCs w:val="28"/>
          <w:lang w:val="en-US" w:eastAsia="zh-CN" w:bidi="ar"/>
        </w:rPr>
        <w:t>市</w:t>
      </w:r>
      <w:r>
        <w:rPr>
          <w:rFonts w:hint="eastAsia" w:hAnsi="宋体" w:eastAsia="宋体" w:cs="宋体"/>
          <w:b w:val="0"/>
          <w:bCs w:val="0"/>
          <w:color w:val="000000"/>
          <w:kern w:val="0"/>
          <w:sz w:val="28"/>
          <w:szCs w:val="28"/>
          <w:lang w:val="en-US" w:eastAsia="zh-CN" w:bidi="ar"/>
        </w:rPr>
        <w:t>平鲁</w:t>
      </w:r>
      <w:r>
        <w:rPr>
          <w:rFonts w:hint="eastAsia" w:ascii="宋体" w:hAnsi="宋体" w:eastAsia="宋体" w:cs="宋体"/>
          <w:b w:val="0"/>
          <w:bCs w:val="0"/>
          <w:color w:val="000000"/>
          <w:kern w:val="0"/>
          <w:sz w:val="28"/>
          <w:szCs w:val="28"/>
          <w:lang w:val="en-US" w:eastAsia="zh-CN" w:bidi="ar"/>
        </w:rPr>
        <w:t>区</w:t>
      </w:r>
      <w:r>
        <w:rPr>
          <w:rFonts w:hint="eastAsia" w:ascii="宋体" w:hAnsi="宋体" w:eastAsia="宋体" w:cs="宋体"/>
          <w:color w:val="auto"/>
          <w:spacing w:val="0"/>
          <w:kern w:val="0"/>
          <w:sz w:val="28"/>
          <w:szCs w:val="28"/>
          <w:lang w:val="en-US" w:eastAsia="zh-CN" w:bidi="ar"/>
        </w:rPr>
        <w:t>下面高乡王家湾</w:t>
      </w:r>
      <w:r>
        <w:rPr>
          <w:rFonts w:hint="eastAsia" w:ascii="宋体" w:hAnsi="宋体" w:eastAsia="宋体" w:cs="宋体"/>
          <w:color w:val="000000"/>
          <w:spacing w:val="0"/>
          <w:kern w:val="0"/>
          <w:sz w:val="28"/>
          <w:szCs w:val="28"/>
          <w:lang w:val="en-US" w:eastAsia="zh-CN" w:bidi="ar"/>
        </w:rPr>
        <w:t>村南1km处</w:t>
      </w:r>
      <w:r>
        <w:rPr>
          <w:rFonts w:hint="eastAsia" w:ascii="宋体" w:hAnsi="宋体" w:eastAsia="宋体" w:cs="宋体"/>
          <w:color w:val="auto"/>
          <w:sz w:val="28"/>
          <w:szCs w:val="28"/>
          <w:lang w:val="en-US" w:eastAsia="zh-CN"/>
        </w:rPr>
        <w:t>，该地块已纳入平鲁区《朔州市平鲁区国土空间总体规划（2021—2035年）》。</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0D0A6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7B2A446A">
            <w:pPr>
              <w:pStyle w:val="25"/>
              <w:bidi w:val="0"/>
              <w:rPr>
                <w:rFonts w:hint="eastAsia"/>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57785</wp:posOffset>
                  </wp:positionH>
                  <wp:positionV relativeFrom="paragraph">
                    <wp:posOffset>275590</wp:posOffset>
                  </wp:positionV>
                  <wp:extent cx="2487295" cy="2150745"/>
                  <wp:effectExtent l="0" t="0" r="0" b="0"/>
                  <wp:wrapSquare wrapText="bothSides"/>
                  <wp:docPr id="6" name="图片 6" descr="1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区位"/>
                          <pic:cNvPicPr>
                            <a:picLocks noChangeAspect="1"/>
                          </pic:cNvPicPr>
                        </pic:nvPicPr>
                        <pic:blipFill>
                          <a:blip r:embed="rId7"/>
                          <a:srcRect l="49929" t="42083" r="5094" b="2952"/>
                          <a:stretch>
                            <a:fillRect/>
                          </a:stretch>
                        </pic:blipFill>
                        <pic:spPr>
                          <a:xfrm>
                            <a:off x="0" y="0"/>
                            <a:ext cx="2487295" cy="2150745"/>
                          </a:xfrm>
                          <a:prstGeom prst="rect">
                            <a:avLst/>
                          </a:prstGeom>
                        </pic:spPr>
                      </pic:pic>
                    </a:graphicData>
                  </a:graphic>
                </wp:anchor>
              </w:drawing>
            </w:r>
          </w:p>
        </w:tc>
        <w:tc>
          <w:tcPr>
            <w:tcW w:w="4261" w:type="dxa"/>
          </w:tcPr>
          <w:p w14:paraId="747A9B7D">
            <w:pPr>
              <w:pStyle w:val="25"/>
              <w:bidi w:val="0"/>
              <w:rPr>
                <w:rFonts w:hint="eastAsia"/>
                <w:lang w:val="en-US" w:eastAsia="zh-CN"/>
              </w:rPr>
            </w:pPr>
          </w:p>
          <w:p w14:paraId="4075D435">
            <w:pPr>
              <w:pStyle w:val="25"/>
              <w:bidi w:val="0"/>
              <w:rPr>
                <w:rFonts w:hint="eastAsia"/>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41910</wp:posOffset>
                  </wp:positionH>
                  <wp:positionV relativeFrom="paragraph">
                    <wp:posOffset>76200</wp:posOffset>
                  </wp:positionV>
                  <wp:extent cx="2540000" cy="2168525"/>
                  <wp:effectExtent l="0" t="0" r="5080" b="10795"/>
                  <wp:wrapSquare wrapText="bothSides"/>
                  <wp:docPr id="8" name="图片 8" descr="2空间规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空间规划"/>
                          <pic:cNvPicPr>
                            <a:picLocks noChangeAspect="1"/>
                          </pic:cNvPicPr>
                        </pic:nvPicPr>
                        <pic:blipFill>
                          <a:blip r:embed="rId8"/>
                          <a:srcRect l="26342" t="13176" r="4970" b="3900"/>
                          <a:stretch>
                            <a:fillRect/>
                          </a:stretch>
                        </pic:blipFill>
                        <pic:spPr>
                          <a:xfrm>
                            <a:off x="0" y="0"/>
                            <a:ext cx="2540000" cy="2168525"/>
                          </a:xfrm>
                          <a:prstGeom prst="rect">
                            <a:avLst/>
                          </a:prstGeom>
                        </pic:spPr>
                      </pic:pic>
                    </a:graphicData>
                  </a:graphic>
                </wp:anchor>
              </w:drawing>
            </w:r>
          </w:p>
        </w:tc>
      </w:tr>
    </w:tbl>
    <w:p w14:paraId="53A54EA5">
      <w:pPr>
        <w:pStyle w:val="10"/>
        <w:rPr>
          <w:rFonts w:hint="default" w:eastAsia="仿宋"/>
          <w:lang w:val="en-US" w:eastAsia="zh-CN"/>
        </w:rPr>
      </w:pPr>
      <w:r>
        <w:rPr>
          <w:rFonts w:hint="eastAsia"/>
          <w:lang w:val="en-US" w:eastAsia="zh-CN"/>
        </w:rPr>
        <w:t>规划地块区位图</w:t>
      </w:r>
    </w:p>
    <w:p w14:paraId="5C8C159F">
      <w:pPr>
        <w:pStyle w:val="6"/>
        <w:bidi w:val="0"/>
        <w:rPr>
          <w:rFonts w:hint="eastAsia"/>
          <w:lang w:val="en-US" w:eastAsia="zh-CN"/>
        </w:rPr>
      </w:pPr>
      <w:r>
        <w:rPr>
          <w:rFonts w:hint="eastAsia"/>
          <w:lang w:val="en-US" w:eastAsia="zh-CN"/>
        </w:rPr>
        <w:t>地块区域现状情况</w:t>
      </w:r>
    </w:p>
    <w:p w14:paraId="3039C8C0">
      <w:pPr>
        <w:pStyle w:val="15"/>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本地块用地面积为0.2558公顷（3.84亩），地块海拔高程在1280m左右，基本无高差；场地内部用地较为平整，场地现状为林地，周边无其他建构筑物分布。</w:t>
      </w:r>
    </w:p>
    <w:p w14:paraId="6A7E96D5">
      <w:pPr>
        <w:rPr>
          <w:rFonts w:hint="default"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地块南侧有乡村道路通过，由该乡村道路可连接县道X065和国道G241，交通较为便利。</w:t>
      </w:r>
    </w:p>
    <w:p w14:paraId="7F271F9E">
      <w:pPr>
        <w:pStyle w:val="6"/>
        <w:bidi w:val="0"/>
        <w:rPr>
          <w:rFonts w:hint="eastAsia"/>
          <w:lang w:val="en-US" w:eastAsia="zh-CN"/>
        </w:rPr>
      </w:pPr>
      <w:r>
        <w:rPr>
          <w:rFonts w:hint="eastAsia"/>
          <w:lang w:val="en-US" w:eastAsia="zh-CN"/>
        </w:rPr>
        <w:t>地块区域周边建设情况</w:t>
      </w:r>
    </w:p>
    <w:p w14:paraId="1CD8E51B">
      <w:pPr>
        <w:pStyle w:val="15"/>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本地块北侧、东侧、西侧均为林地，南侧为农田。地块距离南侧江平村最小距离为800米；距离西北侧王家湾村最小距离为1000米，与上述村庄距离均较远，地块规划对村庄无影响。</w:t>
      </w:r>
    </w:p>
    <w:p w14:paraId="4E56847D">
      <w:pPr>
        <w:pStyle w:val="15"/>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地块位于平鲁区城镇开发边界外，下面高乡东南部，周边市政接入条件一般。</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74C86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5A18D316">
            <w:pPr>
              <w:pStyle w:val="25"/>
              <w:bidi w:val="0"/>
              <w:rPr>
                <w:rFonts w:hint="default"/>
                <w:lang w:val="en-US" w:eastAsia="zh-CN"/>
              </w:rPr>
            </w:pPr>
            <w:r>
              <w:rPr>
                <w:rFonts w:hint="default"/>
                <w:lang w:val="en-US" w:eastAsia="zh-CN"/>
              </w:rPr>
              <w:drawing>
                <wp:inline distT="0" distB="0" distL="114300" distR="114300">
                  <wp:extent cx="4278630" cy="3110230"/>
                  <wp:effectExtent l="0" t="0" r="0" b="0"/>
                  <wp:docPr id="9" name="图片 9" descr="5周边关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周边关系"/>
                          <pic:cNvPicPr>
                            <a:picLocks noChangeAspect="1"/>
                          </pic:cNvPicPr>
                        </pic:nvPicPr>
                        <pic:blipFill>
                          <a:blip r:embed="rId9"/>
                          <a:srcRect l="14143" t="9966" r="4549" b="6451"/>
                          <a:stretch>
                            <a:fillRect/>
                          </a:stretch>
                        </pic:blipFill>
                        <pic:spPr>
                          <a:xfrm>
                            <a:off x="0" y="0"/>
                            <a:ext cx="4278630" cy="3110230"/>
                          </a:xfrm>
                          <a:prstGeom prst="rect">
                            <a:avLst/>
                          </a:prstGeom>
                        </pic:spPr>
                      </pic:pic>
                    </a:graphicData>
                  </a:graphic>
                </wp:inline>
              </w:drawing>
            </w:r>
          </w:p>
          <w:p w14:paraId="7323AA87">
            <w:pPr>
              <w:pStyle w:val="10"/>
              <w:bidi w:val="0"/>
              <w:rPr>
                <w:rFonts w:hint="default" w:eastAsia="仿宋"/>
                <w:lang w:val="en-US" w:eastAsia="zh-CN"/>
              </w:rPr>
            </w:pPr>
            <w:r>
              <w:rPr>
                <w:rFonts w:hint="eastAsia"/>
                <w:lang w:val="en-US" w:eastAsia="zh-CN"/>
              </w:rPr>
              <w:t>地块区域周边关系分析图</w:t>
            </w:r>
          </w:p>
        </w:tc>
      </w:tr>
    </w:tbl>
    <w:p w14:paraId="5D5527D5">
      <w:pPr>
        <w:pStyle w:val="4"/>
        <w:bidi w:val="0"/>
        <w:rPr>
          <w:rFonts w:hint="default"/>
          <w:lang w:val="en-US" w:eastAsia="zh-CN"/>
        </w:rPr>
      </w:pPr>
      <w:r>
        <w:rPr>
          <w:rFonts w:hint="eastAsia"/>
          <w:lang w:val="en-US" w:eastAsia="zh-CN"/>
        </w:rPr>
        <w:t>规划内容</w:t>
      </w:r>
    </w:p>
    <w:p w14:paraId="72B670B9">
      <w:pPr>
        <w:keepNext w:val="0"/>
        <w:keepLines w:val="0"/>
        <w:pageBreakBefore w:val="0"/>
        <w:widowControl/>
        <w:kinsoku/>
        <w:wordWrap/>
        <w:overflowPunct w:val="0"/>
        <w:topLinePunct w:val="0"/>
        <w:autoSpaceDE w:val="0"/>
        <w:autoSpaceDN w:val="0"/>
        <w:bidi w:val="0"/>
        <w:adjustRightInd w:val="0"/>
        <w:snapToGrid/>
        <w:spacing w:line="360" w:lineRule="auto"/>
        <w:ind w:firstLine="560" w:firstLineChars="200"/>
        <w:textAlignment w:val="baseline"/>
        <w:rPr>
          <w:rFonts w:hint="default" w:ascii="宋体" w:hAnsi="宋体" w:eastAsia="宋体" w:cs="宋体"/>
          <w:color w:val="auto"/>
          <w:spacing w:val="0"/>
          <w:sz w:val="28"/>
          <w:szCs w:val="28"/>
          <w:lang w:val="en-US" w:eastAsia="zh-CN"/>
        </w:rPr>
      </w:pPr>
      <w:r>
        <w:rPr>
          <w:rFonts w:hint="default" w:ascii="宋体" w:hAnsi="宋体" w:eastAsia="宋体" w:cs="宋体"/>
          <w:color w:val="auto"/>
          <w:spacing w:val="0"/>
          <w:sz w:val="28"/>
          <w:szCs w:val="28"/>
          <w:lang w:val="en-US" w:eastAsia="zh-CN"/>
        </w:rPr>
        <w:t>本次</w:t>
      </w:r>
      <w:r>
        <w:rPr>
          <w:rFonts w:hint="eastAsia" w:ascii="宋体" w:hAnsi="宋体" w:eastAsia="宋体" w:cs="宋体"/>
          <w:color w:val="auto"/>
          <w:spacing w:val="0"/>
          <w:sz w:val="28"/>
          <w:szCs w:val="28"/>
          <w:lang w:val="en-US" w:eastAsia="zh-CN"/>
        </w:rPr>
        <w:t>实施性详细规划</w:t>
      </w:r>
      <w:r>
        <w:rPr>
          <w:rFonts w:hint="default" w:ascii="宋体" w:hAnsi="宋体" w:eastAsia="宋体" w:cs="宋体"/>
          <w:color w:val="auto"/>
          <w:spacing w:val="0"/>
          <w:sz w:val="28"/>
          <w:szCs w:val="28"/>
          <w:lang w:val="en-US" w:eastAsia="zh-CN"/>
        </w:rPr>
        <w:t>涉及用地性质及控制指标。</w:t>
      </w:r>
    </w:p>
    <w:p w14:paraId="23F93FCF">
      <w:pPr>
        <w:pStyle w:val="6"/>
        <w:bidi w:val="0"/>
        <w:rPr>
          <w:rFonts w:hint="eastAsia"/>
          <w:lang w:val="en-US" w:eastAsia="zh-CN"/>
        </w:rPr>
      </w:pPr>
      <w:r>
        <w:rPr>
          <w:rFonts w:hint="eastAsia"/>
          <w:lang w:val="en-US" w:eastAsia="zh-CN"/>
        </w:rPr>
        <w:t>用地性质调整</w:t>
      </w:r>
    </w:p>
    <w:p w14:paraId="50D1DB6C">
      <w:pPr>
        <w:keepNext w:val="0"/>
        <w:keepLines w:val="0"/>
        <w:pageBreakBefore w:val="0"/>
        <w:widowControl/>
        <w:kinsoku/>
        <w:wordWrap/>
        <w:overflowPunct w:val="0"/>
        <w:topLinePunct w:val="0"/>
        <w:autoSpaceDE w:val="0"/>
        <w:autoSpaceDN w:val="0"/>
        <w:bidi w:val="0"/>
        <w:adjustRightInd w:val="0"/>
        <w:snapToGrid/>
        <w:spacing w:line="360" w:lineRule="auto"/>
        <w:ind w:firstLine="560" w:firstLineChars="200"/>
        <w:textAlignment w:val="baseline"/>
        <w:rPr>
          <w:rFonts w:hint="eastAsia" w:ascii="宋体" w:hAnsi="宋体" w:eastAsia="宋体" w:cs="宋体"/>
          <w:color w:val="auto"/>
          <w:spacing w:val="0"/>
          <w:sz w:val="28"/>
          <w:szCs w:val="28"/>
          <w:lang w:val="en-US" w:eastAsia="zh-CN"/>
        </w:rPr>
      </w:pPr>
      <w:r>
        <w:rPr>
          <w:rFonts w:hint="eastAsia" w:ascii="宋体" w:hAnsi="宋体" w:eastAsia="宋体" w:cs="宋体"/>
          <w:color w:val="auto"/>
          <w:spacing w:val="0"/>
          <w:sz w:val="28"/>
          <w:szCs w:val="28"/>
          <w:lang w:val="en-US" w:eastAsia="zh-CN"/>
        </w:rPr>
        <w:t>对照《国土空间调查、规划、用途管制用地用海分类指南》，本项目变电站用地性质属于公用设施用地中的供电用地，用地代码为1303。</w:t>
      </w:r>
    </w:p>
    <w:p w14:paraId="1EDA8526">
      <w:pPr>
        <w:pStyle w:val="6"/>
        <w:bidi w:val="0"/>
        <w:rPr>
          <w:rFonts w:hint="default" w:ascii="Times New Roman" w:hAnsi="Times New Roman"/>
          <w:lang w:val="en-US" w:eastAsia="zh-CN"/>
        </w:rPr>
      </w:pPr>
      <w:r>
        <w:rPr>
          <w:rFonts w:hint="eastAsia" w:ascii="Times New Roman" w:hAnsi="Times New Roman"/>
          <w:lang w:val="en-US" w:eastAsia="zh-CN"/>
        </w:rPr>
        <w:t>2、控制指标</w:t>
      </w:r>
    </w:p>
    <w:p w14:paraId="2BF6C473">
      <w:pPr>
        <w:keepNext w:val="0"/>
        <w:keepLines w:val="0"/>
        <w:pageBreakBefore w:val="0"/>
        <w:widowControl/>
        <w:kinsoku/>
        <w:wordWrap/>
        <w:overflowPunct w:val="0"/>
        <w:topLinePunct w:val="0"/>
        <w:autoSpaceDE w:val="0"/>
        <w:autoSpaceDN w:val="0"/>
        <w:bidi w:val="0"/>
        <w:adjustRightInd w:val="0"/>
        <w:snapToGrid/>
        <w:spacing w:line="360" w:lineRule="auto"/>
        <w:ind w:firstLine="560" w:firstLineChars="200"/>
        <w:textAlignment w:val="baseline"/>
        <w:rPr>
          <w:rFonts w:hint="eastAsia" w:ascii="宋体" w:hAnsi="宋体" w:eastAsia="宋体" w:cs="宋体"/>
          <w:color w:val="auto"/>
          <w:spacing w:val="0"/>
          <w:sz w:val="28"/>
          <w:szCs w:val="28"/>
          <w:lang w:val="en-US" w:eastAsia="zh-CN"/>
        </w:rPr>
      </w:pPr>
      <w:r>
        <w:rPr>
          <w:rFonts w:hint="eastAsia" w:ascii="宋体" w:hAnsi="宋体" w:eastAsia="宋体" w:cs="宋体"/>
          <w:color w:val="auto"/>
          <w:spacing w:val="0"/>
          <w:sz w:val="28"/>
          <w:szCs w:val="28"/>
          <w:lang w:val="en-US" w:eastAsia="zh-CN"/>
        </w:rPr>
        <w:t>本规划确定容积率控制如下：容积率为≤0.5。</w:t>
      </w:r>
    </w:p>
    <w:p w14:paraId="6EFF1242">
      <w:pPr>
        <w:keepNext w:val="0"/>
        <w:keepLines w:val="0"/>
        <w:pageBreakBefore w:val="0"/>
        <w:widowControl/>
        <w:kinsoku/>
        <w:wordWrap/>
        <w:overflowPunct w:val="0"/>
        <w:topLinePunct w:val="0"/>
        <w:autoSpaceDE w:val="0"/>
        <w:autoSpaceDN w:val="0"/>
        <w:bidi w:val="0"/>
        <w:adjustRightInd w:val="0"/>
        <w:snapToGrid/>
        <w:spacing w:line="360" w:lineRule="auto"/>
        <w:ind w:firstLine="560" w:firstLineChars="200"/>
        <w:textAlignment w:val="baseline"/>
        <w:rPr>
          <w:rFonts w:hint="eastAsia" w:ascii="宋体" w:hAnsi="宋体" w:eastAsia="宋体" w:cs="宋体"/>
          <w:color w:val="auto"/>
          <w:spacing w:val="0"/>
          <w:sz w:val="28"/>
          <w:szCs w:val="28"/>
          <w:lang w:val="en-US" w:eastAsia="zh-CN"/>
        </w:rPr>
      </w:pPr>
      <w:r>
        <w:rPr>
          <w:rFonts w:hint="eastAsia" w:ascii="宋体" w:hAnsi="宋体" w:eastAsia="宋体" w:cs="宋体"/>
          <w:color w:val="auto"/>
          <w:spacing w:val="0"/>
          <w:sz w:val="28"/>
          <w:szCs w:val="28"/>
          <w:lang w:val="en-US" w:eastAsia="zh-CN"/>
        </w:rPr>
        <w:t>本规划确定建筑系数控制如下：建筑密度为≤30%。</w:t>
      </w:r>
    </w:p>
    <w:p w14:paraId="7BECAE11">
      <w:pPr>
        <w:keepNext w:val="0"/>
        <w:keepLines w:val="0"/>
        <w:pageBreakBefore w:val="0"/>
        <w:widowControl/>
        <w:kinsoku/>
        <w:wordWrap/>
        <w:overflowPunct w:val="0"/>
        <w:topLinePunct w:val="0"/>
        <w:autoSpaceDE w:val="0"/>
        <w:autoSpaceDN w:val="0"/>
        <w:bidi w:val="0"/>
        <w:adjustRightInd w:val="0"/>
        <w:snapToGrid/>
        <w:spacing w:line="360" w:lineRule="auto"/>
        <w:ind w:firstLine="560" w:firstLineChars="200"/>
        <w:textAlignment w:val="baseline"/>
        <w:rPr>
          <w:rFonts w:hint="eastAsia" w:ascii="宋体" w:hAnsi="宋体" w:eastAsia="宋体" w:cs="宋体"/>
          <w:color w:val="auto"/>
          <w:spacing w:val="0"/>
          <w:sz w:val="28"/>
          <w:szCs w:val="28"/>
          <w:lang w:val="en-US" w:eastAsia="zh-CN"/>
        </w:rPr>
      </w:pPr>
      <w:r>
        <w:rPr>
          <w:rFonts w:hint="eastAsia" w:ascii="宋体" w:hAnsi="宋体" w:eastAsia="宋体" w:cs="宋体"/>
          <w:color w:val="auto"/>
          <w:spacing w:val="0"/>
          <w:sz w:val="28"/>
          <w:szCs w:val="28"/>
          <w:lang w:val="en-US" w:eastAsia="zh-CN"/>
        </w:rPr>
        <w:t>本规划确定绿地率控制如下：绿地率为≥10%。</w:t>
      </w:r>
    </w:p>
    <w:p w14:paraId="4717A6FC">
      <w:pPr>
        <w:keepNext w:val="0"/>
        <w:keepLines w:val="0"/>
        <w:pageBreakBefore w:val="0"/>
        <w:widowControl/>
        <w:kinsoku/>
        <w:wordWrap/>
        <w:overflowPunct w:val="0"/>
        <w:topLinePunct w:val="0"/>
        <w:autoSpaceDE w:val="0"/>
        <w:autoSpaceDN w:val="0"/>
        <w:bidi w:val="0"/>
        <w:adjustRightInd w:val="0"/>
        <w:snapToGrid/>
        <w:spacing w:line="360" w:lineRule="auto"/>
        <w:ind w:firstLine="560" w:firstLineChars="200"/>
        <w:textAlignment w:val="baseline"/>
        <w:rPr>
          <w:rFonts w:hint="eastAsia" w:ascii="宋体" w:hAnsi="宋体" w:eastAsia="宋体" w:cs="宋体"/>
          <w:color w:val="auto"/>
          <w:spacing w:val="0"/>
          <w:sz w:val="28"/>
          <w:szCs w:val="28"/>
          <w:lang w:val="en-US" w:eastAsia="zh-CN"/>
        </w:rPr>
      </w:pPr>
      <w:r>
        <w:rPr>
          <w:rFonts w:hint="eastAsia" w:ascii="宋体" w:hAnsi="宋体" w:eastAsia="宋体" w:cs="宋体"/>
          <w:color w:val="auto"/>
          <w:spacing w:val="0"/>
          <w:sz w:val="28"/>
          <w:szCs w:val="28"/>
          <w:lang w:val="en-US" w:eastAsia="zh-CN"/>
        </w:rPr>
        <w:t>本规划确定建筑高度控制如下：建筑高度为≤15m。本报告限高的要求仅对建筑物，不包含对地块内构筑物、变电设施、设备的高度要求。</w:t>
      </w:r>
    </w:p>
    <w:p w14:paraId="7A112BCC">
      <w:pPr>
        <w:keepNext w:val="0"/>
        <w:keepLines w:val="0"/>
        <w:pageBreakBefore w:val="0"/>
        <w:widowControl/>
        <w:kinsoku/>
        <w:wordWrap/>
        <w:overflowPunct w:val="0"/>
        <w:topLinePunct w:val="0"/>
        <w:autoSpaceDE w:val="0"/>
        <w:autoSpaceDN w:val="0"/>
        <w:bidi w:val="0"/>
        <w:adjustRightInd w:val="0"/>
        <w:snapToGrid/>
        <w:spacing w:line="360" w:lineRule="auto"/>
        <w:ind w:firstLine="560" w:firstLineChars="200"/>
        <w:textAlignment w:val="baseline"/>
        <w:rPr>
          <w:rFonts w:hint="eastAsia" w:ascii="宋体" w:hAnsi="宋体" w:eastAsia="宋体" w:cs="宋体"/>
          <w:color w:val="auto"/>
          <w:spacing w:val="0"/>
          <w:sz w:val="28"/>
          <w:szCs w:val="28"/>
          <w:lang w:val="en-US" w:eastAsia="zh-CN"/>
        </w:rPr>
      </w:pPr>
      <w:r>
        <w:rPr>
          <w:rFonts w:hint="eastAsia" w:ascii="宋体" w:hAnsi="宋体" w:eastAsia="宋体" w:cs="宋体"/>
          <w:color w:val="auto"/>
          <w:spacing w:val="0"/>
          <w:sz w:val="28"/>
          <w:szCs w:val="28"/>
          <w:lang w:val="en-US" w:eastAsia="zh-CN"/>
        </w:rPr>
        <w:t>本项目建筑退界：按后退用地边界不小于3m进行控制。</w:t>
      </w:r>
    </w:p>
    <w:p w14:paraId="5DE99A05">
      <w:pPr>
        <w:keepNext w:val="0"/>
        <w:keepLines w:val="0"/>
        <w:pageBreakBefore w:val="0"/>
        <w:widowControl/>
        <w:kinsoku/>
        <w:wordWrap/>
        <w:overflowPunct w:val="0"/>
        <w:topLinePunct w:val="0"/>
        <w:autoSpaceDE w:val="0"/>
        <w:autoSpaceDN w:val="0"/>
        <w:bidi w:val="0"/>
        <w:adjustRightInd w:val="0"/>
        <w:snapToGrid/>
        <w:spacing w:line="360" w:lineRule="auto"/>
        <w:ind w:firstLine="560" w:firstLineChars="200"/>
        <w:textAlignment w:val="baseline"/>
        <w:rPr>
          <w:rFonts w:hint="eastAsia" w:ascii="宋体" w:hAnsi="宋体" w:eastAsia="宋体" w:cs="宋体"/>
          <w:color w:val="auto"/>
          <w:spacing w:val="0"/>
          <w:sz w:val="28"/>
          <w:szCs w:val="28"/>
          <w:lang w:val="en-US" w:eastAsia="zh-CN"/>
        </w:rPr>
      </w:pPr>
      <w:r>
        <w:rPr>
          <w:rFonts w:hint="eastAsia" w:ascii="宋体" w:hAnsi="宋体" w:eastAsia="宋体" w:cs="宋体"/>
          <w:color w:val="auto"/>
          <w:spacing w:val="0"/>
          <w:sz w:val="28"/>
          <w:szCs w:val="28"/>
          <w:lang w:val="en-US" w:eastAsia="zh-CN"/>
        </w:rPr>
        <w:t>地块出入口方位：出入口方位为南侧。</w:t>
      </w:r>
    </w:p>
    <w:p w14:paraId="5A969813">
      <w:pPr>
        <w:keepNext w:val="0"/>
        <w:keepLines w:val="0"/>
        <w:pageBreakBefore w:val="0"/>
        <w:widowControl/>
        <w:kinsoku/>
        <w:wordWrap/>
        <w:overflowPunct w:val="0"/>
        <w:topLinePunct w:val="0"/>
        <w:autoSpaceDE w:val="0"/>
        <w:autoSpaceDN w:val="0"/>
        <w:bidi w:val="0"/>
        <w:adjustRightInd w:val="0"/>
        <w:snapToGrid/>
        <w:spacing w:line="360" w:lineRule="auto"/>
        <w:ind w:firstLine="560" w:firstLineChars="200"/>
        <w:textAlignment w:val="baseline"/>
        <w:rPr>
          <w:rFonts w:hint="eastAsia" w:ascii="宋体" w:hAnsi="宋体" w:eastAsia="宋体" w:cs="宋体"/>
          <w:color w:val="auto"/>
          <w:spacing w:val="0"/>
          <w:sz w:val="28"/>
          <w:szCs w:val="28"/>
          <w:lang w:val="en-US" w:eastAsia="zh-CN"/>
        </w:rPr>
      </w:pPr>
      <w:r>
        <w:rPr>
          <w:rFonts w:hint="eastAsia" w:ascii="宋体" w:hAnsi="宋体" w:eastAsia="宋体" w:cs="宋体"/>
          <w:color w:val="auto"/>
          <w:spacing w:val="0"/>
          <w:sz w:val="28"/>
          <w:szCs w:val="28"/>
          <w:lang w:val="en-US" w:eastAsia="zh-CN"/>
        </w:rPr>
        <w:t>静态交通规划：地块机动车配建停车泊位指标为不小于0.15车位/100m</w:t>
      </w:r>
      <w:r>
        <w:rPr>
          <w:rFonts w:hint="eastAsia" w:ascii="宋体" w:hAnsi="宋体" w:eastAsia="宋体" w:cs="宋体"/>
          <w:color w:val="auto"/>
          <w:spacing w:val="0"/>
          <w:sz w:val="28"/>
          <w:szCs w:val="28"/>
          <w:vertAlign w:val="superscript"/>
          <w:lang w:val="en-US" w:eastAsia="zh-CN"/>
        </w:rPr>
        <w:t>2</w:t>
      </w:r>
      <w:r>
        <w:rPr>
          <w:rFonts w:hint="eastAsia" w:ascii="宋体" w:hAnsi="宋体" w:eastAsia="宋体" w:cs="宋体"/>
          <w:color w:val="auto"/>
          <w:spacing w:val="0"/>
          <w:sz w:val="28"/>
          <w:szCs w:val="28"/>
          <w:lang w:val="en-US" w:eastAsia="zh-CN"/>
        </w:rPr>
        <w:t>建筑面积。</w:t>
      </w:r>
    </w:p>
    <w:p w14:paraId="3E0DA967">
      <w:pPr>
        <w:keepLines w:val="0"/>
        <w:pageBreakBefore w:val="0"/>
        <w:wordWrap/>
        <w:overflowPunct w:val="0"/>
        <w:topLinePunct w:val="0"/>
        <w:bidi w:val="0"/>
        <w:spacing w:line="360" w:lineRule="auto"/>
        <w:ind w:firstLine="562" w:firstLineChars="20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控制指标表</w:t>
      </w:r>
    </w:p>
    <w:tbl>
      <w:tblPr>
        <w:tblStyle w:val="22"/>
        <w:tblW w:w="514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629"/>
        <w:gridCol w:w="6245"/>
      </w:tblGrid>
      <w:tr w14:paraId="35141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8" w:type="pct"/>
            <w:tcBorders>
              <w:top w:val="single" w:color="auto" w:sz="4" w:space="0"/>
              <w:left w:val="single" w:color="auto" w:sz="4" w:space="0"/>
              <w:right w:val="single" w:color="auto" w:sz="4" w:space="0"/>
            </w:tcBorders>
            <w:noWrap w:val="0"/>
            <w:vAlign w:val="center"/>
          </w:tcPr>
          <w:p w14:paraId="58B8DF6C">
            <w:pPr>
              <w:pStyle w:val="11"/>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line="240" w:lineRule="auto"/>
              <w:ind w:left="0" w:leftChars="0" w:right="0" w:firstLine="0" w:firstLineChars="0"/>
              <w:jc w:val="center"/>
              <w:textAlignment w:val="auto"/>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序号</w:t>
            </w:r>
          </w:p>
        </w:tc>
        <w:tc>
          <w:tcPr>
            <w:tcW w:w="929" w:type="pct"/>
            <w:tcBorders>
              <w:top w:val="single" w:color="auto" w:sz="4" w:space="0"/>
              <w:left w:val="single" w:color="auto" w:sz="4" w:space="0"/>
              <w:right w:val="single" w:color="auto" w:sz="4" w:space="0"/>
            </w:tcBorders>
            <w:noWrap w:val="0"/>
            <w:vAlign w:val="center"/>
          </w:tcPr>
          <w:p w14:paraId="2C8128AD">
            <w:pPr>
              <w:pStyle w:val="11"/>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line="240" w:lineRule="auto"/>
              <w:ind w:left="0" w:leftChars="0" w:right="0" w:firstLine="0" w:firstLineChars="0"/>
              <w:jc w:val="center"/>
              <w:textAlignment w:val="auto"/>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指标类型</w:t>
            </w:r>
          </w:p>
        </w:tc>
        <w:tc>
          <w:tcPr>
            <w:tcW w:w="3562" w:type="pct"/>
            <w:tcBorders>
              <w:top w:val="single" w:color="auto" w:sz="4" w:space="0"/>
              <w:left w:val="single" w:color="auto" w:sz="4" w:space="0"/>
              <w:bottom w:val="single" w:color="auto" w:sz="4" w:space="0"/>
              <w:right w:val="single" w:color="auto" w:sz="4" w:space="0"/>
            </w:tcBorders>
            <w:noWrap w:val="0"/>
            <w:vAlign w:val="center"/>
          </w:tcPr>
          <w:p w14:paraId="359CE6C9">
            <w:pPr>
              <w:pStyle w:val="11"/>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line="240" w:lineRule="auto"/>
              <w:ind w:left="0" w:leftChars="0" w:right="0" w:firstLine="0" w:firstLine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控制指标</w:t>
            </w:r>
          </w:p>
        </w:tc>
      </w:tr>
      <w:tr w14:paraId="2EDBD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8" w:type="pct"/>
            <w:tcBorders>
              <w:top w:val="single" w:color="auto" w:sz="4" w:space="0"/>
              <w:left w:val="single" w:color="auto" w:sz="4" w:space="0"/>
              <w:right w:val="single" w:color="auto" w:sz="4" w:space="0"/>
            </w:tcBorders>
            <w:noWrap w:val="0"/>
            <w:vAlign w:val="center"/>
          </w:tcPr>
          <w:p w14:paraId="02DABE21">
            <w:pPr>
              <w:pStyle w:val="11"/>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line="240" w:lineRule="auto"/>
              <w:ind w:left="0" w:leftChars="0" w:right="0" w:firstLine="0" w:firstLineChars="0"/>
              <w:jc w:val="center"/>
              <w:textAlignment w:val="auto"/>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color w:val="auto"/>
                <w:sz w:val="24"/>
                <w:szCs w:val="24"/>
                <w:highlight w:val="none"/>
                <w:vertAlign w:val="baseline"/>
                <w:lang w:val="en-US" w:eastAsia="zh-CN"/>
              </w:rPr>
              <w:t>1</w:t>
            </w:r>
          </w:p>
        </w:tc>
        <w:tc>
          <w:tcPr>
            <w:tcW w:w="929" w:type="pct"/>
            <w:tcBorders>
              <w:top w:val="single" w:color="auto" w:sz="4" w:space="0"/>
              <w:left w:val="single" w:color="auto" w:sz="4" w:space="0"/>
              <w:right w:val="single" w:color="auto" w:sz="4" w:space="0"/>
            </w:tcBorders>
            <w:noWrap w:val="0"/>
            <w:vAlign w:val="center"/>
          </w:tcPr>
          <w:p w14:paraId="096548AB">
            <w:pPr>
              <w:pStyle w:val="11"/>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line="240" w:lineRule="auto"/>
              <w:ind w:left="0" w:leftChars="0" w:right="0" w:firstLine="0" w:firstLineChars="0"/>
              <w:jc w:val="center"/>
              <w:textAlignment w:val="auto"/>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用地编码</w:t>
            </w:r>
          </w:p>
        </w:tc>
        <w:tc>
          <w:tcPr>
            <w:tcW w:w="3562" w:type="pct"/>
            <w:tcBorders>
              <w:top w:val="single" w:color="auto" w:sz="4" w:space="0"/>
              <w:left w:val="single" w:color="auto" w:sz="4" w:space="0"/>
              <w:bottom w:val="single" w:color="auto" w:sz="4" w:space="0"/>
              <w:right w:val="single" w:color="auto" w:sz="4" w:space="0"/>
            </w:tcBorders>
            <w:noWrap w:val="0"/>
            <w:vAlign w:val="center"/>
          </w:tcPr>
          <w:p w14:paraId="6DE84D58">
            <w:pPr>
              <w:pStyle w:val="11"/>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line="240" w:lineRule="auto"/>
              <w:ind w:left="0" w:leftChars="0" w:right="0" w:firstLine="0" w:firstLineChars="0"/>
              <w:jc w:val="center"/>
              <w:textAlignment w:val="auto"/>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pacing w:val="7"/>
                <w:kern w:val="2"/>
                <w:sz w:val="24"/>
                <w:szCs w:val="24"/>
                <w:lang w:val="en-US" w:eastAsia="zh-CN" w:bidi="ar-SA"/>
              </w:rPr>
              <w:t>XMG-WJW-CN-01</w:t>
            </w:r>
          </w:p>
        </w:tc>
      </w:tr>
      <w:tr w14:paraId="2D4E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8" w:type="pct"/>
            <w:tcBorders>
              <w:top w:val="single" w:color="auto" w:sz="4" w:space="0"/>
              <w:left w:val="single" w:color="auto" w:sz="4" w:space="0"/>
              <w:bottom w:val="single" w:color="auto" w:sz="4" w:space="0"/>
              <w:right w:val="single" w:color="auto" w:sz="4" w:space="0"/>
            </w:tcBorders>
            <w:noWrap w:val="0"/>
            <w:vAlign w:val="center"/>
          </w:tcPr>
          <w:p w14:paraId="0D1BB32B">
            <w:pPr>
              <w:pStyle w:val="11"/>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line="240" w:lineRule="auto"/>
              <w:ind w:left="0" w:leftChars="0" w:right="0" w:firstLine="0" w:firstLineChars="0"/>
              <w:jc w:val="center"/>
              <w:textAlignment w:val="auto"/>
              <w:rPr>
                <w:rFonts w:hint="default"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color w:val="auto"/>
                <w:sz w:val="24"/>
                <w:szCs w:val="24"/>
                <w:highlight w:val="none"/>
                <w:vertAlign w:val="baseline"/>
                <w:lang w:val="en-US" w:eastAsia="zh-CN"/>
              </w:rPr>
              <w:t>2</w:t>
            </w:r>
          </w:p>
        </w:tc>
        <w:tc>
          <w:tcPr>
            <w:tcW w:w="929" w:type="pct"/>
            <w:tcBorders>
              <w:top w:val="single" w:color="auto" w:sz="4" w:space="0"/>
              <w:left w:val="single" w:color="auto" w:sz="4" w:space="0"/>
              <w:bottom w:val="single" w:color="auto" w:sz="4" w:space="0"/>
              <w:right w:val="single" w:color="auto" w:sz="4" w:space="0"/>
            </w:tcBorders>
            <w:noWrap w:val="0"/>
            <w:vAlign w:val="center"/>
          </w:tcPr>
          <w:p w14:paraId="3B144EFD">
            <w:pPr>
              <w:pStyle w:val="11"/>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line="240" w:lineRule="auto"/>
              <w:ind w:left="0" w:leftChars="0" w:right="0" w:firstLine="0" w:firstLine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用地性质</w:t>
            </w:r>
          </w:p>
        </w:tc>
        <w:tc>
          <w:tcPr>
            <w:tcW w:w="3562" w:type="pct"/>
            <w:tcBorders>
              <w:top w:val="single" w:color="auto" w:sz="4" w:space="0"/>
              <w:left w:val="single" w:color="auto" w:sz="4" w:space="0"/>
              <w:bottom w:val="single" w:color="auto" w:sz="4" w:space="0"/>
              <w:right w:val="single" w:color="auto" w:sz="4" w:space="0"/>
            </w:tcBorders>
            <w:noWrap w:val="0"/>
            <w:vAlign w:val="center"/>
          </w:tcPr>
          <w:p w14:paraId="3B241D51">
            <w:pPr>
              <w:pStyle w:val="11"/>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line="240" w:lineRule="auto"/>
              <w:ind w:left="0" w:leftChars="0" w:right="0" w:firstLine="0" w:firstLine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1303供电用地</w:t>
            </w:r>
          </w:p>
        </w:tc>
      </w:tr>
      <w:tr w14:paraId="5249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8" w:type="pct"/>
            <w:tcBorders>
              <w:top w:val="single" w:color="auto" w:sz="4" w:space="0"/>
              <w:left w:val="single" w:color="auto" w:sz="4" w:space="0"/>
              <w:bottom w:val="single" w:color="auto" w:sz="4" w:space="0"/>
              <w:right w:val="single" w:color="auto" w:sz="4" w:space="0"/>
            </w:tcBorders>
            <w:noWrap w:val="0"/>
            <w:vAlign w:val="center"/>
          </w:tcPr>
          <w:p w14:paraId="670083D1">
            <w:pPr>
              <w:pStyle w:val="11"/>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line="240" w:lineRule="auto"/>
              <w:ind w:left="0" w:leftChars="0" w:right="0" w:firstLine="0" w:firstLineChars="0"/>
              <w:jc w:val="center"/>
              <w:textAlignment w:val="auto"/>
              <w:rPr>
                <w:rFonts w:hint="default"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color w:val="auto"/>
                <w:sz w:val="24"/>
                <w:szCs w:val="24"/>
                <w:highlight w:val="none"/>
                <w:vertAlign w:val="baseline"/>
                <w:lang w:val="en-US" w:eastAsia="zh-CN"/>
              </w:rPr>
              <w:t>3</w:t>
            </w:r>
          </w:p>
        </w:tc>
        <w:tc>
          <w:tcPr>
            <w:tcW w:w="929" w:type="pct"/>
            <w:tcBorders>
              <w:top w:val="single" w:color="auto" w:sz="4" w:space="0"/>
              <w:left w:val="single" w:color="auto" w:sz="4" w:space="0"/>
              <w:bottom w:val="single" w:color="auto" w:sz="4" w:space="0"/>
              <w:right w:val="single" w:color="auto" w:sz="4" w:space="0"/>
            </w:tcBorders>
            <w:noWrap w:val="0"/>
            <w:vAlign w:val="center"/>
          </w:tcPr>
          <w:p w14:paraId="57249D77">
            <w:pPr>
              <w:pStyle w:val="11"/>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line="240" w:lineRule="auto"/>
              <w:ind w:left="0" w:leftChars="0" w:right="0" w:firstLine="0" w:firstLine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用地面积</w:t>
            </w:r>
          </w:p>
        </w:tc>
        <w:tc>
          <w:tcPr>
            <w:tcW w:w="3562" w:type="pct"/>
            <w:tcBorders>
              <w:top w:val="single" w:color="auto" w:sz="4" w:space="0"/>
              <w:left w:val="single" w:color="auto" w:sz="4" w:space="0"/>
              <w:bottom w:val="single" w:color="auto" w:sz="4" w:space="0"/>
              <w:right w:val="single" w:color="auto" w:sz="4" w:space="0"/>
            </w:tcBorders>
            <w:noWrap w:val="0"/>
            <w:vAlign w:val="center"/>
          </w:tcPr>
          <w:p w14:paraId="30A569EE">
            <w:pPr>
              <w:pStyle w:val="11"/>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line="240" w:lineRule="auto"/>
              <w:ind w:left="0" w:leftChars="0" w:right="0" w:firstLine="0" w:firstLine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0.2558公顷</w:t>
            </w:r>
          </w:p>
        </w:tc>
      </w:tr>
      <w:tr w14:paraId="37C5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8" w:type="pct"/>
            <w:tcBorders>
              <w:top w:val="single" w:color="auto" w:sz="4" w:space="0"/>
              <w:left w:val="single" w:color="auto" w:sz="4" w:space="0"/>
              <w:bottom w:val="single" w:color="auto" w:sz="4" w:space="0"/>
              <w:right w:val="single" w:color="auto" w:sz="4" w:space="0"/>
            </w:tcBorders>
            <w:noWrap w:val="0"/>
            <w:vAlign w:val="center"/>
          </w:tcPr>
          <w:p w14:paraId="3E4DCEA4">
            <w:pPr>
              <w:pStyle w:val="11"/>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line="240" w:lineRule="auto"/>
              <w:ind w:left="0" w:leftChars="0" w:right="0" w:firstLine="0" w:firstLineChars="0"/>
              <w:jc w:val="center"/>
              <w:textAlignment w:val="auto"/>
              <w:rPr>
                <w:rFonts w:hint="default"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color w:val="auto"/>
                <w:sz w:val="24"/>
                <w:szCs w:val="24"/>
                <w:highlight w:val="none"/>
                <w:vertAlign w:val="baseline"/>
                <w:lang w:val="en-US" w:eastAsia="zh-CN"/>
              </w:rPr>
              <w:t>4</w:t>
            </w:r>
          </w:p>
        </w:tc>
        <w:tc>
          <w:tcPr>
            <w:tcW w:w="929" w:type="pct"/>
            <w:tcBorders>
              <w:top w:val="single" w:color="auto" w:sz="4" w:space="0"/>
              <w:left w:val="single" w:color="auto" w:sz="4" w:space="0"/>
              <w:bottom w:val="single" w:color="auto" w:sz="4" w:space="0"/>
              <w:right w:val="single" w:color="auto" w:sz="4" w:space="0"/>
            </w:tcBorders>
            <w:noWrap w:val="0"/>
            <w:vAlign w:val="center"/>
          </w:tcPr>
          <w:p w14:paraId="7B697B19">
            <w:pPr>
              <w:pStyle w:val="11"/>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line="240" w:lineRule="auto"/>
              <w:ind w:left="0" w:leftChars="0" w:right="0" w:firstLine="0" w:firstLine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容积率</w:t>
            </w:r>
          </w:p>
        </w:tc>
        <w:tc>
          <w:tcPr>
            <w:tcW w:w="3562" w:type="pct"/>
            <w:tcBorders>
              <w:top w:val="single" w:color="auto" w:sz="4" w:space="0"/>
              <w:left w:val="single" w:color="auto" w:sz="4" w:space="0"/>
              <w:bottom w:val="single" w:color="auto" w:sz="4" w:space="0"/>
              <w:right w:val="single" w:color="auto" w:sz="4" w:space="0"/>
            </w:tcBorders>
            <w:noWrap w:val="0"/>
            <w:vAlign w:val="center"/>
          </w:tcPr>
          <w:p w14:paraId="14260185">
            <w:pPr>
              <w:pStyle w:val="11"/>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≤0.5</w:t>
            </w:r>
          </w:p>
        </w:tc>
      </w:tr>
      <w:tr w14:paraId="2FB9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8" w:type="pct"/>
            <w:tcBorders>
              <w:top w:val="single" w:color="auto" w:sz="4" w:space="0"/>
              <w:left w:val="single" w:color="auto" w:sz="4" w:space="0"/>
              <w:bottom w:val="single" w:color="auto" w:sz="4" w:space="0"/>
              <w:right w:val="single" w:color="auto" w:sz="4" w:space="0"/>
            </w:tcBorders>
            <w:noWrap w:val="0"/>
            <w:vAlign w:val="center"/>
          </w:tcPr>
          <w:p w14:paraId="540F389A">
            <w:pPr>
              <w:pStyle w:val="11"/>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line="240" w:lineRule="auto"/>
              <w:ind w:left="0" w:leftChars="0" w:right="0" w:firstLine="0" w:firstLineChars="0"/>
              <w:jc w:val="center"/>
              <w:textAlignment w:val="auto"/>
              <w:rPr>
                <w:rFonts w:hint="default"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color w:val="auto"/>
                <w:sz w:val="24"/>
                <w:szCs w:val="24"/>
                <w:highlight w:val="none"/>
                <w:vertAlign w:val="baseline"/>
                <w:lang w:val="en-US" w:eastAsia="zh-CN"/>
              </w:rPr>
              <w:t>5</w:t>
            </w:r>
          </w:p>
        </w:tc>
        <w:tc>
          <w:tcPr>
            <w:tcW w:w="929" w:type="pct"/>
            <w:tcBorders>
              <w:top w:val="single" w:color="auto" w:sz="4" w:space="0"/>
              <w:left w:val="single" w:color="auto" w:sz="4" w:space="0"/>
              <w:bottom w:val="single" w:color="auto" w:sz="4" w:space="0"/>
              <w:right w:val="single" w:color="auto" w:sz="4" w:space="0"/>
            </w:tcBorders>
            <w:noWrap w:val="0"/>
            <w:vAlign w:val="center"/>
          </w:tcPr>
          <w:p w14:paraId="6F96CCC7">
            <w:pPr>
              <w:pStyle w:val="11"/>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line="240" w:lineRule="auto"/>
              <w:ind w:left="0" w:leftChars="0" w:right="0" w:firstLine="0" w:firstLineChars="0"/>
              <w:jc w:val="center"/>
              <w:textAlignment w:val="auto"/>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建筑系数</w:t>
            </w:r>
          </w:p>
        </w:tc>
        <w:tc>
          <w:tcPr>
            <w:tcW w:w="3562" w:type="pct"/>
            <w:tcBorders>
              <w:top w:val="single" w:color="auto" w:sz="4" w:space="0"/>
              <w:left w:val="single" w:color="auto" w:sz="4" w:space="0"/>
              <w:bottom w:val="single" w:color="auto" w:sz="4" w:space="0"/>
              <w:right w:val="single" w:color="auto" w:sz="4" w:space="0"/>
            </w:tcBorders>
            <w:noWrap w:val="0"/>
            <w:vAlign w:val="center"/>
          </w:tcPr>
          <w:p w14:paraId="77D22596">
            <w:pPr>
              <w:pStyle w:val="11"/>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w:t>
            </w:r>
            <w:r>
              <w:rPr>
                <w:rFonts w:hint="eastAsia" w:ascii="宋体" w:hAnsi="宋体" w:cs="宋体"/>
                <w:color w:val="auto"/>
                <w:sz w:val="24"/>
                <w:szCs w:val="24"/>
                <w:highlight w:val="none"/>
                <w:vertAlign w:val="baseline"/>
                <w:lang w:val="en-US" w:eastAsia="zh-CN"/>
              </w:rPr>
              <w:t>0</w:t>
            </w:r>
            <w:r>
              <w:rPr>
                <w:rFonts w:hint="eastAsia" w:ascii="宋体" w:hAnsi="宋体" w:eastAsia="宋体" w:cs="宋体"/>
                <w:color w:val="auto"/>
                <w:sz w:val="24"/>
                <w:szCs w:val="24"/>
                <w:highlight w:val="none"/>
                <w:vertAlign w:val="baseline"/>
                <w:lang w:val="en-US" w:eastAsia="zh-CN"/>
              </w:rPr>
              <w:t>%</w:t>
            </w:r>
          </w:p>
        </w:tc>
      </w:tr>
      <w:tr w14:paraId="3464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8" w:type="pct"/>
            <w:tcBorders>
              <w:top w:val="single" w:color="auto" w:sz="4" w:space="0"/>
              <w:left w:val="single" w:color="auto" w:sz="4" w:space="0"/>
              <w:bottom w:val="single" w:color="auto" w:sz="4" w:space="0"/>
              <w:right w:val="single" w:color="auto" w:sz="4" w:space="0"/>
            </w:tcBorders>
            <w:noWrap w:val="0"/>
            <w:vAlign w:val="center"/>
          </w:tcPr>
          <w:p w14:paraId="452E410A">
            <w:pPr>
              <w:pStyle w:val="11"/>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line="240" w:lineRule="auto"/>
              <w:ind w:left="0" w:leftChars="0" w:right="0" w:firstLine="0" w:firstLineChars="0"/>
              <w:jc w:val="center"/>
              <w:textAlignment w:val="auto"/>
              <w:rPr>
                <w:rFonts w:hint="default"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color w:val="auto"/>
                <w:sz w:val="24"/>
                <w:szCs w:val="24"/>
                <w:highlight w:val="none"/>
                <w:vertAlign w:val="baseline"/>
                <w:lang w:val="en-US" w:eastAsia="zh-CN"/>
              </w:rPr>
              <w:t>6</w:t>
            </w:r>
          </w:p>
        </w:tc>
        <w:tc>
          <w:tcPr>
            <w:tcW w:w="929" w:type="pct"/>
            <w:tcBorders>
              <w:top w:val="single" w:color="auto" w:sz="4" w:space="0"/>
              <w:left w:val="single" w:color="auto" w:sz="4" w:space="0"/>
              <w:bottom w:val="single" w:color="auto" w:sz="4" w:space="0"/>
              <w:right w:val="single" w:color="auto" w:sz="4" w:space="0"/>
            </w:tcBorders>
            <w:noWrap w:val="0"/>
            <w:vAlign w:val="center"/>
          </w:tcPr>
          <w:p w14:paraId="335E6007">
            <w:pPr>
              <w:pStyle w:val="11"/>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line="240" w:lineRule="auto"/>
              <w:ind w:left="0" w:leftChars="0" w:right="0" w:firstLine="0" w:firstLine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绿地率</w:t>
            </w:r>
          </w:p>
        </w:tc>
        <w:tc>
          <w:tcPr>
            <w:tcW w:w="3562" w:type="pct"/>
            <w:tcBorders>
              <w:top w:val="single" w:color="auto" w:sz="4" w:space="0"/>
              <w:left w:val="single" w:color="auto" w:sz="4" w:space="0"/>
              <w:bottom w:val="single" w:color="auto" w:sz="4" w:space="0"/>
              <w:right w:val="single" w:color="auto" w:sz="4" w:space="0"/>
            </w:tcBorders>
            <w:noWrap w:val="0"/>
            <w:vAlign w:val="center"/>
          </w:tcPr>
          <w:p w14:paraId="3DDB299D">
            <w:pPr>
              <w:pStyle w:val="11"/>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w:t>
            </w:r>
            <w:r>
              <w:rPr>
                <w:rFonts w:hint="eastAsia" w:ascii="宋体" w:hAnsi="宋体" w:cs="宋体"/>
                <w:color w:val="auto"/>
                <w:sz w:val="24"/>
                <w:szCs w:val="24"/>
                <w:highlight w:val="none"/>
                <w:vertAlign w:val="baseline"/>
                <w:lang w:val="en-US" w:eastAsia="zh-CN"/>
              </w:rPr>
              <w:t>1</w:t>
            </w:r>
            <w:r>
              <w:rPr>
                <w:rFonts w:hint="eastAsia" w:ascii="宋体" w:hAnsi="宋体" w:eastAsia="宋体" w:cs="宋体"/>
                <w:color w:val="auto"/>
                <w:sz w:val="24"/>
                <w:szCs w:val="24"/>
                <w:highlight w:val="none"/>
                <w:vertAlign w:val="baseline"/>
                <w:lang w:val="en-US" w:eastAsia="zh-CN"/>
              </w:rPr>
              <w:t>0%</w:t>
            </w:r>
          </w:p>
        </w:tc>
      </w:tr>
      <w:tr w14:paraId="7F9B0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8" w:type="pct"/>
            <w:tcBorders>
              <w:top w:val="single" w:color="auto" w:sz="4" w:space="0"/>
              <w:left w:val="single" w:color="auto" w:sz="4" w:space="0"/>
              <w:bottom w:val="single" w:color="auto" w:sz="4" w:space="0"/>
              <w:right w:val="single" w:color="auto" w:sz="4" w:space="0"/>
            </w:tcBorders>
            <w:noWrap w:val="0"/>
            <w:vAlign w:val="center"/>
          </w:tcPr>
          <w:p w14:paraId="7DB16A02">
            <w:pPr>
              <w:pStyle w:val="11"/>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line="240" w:lineRule="auto"/>
              <w:ind w:left="0" w:leftChars="0" w:right="0" w:firstLine="0" w:firstLineChars="0"/>
              <w:jc w:val="center"/>
              <w:textAlignment w:val="auto"/>
              <w:rPr>
                <w:rFonts w:hint="default"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color w:val="auto"/>
                <w:sz w:val="24"/>
                <w:szCs w:val="24"/>
                <w:highlight w:val="none"/>
                <w:vertAlign w:val="baseline"/>
                <w:lang w:val="en-US" w:eastAsia="zh-CN"/>
              </w:rPr>
              <w:t>7</w:t>
            </w:r>
          </w:p>
        </w:tc>
        <w:tc>
          <w:tcPr>
            <w:tcW w:w="929" w:type="pct"/>
            <w:tcBorders>
              <w:top w:val="single" w:color="auto" w:sz="4" w:space="0"/>
              <w:left w:val="single" w:color="auto" w:sz="4" w:space="0"/>
              <w:bottom w:val="single" w:color="auto" w:sz="4" w:space="0"/>
              <w:right w:val="single" w:color="auto" w:sz="4" w:space="0"/>
            </w:tcBorders>
            <w:noWrap w:val="0"/>
            <w:vAlign w:val="center"/>
          </w:tcPr>
          <w:p w14:paraId="0E7FA3FC">
            <w:pPr>
              <w:pStyle w:val="11"/>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建筑高度</w:t>
            </w:r>
          </w:p>
        </w:tc>
        <w:tc>
          <w:tcPr>
            <w:tcW w:w="3562" w:type="pct"/>
            <w:tcBorders>
              <w:top w:val="single" w:color="auto" w:sz="4" w:space="0"/>
              <w:left w:val="single" w:color="auto" w:sz="4" w:space="0"/>
              <w:bottom w:val="single" w:color="auto" w:sz="4" w:space="0"/>
              <w:right w:val="single" w:color="auto" w:sz="4" w:space="0"/>
            </w:tcBorders>
            <w:noWrap w:val="0"/>
            <w:vAlign w:val="center"/>
          </w:tcPr>
          <w:p w14:paraId="4D0E1922">
            <w:pPr>
              <w:pStyle w:val="11"/>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≤15m</w:t>
            </w:r>
          </w:p>
          <w:p w14:paraId="1E14CEB5">
            <w:pPr>
              <w:keepLines w:val="0"/>
              <w:pageBreakBefore w:val="0"/>
              <w:wordWrap/>
              <w:overflowPunct w:val="0"/>
              <w:topLinePunct w:val="0"/>
              <w:bidi w:val="0"/>
              <w:spacing w:line="360" w:lineRule="auto"/>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w:t>
            </w:r>
            <w:r>
              <w:rPr>
                <w:rFonts w:hint="eastAsia" w:ascii="宋体" w:hAnsi="宋体" w:eastAsia="宋体" w:cs="宋体"/>
                <w:color w:val="auto"/>
                <w:kern w:val="2"/>
                <w:sz w:val="24"/>
                <w:szCs w:val="24"/>
                <w:highlight w:val="none"/>
                <w:vertAlign w:val="baseline"/>
                <w:lang w:val="en-US" w:eastAsia="zh-CN" w:bidi="ar-SA"/>
              </w:rPr>
              <w:t>不包含对地块内构筑物、变电设施、设备的高度要求。</w:t>
            </w:r>
            <w:r>
              <w:rPr>
                <w:rFonts w:hint="eastAsia" w:ascii="宋体" w:hAnsi="宋体" w:eastAsia="宋体" w:cs="宋体"/>
                <w:color w:val="auto"/>
                <w:sz w:val="24"/>
                <w:szCs w:val="24"/>
                <w:highlight w:val="none"/>
                <w:vertAlign w:val="baseline"/>
                <w:lang w:val="en-US" w:eastAsia="zh-CN"/>
              </w:rPr>
              <w:t>）</w:t>
            </w:r>
          </w:p>
        </w:tc>
      </w:tr>
      <w:tr w14:paraId="0C76A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8" w:type="pct"/>
            <w:tcBorders>
              <w:top w:val="single" w:color="auto" w:sz="4" w:space="0"/>
              <w:left w:val="single" w:color="auto" w:sz="4" w:space="0"/>
              <w:bottom w:val="single" w:color="auto" w:sz="4" w:space="0"/>
              <w:right w:val="single" w:color="auto" w:sz="4" w:space="0"/>
            </w:tcBorders>
            <w:noWrap w:val="0"/>
            <w:vAlign w:val="center"/>
          </w:tcPr>
          <w:p w14:paraId="3E78BC96">
            <w:pPr>
              <w:pStyle w:val="11"/>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line="240" w:lineRule="auto"/>
              <w:ind w:left="0" w:leftChars="0" w:right="0" w:firstLine="0" w:firstLineChars="0"/>
              <w:jc w:val="center"/>
              <w:textAlignment w:val="auto"/>
              <w:rPr>
                <w:rFonts w:hint="default"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color w:val="auto"/>
                <w:kern w:val="2"/>
                <w:sz w:val="24"/>
                <w:szCs w:val="24"/>
                <w:highlight w:val="none"/>
                <w:vertAlign w:val="baseline"/>
                <w:lang w:val="en-US" w:eastAsia="zh-CN" w:bidi="ar-SA"/>
              </w:rPr>
              <w:t>8</w:t>
            </w:r>
          </w:p>
        </w:tc>
        <w:tc>
          <w:tcPr>
            <w:tcW w:w="929" w:type="pct"/>
            <w:tcBorders>
              <w:top w:val="single" w:color="auto" w:sz="4" w:space="0"/>
              <w:left w:val="single" w:color="auto" w:sz="4" w:space="0"/>
              <w:bottom w:val="single" w:color="auto" w:sz="4" w:space="0"/>
              <w:right w:val="single" w:color="auto" w:sz="4" w:space="0"/>
            </w:tcBorders>
            <w:noWrap w:val="0"/>
            <w:vAlign w:val="center"/>
          </w:tcPr>
          <w:p w14:paraId="23E77E18">
            <w:pPr>
              <w:pStyle w:val="11"/>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line="240" w:lineRule="auto"/>
              <w:ind w:left="0" w:leftChars="0" w:right="0" w:firstLine="0" w:firstLine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停车泊位</w:t>
            </w:r>
          </w:p>
        </w:tc>
        <w:tc>
          <w:tcPr>
            <w:tcW w:w="3562" w:type="pct"/>
            <w:tcBorders>
              <w:top w:val="single" w:color="auto" w:sz="4" w:space="0"/>
              <w:left w:val="single" w:color="auto" w:sz="4" w:space="0"/>
              <w:bottom w:val="single" w:color="auto" w:sz="4" w:space="0"/>
              <w:right w:val="single" w:color="auto" w:sz="4" w:space="0"/>
            </w:tcBorders>
            <w:noWrap w:val="0"/>
            <w:vAlign w:val="center"/>
          </w:tcPr>
          <w:p w14:paraId="054DE9C0">
            <w:pPr>
              <w:pStyle w:val="11"/>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0.15车位/100㎡建筑面积</w:t>
            </w:r>
          </w:p>
        </w:tc>
      </w:tr>
      <w:tr w14:paraId="37746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08" w:type="pct"/>
            <w:tcBorders>
              <w:top w:val="single" w:color="auto" w:sz="4" w:space="0"/>
              <w:left w:val="single" w:color="auto" w:sz="4" w:space="0"/>
              <w:bottom w:val="single" w:color="auto" w:sz="4" w:space="0"/>
              <w:right w:val="single" w:color="auto" w:sz="4" w:space="0"/>
            </w:tcBorders>
            <w:noWrap w:val="0"/>
            <w:vAlign w:val="center"/>
          </w:tcPr>
          <w:p w14:paraId="1DA5CDB2">
            <w:pPr>
              <w:pStyle w:val="11"/>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line="240" w:lineRule="auto"/>
              <w:ind w:left="0" w:leftChars="0" w:right="0" w:firstLine="0" w:firstLineChars="0"/>
              <w:jc w:val="center"/>
              <w:textAlignment w:val="auto"/>
              <w:rPr>
                <w:rFonts w:hint="default"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color w:val="auto"/>
                <w:kern w:val="2"/>
                <w:sz w:val="24"/>
                <w:szCs w:val="24"/>
                <w:highlight w:val="none"/>
                <w:vertAlign w:val="baseline"/>
                <w:lang w:val="en-US" w:eastAsia="zh-CN" w:bidi="ar-SA"/>
              </w:rPr>
              <w:t>9</w:t>
            </w:r>
          </w:p>
        </w:tc>
        <w:tc>
          <w:tcPr>
            <w:tcW w:w="929" w:type="pct"/>
            <w:tcBorders>
              <w:top w:val="single" w:color="auto" w:sz="4" w:space="0"/>
              <w:left w:val="single" w:color="auto" w:sz="4" w:space="0"/>
              <w:bottom w:val="single" w:color="auto" w:sz="4" w:space="0"/>
              <w:right w:val="single" w:color="auto" w:sz="4" w:space="0"/>
            </w:tcBorders>
            <w:noWrap w:val="0"/>
            <w:vAlign w:val="center"/>
          </w:tcPr>
          <w:p w14:paraId="6B47AC87">
            <w:pPr>
              <w:pStyle w:val="11"/>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line="240" w:lineRule="auto"/>
              <w:ind w:left="0" w:leftChars="0" w:right="0" w:firstLine="0" w:firstLine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出入口方位</w:t>
            </w:r>
          </w:p>
        </w:tc>
        <w:tc>
          <w:tcPr>
            <w:tcW w:w="3562" w:type="pct"/>
            <w:tcBorders>
              <w:top w:val="single" w:color="auto" w:sz="4" w:space="0"/>
              <w:left w:val="single" w:color="auto" w:sz="4" w:space="0"/>
              <w:bottom w:val="single" w:color="auto" w:sz="4" w:space="0"/>
              <w:right w:val="single" w:color="auto" w:sz="4" w:space="0"/>
            </w:tcBorders>
            <w:noWrap w:val="0"/>
            <w:vAlign w:val="center"/>
          </w:tcPr>
          <w:p w14:paraId="4D5DDC56">
            <w:pPr>
              <w:pStyle w:val="11"/>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南侧</w:t>
            </w:r>
          </w:p>
        </w:tc>
      </w:tr>
    </w:tbl>
    <w:p w14:paraId="7C9C0351">
      <w:pPr>
        <w:keepLines w:val="0"/>
        <w:pageBreakBefore w:val="0"/>
        <w:wordWrap/>
        <w:overflowPunct w:val="0"/>
        <w:topLinePunct w:val="0"/>
        <w:bidi w:val="0"/>
        <w:spacing w:line="360" w:lineRule="auto"/>
        <w:ind w:firstLine="420" w:firstLineChars="200"/>
        <w:rPr>
          <w:rFonts w:hint="eastAsia" w:ascii="宋体" w:hAnsi="宋体" w:eastAsia="宋体" w:cs="宋体"/>
          <w:color w:val="auto"/>
          <w:sz w:val="21"/>
          <w:szCs w:val="21"/>
          <w:u w:val="none"/>
          <w:lang w:val="en-US" w:eastAsia="zh-CN"/>
        </w:rPr>
      </w:pPr>
    </w:p>
    <w:p w14:paraId="39429376">
      <w:pPr>
        <w:keepLines w:val="0"/>
        <w:pageBreakBefore w:val="0"/>
        <w:wordWrap/>
        <w:overflowPunct w:val="0"/>
        <w:topLinePunct w:val="0"/>
        <w:bidi w:val="0"/>
        <w:spacing w:line="360" w:lineRule="auto"/>
        <w:ind w:firstLine="420" w:firstLineChars="200"/>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注：</w:t>
      </w:r>
    </w:p>
    <w:p w14:paraId="2D188A01">
      <w:pPr>
        <w:keepLines w:val="0"/>
        <w:pageBreakBefore w:val="0"/>
        <w:wordWrap/>
        <w:overflowPunct w:val="0"/>
        <w:topLinePunct w:val="0"/>
        <w:bidi w:val="0"/>
        <w:spacing w:line="360" w:lineRule="auto"/>
        <w:ind w:firstLine="420" w:firstLineChars="200"/>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1.建筑风貌：应充分利用环境特征，建筑风格及体量应与周边环境相协调，建筑色彩上应以柔和、明亮为主，搭配应遵循一定的原则，避免使用过于突兀的颜色‌，贯彻落实“适用、经济、绿色、美观”新时期建筑方针。</w:t>
      </w:r>
    </w:p>
    <w:p w14:paraId="30B222F4">
      <w:pPr>
        <w:pStyle w:val="15"/>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color w:val="auto"/>
          <w:kern w:val="2"/>
          <w:sz w:val="21"/>
          <w:szCs w:val="21"/>
          <w:u w:val="none"/>
          <w:lang w:val="en-US" w:eastAsia="zh-CN" w:bidi="ar-SA"/>
        </w:rPr>
      </w:pPr>
      <w:r>
        <w:rPr>
          <w:rFonts w:hint="eastAsia" w:ascii="宋体" w:hAnsi="宋体" w:eastAsia="宋体" w:cs="宋体"/>
          <w:color w:val="auto"/>
          <w:kern w:val="2"/>
          <w:sz w:val="21"/>
          <w:szCs w:val="21"/>
          <w:u w:val="none"/>
          <w:lang w:val="en-US" w:eastAsia="zh-CN" w:bidi="ar-SA"/>
        </w:rPr>
        <w:t>2.建筑间距：建筑间距除满足现行国家规范要求外，应满足消防、施工、安全要求，并应符合《火力发电厂与变电站设计防火标准》（GB50229-2019）和《建筑设计防火规范》（GB50016-2014，2018年版）的要求。</w:t>
      </w:r>
    </w:p>
    <w:p w14:paraId="53F35F2D">
      <w:pPr>
        <w:pStyle w:val="1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color w:val="auto"/>
          <w:kern w:val="2"/>
          <w:sz w:val="21"/>
          <w:szCs w:val="21"/>
          <w:u w:val="none"/>
          <w:lang w:val="en-US" w:eastAsia="zh-CN" w:bidi="ar-SA"/>
        </w:rPr>
      </w:pPr>
      <w:r>
        <w:rPr>
          <w:rFonts w:hint="eastAsia" w:ascii="宋体" w:hAnsi="宋体" w:eastAsia="宋体" w:cs="宋体"/>
          <w:color w:val="auto"/>
          <w:kern w:val="2"/>
          <w:sz w:val="21"/>
          <w:szCs w:val="21"/>
          <w:u w:val="none"/>
          <w:lang w:val="en-US" w:eastAsia="zh-CN" w:bidi="ar-SA"/>
        </w:rPr>
        <w:t>3.市政设施规划要求：按相关规范要求，配建变配电设施等相关公用设施。</w:t>
      </w:r>
    </w:p>
    <w:p w14:paraId="286820F4">
      <w:pPr>
        <w:pStyle w:val="1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color w:val="auto"/>
          <w:kern w:val="2"/>
          <w:sz w:val="21"/>
          <w:szCs w:val="21"/>
          <w:u w:val="none"/>
          <w:lang w:val="en-US" w:eastAsia="zh-CN" w:bidi="ar-SA"/>
        </w:rPr>
      </w:pPr>
      <w:r>
        <w:rPr>
          <w:rFonts w:hint="eastAsia" w:ascii="宋体" w:hAnsi="宋体" w:eastAsia="宋体" w:cs="宋体"/>
          <w:color w:val="auto"/>
          <w:kern w:val="2"/>
          <w:sz w:val="21"/>
          <w:szCs w:val="21"/>
          <w:u w:val="none"/>
          <w:lang w:val="en-US" w:eastAsia="zh-CN" w:bidi="ar-SA"/>
        </w:rPr>
        <w:t>4.设计要符合节能、节地、绿建、装配式建筑、节材、消防、环保、安全、风貌管控等相关规范要求。</w:t>
      </w:r>
    </w:p>
    <w:p w14:paraId="57CC3C40">
      <w:pPr>
        <w:pStyle w:val="1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color w:val="auto"/>
          <w:kern w:val="2"/>
          <w:sz w:val="21"/>
          <w:szCs w:val="21"/>
          <w:u w:val="none"/>
          <w:lang w:val="en-US" w:eastAsia="zh-CN" w:bidi="ar-SA"/>
        </w:rPr>
      </w:pPr>
      <w:r>
        <w:rPr>
          <w:rFonts w:hint="eastAsia" w:ascii="宋体" w:hAnsi="宋体" w:eastAsia="宋体" w:cs="宋体"/>
          <w:color w:val="auto"/>
          <w:kern w:val="2"/>
          <w:sz w:val="21"/>
          <w:szCs w:val="21"/>
          <w:u w:val="none"/>
          <w:lang w:val="en-US" w:eastAsia="zh-CN" w:bidi="ar-SA"/>
        </w:rPr>
        <w:t>5.消防通道内，任何单位和个人不得搭建临时性建（构）筑物或者堆放物资。</w:t>
      </w:r>
    </w:p>
    <w:p w14:paraId="78113B2C">
      <w:pPr>
        <w:pStyle w:val="33"/>
        <w:bidi w:val="0"/>
        <w:rPr>
          <w:rFonts w:hint="default"/>
          <w:lang w:val="en-US"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-612775</wp:posOffset>
            </wp:positionH>
            <wp:positionV relativeFrom="paragraph">
              <wp:posOffset>182245</wp:posOffset>
            </wp:positionV>
            <wp:extent cx="6572250" cy="4647565"/>
            <wp:effectExtent l="0" t="0" r="11430" b="635"/>
            <wp:wrapSquare wrapText="bothSides"/>
            <wp:docPr id="10" name="图片 10"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图片1.png图片1"/>
                    <pic:cNvPicPr>
                      <a:picLocks noChangeAspect="1"/>
                    </pic:cNvPicPr>
                  </pic:nvPicPr>
                  <pic:blipFill>
                    <a:blip r:embed="rId10"/>
                    <a:srcRect t="10" b="10"/>
                    <a:stretch>
                      <a:fillRect/>
                    </a:stretch>
                  </pic:blipFill>
                  <pic:spPr>
                    <a:xfrm>
                      <a:off x="0" y="0"/>
                      <a:ext cx="6572250" cy="4647565"/>
                    </a:xfrm>
                    <a:prstGeom prst="rect">
                      <a:avLst/>
                    </a:prstGeom>
                  </pic:spPr>
                </pic:pic>
              </a:graphicData>
            </a:graphic>
          </wp:anchor>
        </w:drawing>
      </w:r>
    </w:p>
    <w:p w14:paraId="4BC01939">
      <w:pPr>
        <w:pStyle w:val="4"/>
        <w:bidi w:val="0"/>
        <w:rPr>
          <w:rFonts w:hint="default"/>
          <w:lang w:val="en-US" w:eastAsia="zh-CN"/>
        </w:rPr>
      </w:pPr>
      <w:r>
        <w:rPr>
          <w:rFonts w:hint="eastAsia"/>
          <w:lang w:val="en-US" w:eastAsia="zh-CN"/>
        </w:rPr>
        <w:t>规划要求</w:t>
      </w:r>
    </w:p>
    <w:p w14:paraId="677A6C88">
      <w:pPr>
        <w:pStyle w:val="6"/>
        <w:bidi w:val="0"/>
        <w:rPr>
          <w:rFonts w:hint="eastAsia"/>
          <w:lang w:val="en-US" w:eastAsia="zh-CN"/>
        </w:rPr>
      </w:pPr>
      <w:r>
        <w:rPr>
          <w:rFonts w:hint="eastAsia"/>
          <w:lang w:val="en-US" w:eastAsia="zh-CN"/>
        </w:rPr>
        <w:t>规定性要求</w:t>
      </w:r>
    </w:p>
    <w:p w14:paraId="61C64634">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地块内建设项目在具体设计、施工过程中，建设单位应及时与周边村庄居民点沟通，确保实施项目与其他已建、待建、在建项目相协调。</w:t>
      </w:r>
    </w:p>
    <w:p w14:paraId="4A98D98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2.建设单位在项目建设过程中，需要注意是否有新的文物古迹，一经发现要及时上报有关部门。</w:t>
      </w:r>
    </w:p>
    <w:p w14:paraId="7CD8DEC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3.项目周边进行其他项目建设时，应满足《火力发电厂与变电站设计防火标准》（GB50229-2019）中变电站防火间距要求。</w:t>
      </w:r>
    </w:p>
    <w:p w14:paraId="2461FF90">
      <w:pPr>
        <w:pStyle w:val="15"/>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sz w:val="28"/>
          <w:szCs w:val="28"/>
          <w:highlight w:val="none"/>
          <w:lang w:val="en-US" w:eastAsia="zh-CN"/>
        </w:rPr>
        <w:t>4</w:t>
      </w:r>
      <w:r>
        <w:rPr>
          <w:rFonts w:hint="eastAsia" w:hAnsi="宋体" w:eastAsia="宋体" w:cs="宋体"/>
          <w:b w:val="0"/>
          <w:bCs w:val="0"/>
          <w:color w:val="auto"/>
          <w:sz w:val="28"/>
          <w:szCs w:val="28"/>
          <w:highlight w:val="none"/>
          <w:lang w:val="en-US" w:eastAsia="zh-CN"/>
        </w:rPr>
        <w:t>.</w:t>
      </w:r>
      <w:r>
        <w:rPr>
          <w:rFonts w:hint="eastAsia" w:ascii="宋体" w:hAnsi="宋体" w:eastAsia="宋体" w:cs="宋体"/>
          <w:b w:val="0"/>
          <w:bCs w:val="0"/>
          <w:color w:val="auto"/>
          <w:kern w:val="2"/>
          <w:sz w:val="28"/>
          <w:szCs w:val="28"/>
          <w:highlight w:val="none"/>
          <w:lang w:val="en-US" w:eastAsia="zh-CN" w:bidi="ar-SA"/>
        </w:rPr>
        <w:t>本项目设计过程中应严格按照</w:t>
      </w:r>
      <w:r>
        <w:rPr>
          <w:rFonts w:hint="eastAsia" w:ascii="宋体" w:hAnsi="宋体" w:eastAsia="宋体" w:cs="宋体"/>
          <w:color w:val="auto"/>
          <w:spacing w:val="0"/>
          <w:kern w:val="2"/>
          <w:sz w:val="28"/>
          <w:szCs w:val="20"/>
          <w:lang w:val="en-US" w:eastAsia="zh-CN" w:bidi="ar-SA"/>
        </w:rPr>
        <w:t>《35kV</w:t>
      </w:r>
      <w:r>
        <w:rPr>
          <w:rFonts w:hint="default" w:ascii="宋体" w:hAnsi="宋体" w:eastAsia="宋体" w:cs="宋体"/>
          <w:color w:val="auto"/>
          <w:spacing w:val="0"/>
          <w:kern w:val="2"/>
          <w:sz w:val="28"/>
          <w:szCs w:val="20"/>
          <w:lang w:val="en-US" w:eastAsia="zh-CN" w:bidi="ar-SA"/>
        </w:rPr>
        <w:t>～</w:t>
      </w:r>
      <w:r>
        <w:rPr>
          <w:rFonts w:hint="eastAsia" w:ascii="宋体" w:hAnsi="宋体" w:eastAsia="宋体" w:cs="宋体"/>
          <w:color w:val="auto"/>
          <w:spacing w:val="0"/>
          <w:kern w:val="2"/>
          <w:sz w:val="28"/>
          <w:szCs w:val="20"/>
          <w:lang w:val="en-US" w:eastAsia="zh-CN" w:bidi="ar-SA"/>
        </w:rPr>
        <w:t>110kV变电站设计规范》</w:t>
      </w:r>
      <w:bookmarkStart w:id="0" w:name="_GoBack"/>
      <w:r>
        <w:rPr>
          <w:rFonts w:hint="eastAsia" w:hAnsi="宋体" w:eastAsia="宋体" w:cs="宋体"/>
          <w:color w:val="auto"/>
          <w:spacing w:val="0"/>
          <w:kern w:val="2"/>
          <w:sz w:val="28"/>
          <w:szCs w:val="20"/>
          <w:lang w:val="en-US" w:eastAsia="zh-CN" w:bidi="ar-SA"/>
        </w:rPr>
        <w:t>（</w:t>
      </w:r>
      <w:bookmarkEnd w:id="0"/>
      <w:r>
        <w:rPr>
          <w:rFonts w:hint="eastAsia" w:ascii="宋体" w:hAnsi="宋体" w:eastAsia="宋体" w:cs="宋体"/>
          <w:color w:val="auto"/>
          <w:spacing w:val="0"/>
          <w:kern w:val="2"/>
          <w:sz w:val="28"/>
          <w:szCs w:val="20"/>
          <w:lang w:val="en-US" w:eastAsia="zh-CN" w:bidi="ar-SA"/>
        </w:rPr>
        <w:t>GB50059-2011</w:t>
      </w:r>
      <w:r>
        <w:rPr>
          <w:rFonts w:hint="eastAsia" w:hAnsi="宋体" w:eastAsia="宋体" w:cs="宋体"/>
          <w:color w:val="auto"/>
          <w:spacing w:val="0"/>
          <w:kern w:val="2"/>
          <w:sz w:val="28"/>
          <w:szCs w:val="20"/>
          <w:lang w:val="en-US" w:eastAsia="zh-CN" w:bidi="ar-SA"/>
        </w:rPr>
        <w:t>）</w:t>
      </w:r>
      <w:r>
        <w:rPr>
          <w:rFonts w:hint="eastAsia" w:ascii="宋体" w:hAnsi="宋体" w:eastAsia="宋体" w:cs="宋体"/>
          <w:b w:val="0"/>
          <w:bCs w:val="0"/>
          <w:color w:val="auto"/>
          <w:kern w:val="2"/>
          <w:sz w:val="28"/>
          <w:szCs w:val="28"/>
          <w:highlight w:val="none"/>
          <w:lang w:val="en-US" w:eastAsia="zh-CN" w:bidi="ar-SA"/>
        </w:rPr>
        <w:t>中竖向设计要求进行设计、施工，在满足站址运营安全的同时满足场地道路通行、排水需求。</w:t>
      </w:r>
    </w:p>
    <w:p w14:paraId="26A3AB6D">
      <w:pPr>
        <w:pStyle w:val="6"/>
        <w:bidi w:val="0"/>
        <w:rPr>
          <w:rFonts w:hint="eastAsia"/>
          <w:lang w:val="en-US" w:eastAsia="zh-CN"/>
        </w:rPr>
      </w:pPr>
      <w:r>
        <w:rPr>
          <w:rFonts w:hint="eastAsia"/>
          <w:lang w:val="en-US" w:eastAsia="zh-CN"/>
        </w:rPr>
        <w:t>指导性要求</w:t>
      </w:r>
    </w:p>
    <w:p w14:paraId="4F981A5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1.地块内建筑风格应以简洁、明快、大气的现代风格为主，同时应注重细节表达，加入易识别元素。建筑色彩应与周边地块环境相协调，充分考虑地块所处环境。</w:t>
      </w:r>
    </w:p>
    <w:p w14:paraId="1515444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2.地块内新建建筑宜按照现行主管部门意见及行业类型加强绿色建筑设计，强化节能降耗及低碳建材应用等技术措施，推动产业建筑全生命周期绿色化转型。</w:t>
      </w:r>
    </w:p>
    <w:p w14:paraId="0BBE944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3.拟调整区域内建筑提倡采用装配式建筑，以节约资源能源、减少施工污染，提升劳动生产效率和质量安全水平。</w:t>
      </w:r>
    </w:p>
    <w:p w14:paraId="7822669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4.地块内宜按照海绵城市的设计要求进行建设，提高城市的生态环境和排水防涝能力。</w:t>
      </w:r>
    </w:p>
    <w:sectPr>
      <w:footerReference r:id="rId5" w:type="default"/>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embedRegular r:id="rId1" w:fontKey="{F385E07C-80E2-4685-A364-7DBEC43A357B}"/>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panose1 w:val="02010600010101010101"/>
    <w:charset w:val="86"/>
    <w:family w:val="auto"/>
    <w:pitch w:val="default"/>
    <w:sig w:usb0="00000001" w:usb1="080E0000" w:usb2="00000000" w:usb3="00000000" w:csb0="00040000" w:csb1="00000000"/>
  </w:font>
  <w:font w:name="方正公文小标宋">
    <w:panose1 w:val="02000500000000000000"/>
    <w:charset w:val="86"/>
    <w:family w:val="auto"/>
    <w:pitch w:val="default"/>
    <w:sig w:usb0="A00002BF" w:usb1="38CF7CFA" w:usb2="00000016" w:usb3="00000000" w:csb0="00040001" w:csb1="00000000"/>
    <w:embedRegular r:id="rId2" w:fontKey="{844369E5-DCF1-4D65-9CD2-9FE4CFD939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95ABD">
    <w:pPr>
      <w:pStyle w:val="16"/>
      <w:tabs>
        <w:tab w:val="left" w:pos="1271"/>
        <w:tab w:val="clear" w:pos="4153"/>
      </w:tabs>
      <w:rPr>
        <w:rFonts w:hint="eastAsia" w:eastAsia="仿宋"/>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8C6DCA">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8C6DCA">
                    <w:pPr>
                      <w:pStyle w:val="16"/>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00"/>
      </w:pPr>
      <w:r>
        <w:separator/>
      </w:r>
    </w:p>
  </w:footnote>
  <w:footnote w:type="continuationSeparator" w:id="1">
    <w:p>
      <w:pPr>
        <w:spacing w:line="360" w:lineRule="auto"/>
        <w:ind w:firstLine="60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CA5406"/>
    <w:multiLevelType w:val="multilevel"/>
    <w:tmpl w:val="FECA5406"/>
    <w:lvl w:ilvl="0" w:tentative="0">
      <w:start w:val="1"/>
      <w:numFmt w:val="chineseCounting"/>
      <w:pStyle w:val="3"/>
      <w:suff w:val="space"/>
      <w:lvlText w:val="第%1章 "/>
      <w:lvlJc w:val="left"/>
      <w:pPr>
        <w:tabs>
          <w:tab w:val="left" w:pos="0"/>
        </w:tabs>
        <w:ind w:left="0" w:firstLine="0"/>
      </w:pPr>
      <w:rPr>
        <w:rFonts w:hint="eastAsia" w:ascii="黑体" w:hAnsi="黑体" w:eastAsia="黑体" w:cs="黑体"/>
        <w:bCs/>
        <w:sz w:val="36"/>
        <w:szCs w:val="36"/>
      </w:rPr>
    </w:lvl>
    <w:lvl w:ilvl="1" w:tentative="0">
      <w:start w:val="1"/>
      <w:numFmt w:val="chineseCounting"/>
      <w:pStyle w:val="4"/>
      <w:suff w:val="nothing"/>
      <w:lvlText w:val="%2、"/>
      <w:lvlJc w:val="left"/>
      <w:pPr>
        <w:tabs>
          <w:tab w:val="left" w:pos="420"/>
        </w:tabs>
        <w:ind w:left="0" w:firstLine="0"/>
      </w:pPr>
      <w:rPr>
        <w:rFonts w:hint="eastAsia" w:ascii="宋体" w:hAnsi="宋体" w:eastAsia="宋体" w:cs="宋体"/>
        <w:b/>
        <w:bCs/>
        <w:sz w:val="32"/>
        <w:szCs w:val="32"/>
      </w:rPr>
    </w:lvl>
    <w:lvl w:ilvl="2" w:tentative="0">
      <w:start w:val="1"/>
      <w:numFmt w:val="chineseCounting"/>
      <w:pStyle w:val="5"/>
      <w:suff w:val="nothing"/>
      <w:lvlText w:val="（%3）"/>
      <w:lvlJc w:val="left"/>
      <w:pPr>
        <w:tabs>
          <w:tab w:val="left" w:pos="420"/>
        </w:tabs>
        <w:ind w:left="0" w:firstLine="0"/>
      </w:pPr>
      <w:rPr>
        <w:rFonts w:hint="eastAsia" w:ascii="Times New Roman" w:hAnsi="Times New Roman" w:eastAsia="仿宋" w:cs="仿宋"/>
        <w:b/>
        <w:bCs/>
        <w:sz w:val="30"/>
        <w:szCs w:val="30"/>
      </w:rPr>
    </w:lvl>
    <w:lvl w:ilvl="3" w:tentative="0">
      <w:start w:val="1"/>
      <w:numFmt w:val="decimal"/>
      <w:pStyle w:val="6"/>
      <w:suff w:val="nothing"/>
      <w:lvlText w:val="%4."/>
      <w:lvlJc w:val="left"/>
      <w:pPr>
        <w:tabs>
          <w:tab w:val="left" w:pos="420"/>
        </w:tabs>
        <w:ind w:left="0" w:firstLine="402"/>
      </w:pPr>
      <w:rPr>
        <w:rFonts w:hint="eastAsia" w:ascii="Times New Roman" w:hAnsi="Times New Roman" w:eastAsia="仿宋" w:cs="仿宋"/>
        <w:b/>
        <w:bCs/>
        <w:sz w:val="30"/>
        <w:szCs w:val="30"/>
      </w:rPr>
    </w:lvl>
    <w:lvl w:ilvl="4" w:tentative="0">
      <w:start w:val="1"/>
      <w:numFmt w:val="decimal"/>
      <w:pStyle w:val="7"/>
      <w:suff w:val="nothing"/>
      <w:lvlText w:val="（%5）"/>
      <w:lvlJc w:val="left"/>
      <w:pPr>
        <w:tabs>
          <w:tab w:val="left" w:pos="0"/>
        </w:tabs>
        <w:ind w:left="0" w:firstLine="0"/>
      </w:pPr>
      <w:rPr>
        <w:rFonts w:hint="eastAsia" w:ascii="Times New Roman" w:hAnsi="Times New Roman" w:eastAsia="仿宋" w:cs="仿宋"/>
        <w:sz w:val="30"/>
        <w:szCs w:val="30"/>
      </w:rPr>
    </w:lvl>
    <w:lvl w:ilvl="5" w:tentative="0">
      <w:start w:val="1"/>
      <w:numFmt w:val="decimal"/>
      <w:pStyle w:val="8"/>
      <w:suff w:val="nothing"/>
      <w:lvlText w:val="%6）"/>
      <w:lvlJc w:val="left"/>
      <w:pPr>
        <w:ind w:left="0" w:firstLine="0"/>
      </w:pPr>
      <w:rPr>
        <w:rFonts w:hint="eastAsia" w:ascii="Times New Roman" w:hAnsi="Times New Roman" w:eastAsia="仿宋" w:cs="仿宋"/>
        <w:sz w:val="30"/>
        <w:szCs w:val="30"/>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F76604"/>
    <w:rsid w:val="00124B60"/>
    <w:rsid w:val="006B76CB"/>
    <w:rsid w:val="008F56F8"/>
    <w:rsid w:val="00E8708B"/>
    <w:rsid w:val="01744538"/>
    <w:rsid w:val="02370ABC"/>
    <w:rsid w:val="031F0DA9"/>
    <w:rsid w:val="03AB1CC8"/>
    <w:rsid w:val="046E798D"/>
    <w:rsid w:val="04893CFE"/>
    <w:rsid w:val="05705E5D"/>
    <w:rsid w:val="06783338"/>
    <w:rsid w:val="069408DC"/>
    <w:rsid w:val="06C71F86"/>
    <w:rsid w:val="073E3C7E"/>
    <w:rsid w:val="0A744E42"/>
    <w:rsid w:val="0C08408F"/>
    <w:rsid w:val="0CFC70BE"/>
    <w:rsid w:val="0E460D89"/>
    <w:rsid w:val="0E4E5751"/>
    <w:rsid w:val="0F3A0E5E"/>
    <w:rsid w:val="10E20B40"/>
    <w:rsid w:val="14D440C7"/>
    <w:rsid w:val="16DB6C0C"/>
    <w:rsid w:val="16F67F6D"/>
    <w:rsid w:val="17C3523B"/>
    <w:rsid w:val="17E34FEF"/>
    <w:rsid w:val="18D92CD7"/>
    <w:rsid w:val="19394EDE"/>
    <w:rsid w:val="1A1B2562"/>
    <w:rsid w:val="1A3F7A4F"/>
    <w:rsid w:val="1B3853D4"/>
    <w:rsid w:val="1C6E0A49"/>
    <w:rsid w:val="1DF3335B"/>
    <w:rsid w:val="1FB437F6"/>
    <w:rsid w:val="22644CA7"/>
    <w:rsid w:val="231338C2"/>
    <w:rsid w:val="23746E83"/>
    <w:rsid w:val="25631DA5"/>
    <w:rsid w:val="26ED20CB"/>
    <w:rsid w:val="2C1803B1"/>
    <w:rsid w:val="2CCD7CE6"/>
    <w:rsid w:val="306040EB"/>
    <w:rsid w:val="30875F87"/>
    <w:rsid w:val="313C4D53"/>
    <w:rsid w:val="31D350D8"/>
    <w:rsid w:val="32B26D70"/>
    <w:rsid w:val="32FD48AA"/>
    <w:rsid w:val="344A48C2"/>
    <w:rsid w:val="34AD4A50"/>
    <w:rsid w:val="34E84094"/>
    <w:rsid w:val="35684F98"/>
    <w:rsid w:val="35CD623E"/>
    <w:rsid w:val="36287767"/>
    <w:rsid w:val="369E5F94"/>
    <w:rsid w:val="3850467F"/>
    <w:rsid w:val="388273D4"/>
    <w:rsid w:val="38B92017"/>
    <w:rsid w:val="39F7710D"/>
    <w:rsid w:val="3ADB7689"/>
    <w:rsid w:val="3B5632DE"/>
    <w:rsid w:val="3CB448B4"/>
    <w:rsid w:val="3CBD1D55"/>
    <w:rsid w:val="3DC627B1"/>
    <w:rsid w:val="3EF52B33"/>
    <w:rsid w:val="4022332F"/>
    <w:rsid w:val="408B5600"/>
    <w:rsid w:val="40C83C56"/>
    <w:rsid w:val="41792379"/>
    <w:rsid w:val="421538F8"/>
    <w:rsid w:val="428B6386"/>
    <w:rsid w:val="438F47B6"/>
    <w:rsid w:val="439134E8"/>
    <w:rsid w:val="451F603A"/>
    <w:rsid w:val="453C26BA"/>
    <w:rsid w:val="45435090"/>
    <w:rsid w:val="46111740"/>
    <w:rsid w:val="46510D2B"/>
    <w:rsid w:val="4654337F"/>
    <w:rsid w:val="471C007F"/>
    <w:rsid w:val="47F250C5"/>
    <w:rsid w:val="48DB5895"/>
    <w:rsid w:val="4993150A"/>
    <w:rsid w:val="4A576F56"/>
    <w:rsid w:val="4AF76604"/>
    <w:rsid w:val="4C143C11"/>
    <w:rsid w:val="4E047A4E"/>
    <w:rsid w:val="4FA55A32"/>
    <w:rsid w:val="50BF5CCD"/>
    <w:rsid w:val="51B83CE9"/>
    <w:rsid w:val="52A1252C"/>
    <w:rsid w:val="534534E7"/>
    <w:rsid w:val="53B81207"/>
    <w:rsid w:val="53ED0E1F"/>
    <w:rsid w:val="540A1791"/>
    <w:rsid w:val="541A601C"/>
    <w:rsid w:val="549F1FF1"/>
    <w:rsid w:val="550E34DC"/>
    <w:rsid w:val="55923320"/>
    <w:rsid w:val="55BE328C"/>
    <w:rsid w:val="561D32D4"/>
    <w:rsid w:val="56BC3A5C"/>
    <w:rsid w:val="59A4714F"/>
    <w:rsid w:val="5A920415"/>
    <w:rsid w:val="5B25127A"/>
    <w:rsid w:val="5B4350C1"/>
    <w:rsid w:val="5C5D45FB"/>
    <w:rsid w:val="5CAF45D9"/>
    <w:rsid w:val="5D22583D"/>
    <w:rsid w:val="5DC60744"/>
    <w:rsid w:val="5E3253A6"/>
    <w:rsid w:val="5F190480"/>
    <w:rsid w:val="5F542B2A"/>
    <w:rsid w:val="60675917"/>
    <w:rsid w:val="61377F15"/>
    <w:rsid w:val="61C9170A"/>
    <w:rsid w:val="624536ED"/>
    <w:rsid w:val="631D1AE8"/>
    <w:rsid w:val="653A5A1F"/>
    <w:rsid w:val="656A54B6"/>
    <w:rsid w:val="67290ACE"/>
    <w:rsid w:val="67817040"/>
    <w:rsid w:val="6A006552"/>
    <w:rsid w:val="6B864EA6"/>
    <w:rsid w:val="6BC33DD3"/>
    <w:rsid w:val="6C695D28"/>
    <w:rsid w:val="6D902BAE"/>
    <w:rsid w:val="6E2A0EF8"/>
    <w:rsid w:val="6F131996"/>
    <w:rsid w:val="70C87915"/>
    <w:rsid w:val="71545C47"/>
    <w:rsid w:val="715C0605"/>
    <w:rsid w:val="71F254CD"/>
    <w:rsid w:val="72E16AFC"/>
    <w:rsid w:val="73492604"/>
    <w:rsid w:val="755B2C17"/>
    <w:rsid w:val="768D2996"/>
    <w:rsid w:val="76CB673E"/>
    <w:rsid w:val="771039AF"/>
    <w:rsid w:val="77286DE9"/>
    <w:rsid w:val="77FB2AFC"/>
    <w:rsid w:val="77FF6C24"/>
    <w:rsid w:val="78037F43"/>
    <w:rsid w:val="784E426F"/>
    <w:rsid w:val="785E1095"/>
    <w:rsid w:val="79D80940"/>
    <w:rsid w:val="7A043F72"/>
    <w:rsid w:val="7A7418D6"/>
    <w:rsid w:val="7ADD76F1"/>
    <w:rsid w:val="7C4B60B7"/>
    <w:rsid w:val="7E71642D"/>
    <w:rsid w:val="7EC276A4"/>
    <w:rsid w:val="7F1E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0" w:firstLineChars="200"/>
      <w:jc w:val="both"/>
    </w:pPr>
    <w:rPr>
      <w:rFonts w:ascii="Times New Roman" w:hAnsi="Times New Roman" w:eastAsia="仿宋" w:cs="仿宋"/>
      <w:kern w:val="2"/>
      <w:sz w:val="30"/>
      <w:szCs w:val="30"/>
      <w:lang w:val="en-US" w:eastAsia="zh-CN" w:bidi="ar-SA"/>
    </w:rPr>
  </w:style>
  <w:style w:type="paragraph" w:styleId="3">
    <w:name w:val="heading 1"/>
    <w:basedOn w:val="1"/>
    <w:next w:val="1"/>
    <w:qFormat/>
    <w:uiPriority w:val="0"/>
    <w:pPr>
      <w:keepNext/>
      <w:keepLines/>
      <w:pageBreakBefore/>
      <w:numPr>
        <w:ilvl w:val="0"/>
        <w:numId w:val="1"/>
      </w:numPr>
      <w:tabs>
        <w:tab w:val="left" w:pos="420"/>
        <w:tab w:val="clear" w:pos="0"/>
      </w:tabs>
      <w:spacing w:beforeLines="0" w:beforeAutospacing="0" w:afterLines="0" w:afterAutospacing="0" w:line="360" w:lineRule="auto"/>
      <w:ind w:firstLineChars="0"/>
      <w:jc w:val="center"/>
      <w:outlineLvl w:val="0"/>
    </w:pPr>
    <w:rPr>
      <w:rFonts w:ascii="黑体" w:hAnsi="黑体" w:eastAsia="黑体" w:cs="黑体"/>
      <w:b/>
      <w:bCs/>
      <w:kern w:val="44"/>
      <w:sz w:val="36"/>
      <w:szCs w:val="36"/>
      <w14:ligatures w14:val="standardContextual"/>
    </w:rPr>
  </w:style>
  <w:style w:type="paragraph" w:styleId="4">
    <w:name w:val="heading 2"/>
    <w:basedOn w:val="1"/>
    <w:next w:val="1"/>
    <w:unhideWhenUsed/>
    <w:qFormat/>
    <w:uiPriority w:val="0"/>
    <w:pPr>
      <w:keepNext/>
      <w:keepLines/>
      <w:numPr>
        <w:ilvl w:val="1"/>
        <w:numId w:val="1"/>
      </w:numPr>
      <w:tabs>
        <w:tab w:val="left" w:pos="0"/>
        <w:tab w:val="clear" w:pos="420"/>
      </w:tabs>
      <w:spacing w:beforeLines="0" w:afterLines="0" w:line="360" w:lineRule="auto"/>
      <w:ind w:firstLine="420" w:firstLineChars="200"/>
      <w:jc w:val="left"/>
      <w:outlineLvl w:val="1"/>
    </w:pPr>
    <w:rPr>
      <w:rFonts w:ascii="宋体" w:hAnsi="宋体" w:eastAsia="宋体" w:cs="宋体"/>
      <w:b/>
      <w:bCs/>
      <w:sz w:val="32"/>
      <w:szCs w:val="32"/>
      <w14:ligatures w14:val="standardContextual"/>
    </w:rPr>
  </w:style>
  <w:style w:type="paragraph" w:styleId="5">
    <w:name w:val="heading 3"/>
    <w:basedOn w:val="1"/>
    <w:next w:val="1"/>
    <w:link w:val="34"/>
    <w:unhideWhenUsed/>
    <w:qFormat/>
    <w:uiPriority w:val="0"/>
    <w:pPr>
      <w:numPr>
        <w:ilvl w:val="2"/>
        <w:numId w:val="1"/>
      </w:numPr>
      <w:spacing w:line="360" w:lineRule="auto"/>
      <w:ind w:left="0" w:leftChars="0" w:firstLine="420" w:firstLineChars="200"/>
      <w:jc w:val="left"/>
      <w:outlineLvl w:val="2"/>
    </w:pPr>
    <w:rPr>
      <w:b/>
      <w:bCs/>
      <w:highlight w:val="none"/>
      <w14:ligatures w14:val="standardContextual"/>
    </w:rPr>
  </w:style>
  <w:style w:type="paragraph" w:styleId="6">
    <w:name w:val="heading 4"/>
    <w:basedOn w:val="1"/>
    <w:next w:val="1"/>
    <w:unhideWhenUsed/>
    <w:qFormat/>
    <w:uiPriority w:val="0"/>
    <w:pPr>
      <w:keepNext/>
      <w:keepLines/>
      <w:numPr>
        <w:ilvl w:val="3"/>
        <w:numId w:val="1"/>
      </w:numPr>
      <w:tabs>
        <w:tab w:val="left" w:pos="0"/>
        <w:tab w:val="clear" w:pos="420"/>
      </w:tabs>
      <w:spacing w:beforeLines="0" w:beforeAutospacing="0" w:afterLines="0" w:afterAutospacing="0" w:line="360" w:lineRule="auto"/>
      <w:ind w:firstLine="420" w:firstLineChars="200"/>
      <w:jc w:val="left"/>
      <w:outlineLvl w:val="3"/>
    </w:pPr>
    <w:rPr>
      <w:b/>
      <w:bCs/>
    </w:rPr>
  </w:style>
  <w:style w:type="paragraph" w:styleId="7">
    <w:name w:val="heading 5"/>
    <w:basedOn w:val="1"/>
    <w:next w:val="1"/>
    <w:unhideWhenUsed/>
    <w:qFormat/>
    <w:uiPriority w:val="0"/>
    <w:pPr>
      <w:keepNext/>
      <w:keepLines/>
      <w:numPr>
        <w:ilvl w:val="4"/>
        <w:numId w:val="1"/>
      </w:numPr>
      <w:tabs>
        <w:tab w:val="left" w:pos="420"/>
        <w:tab w:val="clear" w:pos="0"/>
      </w:tabs>
      <w:spacing w:beforeLines="0" w:afterLines="0" w:line="360" w:lineRule="auto"/>
      <w:ind w:firstLine="420" w:firstLineChars="200"/>
      <w:jc w:val="left"/>
      <w:outlineLvl w:val="4"/>
    </w:pPr>
  </w:style>
  <w:style w:type="paragraph" w:styleId="8">
    <w:name w:val="heading 6"/>
    <w:basedOn w:val="1"/>
    <w:next w:val="1"/>
    <w:unhideWhenUsed/>
    <w:qFormat/>
    <w:uiPriority w:val="0"/>
    <w:pPr>
      <w:keepNext/>
      <w:keepLines/>
      <w:numPr>
        <w:ilvl w:val="5"/>
        <w:numId w:val="1"/>
      </w:numPr>
      <w:tabs>
        <w:tab w:val="left" w:pos="0"/>
      </w:tabs>
      <w:spacing w:beforeLines="0" w:afterLines="0"/>
      <w:ind w:firstLine="723" w:firstLineChars="200"/>
      <w:jc w:val="left"/>
      <w:outlineLvl w:val="5"/>
    </w:pPr>
  </w:style>
  <w:style w:type="character" w:default="1" w:styleId="23">
    <w:name w:val="Default Paragraph Font"/>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customStyle="1" w:styleId="2">
    <w:name w:val="纯文本1"/>
    <w:basedOn w:val="1"/>
    <w:next w:val="1"/>
    <w:qFormat/>
    <w:uiPriority w:val="0"/>
    <w:rPr>
      <w:rFonts w:ascii="宋体" w:hAnsi="Courier New"/>
    </w:rPr>
  </w:style>
  <w:style w:type="paragraph" w:styleId="9">
    <w:name w:val="Normal Indent"/>
    <w:basedOn w:val="1"/>
    <w:next w:val="1"/>
    <w:qFormat/>
    <w:uiPriority w:val="0"/>
    <w:pPr>
      <w:ind w:firstLine="420" w:firstLineChars="200"/>
    </w:pPr>
  </w:style>
  <w:style w:type="paragraph" w:styleId="10">
    <w:name w:val="caption"/>
    <w:basedOn w:val="1"/>
    <w:next w:val="1"/>
    <w:unhideWhenUsed/>
    <w:qFormat/>
    <w:uiPriority w:val="0"/>
    <w:pPr>
      <w:spacing w:line="360" w:lineRule="auto"/>
      <w:ind w:firstLine="0" w:firstLineChars="0"/>
      <w:jc w:val="center"/>
    </w:pPr>
    <w:rPr>
      <w:b/>
      <w:bCs/>
      <w:sz w:val="24"/>
      <w:szCs w:val="24"/>
    </w:rPr>
  </w:style>
  <w:style w:type="paragraph" w:styleId="11">
    <w:name w:val="Body Text"/>
    <w:basedOn w:val="1"/>
    <w:next w:val="12"/>
    <w:qFormat/>
    <w:uiPriority w:val="0"/>
    <w:pPr>
      <w:spacing w:after="120" w:afterLines="0" w:afterAutospacing="0"/>
    </w:pPr>
  </w:style>
  <w:style w:type="paragraph" w:styleId="12">
    <w:name w:val="Body Text Indent 2"/>
    <w:basedOn w:val="1"/>
    <w:next w:val="13"/>
    <w:qFormat/>
    <w:uiPriority w:val="0"/>
    <w:pPr>
      <w:tabs>
        <w:tab w:val="left" w:pos="2670"/>
      </w:tabs>
      <w:ind w:firstLine="630"/>
    </w:pPr>
    <w:rPr>
      <w:sz w:val="32"/>
    </w:rPr>
  </w:style>
  <w:style w:type="paragraph" w:styleId="13">
    <w:name w:val="Normal (Web)"/>
    <w:basedOn w:val="1"/>
    <w:next w:val="9"/>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Body Text Indent"/>
    <w:basedOn w:val="1"/>
    <w:qFormat/>
    <w:uiPriority w:val="0"/>
    <w:pPr>
      <w:ind w:firstLine="600" w:firstLineChars="200"/>
    </w:pPr>
    <w:rPr>
      <w:sz w:val="30"/>
    </w:rPr>
  </w:style>
  <w:style w:type="paragraph" w:styleId="15">
    <w:name w:val="Plain Text"/>
    <w:basedOn w:val="1"/>
    <w:qFormat/>
    <w:uiPriority w:val="0"/>
    <w:rPr>
      <w:rFonts w:ascii="宋体" w:hAnsi="Courier New"/>
    </w:rPr>
  </w:style>
  <w:style w:type="paragraph" w:styleId="16">
    <w:name w:val="footer"/>
    <w:basedOn w:val="1"/>
    <w:qFormat/>
    <w:uiPriority w:val="0"/>
    <w:pPr>
      <w:tabs>
        <w:tab w:val="center" w:pos="4153"/>
        <w:tab w:val="right" w:pos="8306"/>
      </w:tabs>
      <w:snapToGrid w:val="0"/>
      <w:ind w:firstLine="210" w:firstLineChars="100"/>
      <w:jc w:val="left"/>
    </w:pPr>
    <w:rPr>
      <w:sz w:val="18"/>
      <w:szCs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link w:val="28"/>
    <w:qFormat/>
    <w:uiPriority w:val="0"/>
    <w:pPr>
      <w:spacing w:line="240" w:lineRule="auto"/>
      <w:ind w:firstLine="0" w:firstLineChars="0"/>
    </w:pPr>
    <w:rPr>
      <w:b/>
      <w:bCs/>
      <w:sz w:val="32"/>
      <w:szCs w:val="32"/>
    </w:rPr>
  </w:style>
  <w:style w:type="paragraph" w:styleId="19">
    <w:name w:val="toc 2"/>
    <w:basedOn w:val="1"/>
    <w:next w:val="1"/>
    <w:qFormat/>
    <w:uiPriority w:val="0"/>
    <w:pPr>
      <w:snapToGrid w:val="0"/>
      <w:spacing w:line="240" w:lineRule="auto"/>
      <w:ind w:left="0" w:leftChars="0"/>
      <w:jc w:val="left"/>
    </w:pPr>
    <w:rPr>
      <w:sz w:val="32"/>
      <w:szCs w:val="32"/>
    </w:rPr>
  </w:style>
  <w:style w:type="paragraph" w:styleId="20">
    <w:name w:val="Body Text First Indent 2"/>
    <w:basedOn w:val="14"/>
    <w:unhideWhenUsed/>
    <w:qFormat/>
    <w:uiPriority w:val="99"/>
    <w:pPr>
      <w:ind w:firstLine="420" w:firstLineChars="2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
    <w:name w:val="正文段首句"/>
    <w:basedOn w:val="1"/>
    <w:next w:val="1"/>
    <w:link w:val="35"/>
    <w:qFormat/>
    <w:uiPriority w:val="0"/>
    <w:pPr>
      <w:jc w:val="left"/>
    </w:pPr>
    <w:rPr>
      <w:rFonts w:hint="eastAsia" w:ascii="Times New Roman" w:hAnsi="Times New Roman" w:eastAsia="楷体" w:cs="楷体"/>
    </w:rPr>
  </w:style>
  <w:style w:type="paragraph" w:customStyle="1" w:styleId="25">
    <w:name w:val="文本表格"/>
    <w:basedOn w:val="1"/>
    <w:qFormat/>
    <w:uiPriority w:val="0"/>
    <w:pPr>
      <w:spacing w:line="240" w:lineRule="auto"/>
      <w:ind w:firstLine="0" w:firstLineChars="0"/>
      <w:jc w:val="center"/>
    </w:pPr>
    <w:rPr>
      <w:rFonts w:eastAsia="仿宋_GB2312" w:cs="仿宋_GB2312"/>
      <w:sz w:val="21"/>
      <w:szCs w:val="21"/>
    </w:rPr>
  </w:style>
  <w:style w:type="paragraph" w:customStyle="1" w:styleId="26">
    <w:name w:val="WPSOffice手动目录 1"/>
    <w:qFormat/>
    <w:uiPriority w:val="0"/>
    <w:pPr>
      <w:ind w:leftChars="0"/>
    </w:pPr>
    <w:rPr>
      <w:rFonts w:ascii="Times New Roman" w:hAnsi="Times New Roman" w:eastAsia="仿宋" w:cs="仿宋"/>
      <w:b/>
      <w:bCs/>
      <w:sz w:val="32"/>
      <w:szCs w:val="32"/>
    </w:rPr>
  </w:style>
  <w:style w:type="paragraph" w:customStyle="1" w:styleId="27">
    <w:name w:val="WPSOffice手动目录 2"/>
    <w:qFormat/>
    <w:uiPriority w:val="0"/>
    <w:pPr>
      <w:ind w:leftChars="0" w:firstLine="420" w:firstLineChars="200"/>
    </w:pPr>
    <w:rPr>
      <w:rFonts w:ascii="Times New Roman" w:hAnsi="Times New Roman" w:eastAsia="仿宋" w:cs="仿宋"/>
      <w:sz w:val="32"/>
      <w:szCs w:val="32"/>
    </w:rPr>
  </w:style>
  <w:style w:type="character" w:customStyle="1" w:styleId="28">
    <w:name w:val="目录 1 Char"/>
    <w:link w:val="18"/>
    <w:qFormat/>
    <w:uiPriority w:val="0"/>
    <w:rPr>
      <w:b/>
      <w:bCs/>
      <w:sz w:val="32"/>
      <w:szCs w:val="32"/>
    </w:rPr>
  </w:style>
  <w:style w:type="paragraph" w:customStyle="1" w:styleId="29">
    <w:name w:val="附表标题"/>
    <w:basedOn w:val="1"/>
    <w:qFormat/>
    <w:uiPriority w:val="0"/>
    <w:pPr>
      <w:ind w:firstLine="0" w:firstLineChars="0"/>
      <w:jc w:val="center"/>
    </w:pPr>
    <w:rPr>
      <w:rFonts w:hint="eastAsia" w:eastAsia="方正小标宋简体" w:cs="方正小标宋简体"/>
      <w:sz w:val="36"/>
      <w:szCs w:val="36"/>
    </w:rPr>
  </w:style>
  <w:style w:type="paragraph" w:customStyle="1" w:styleId="30">
    <w:name w:val="附表二级标题"/>
    <w:basedOn w:val="1"/>
    <w:qFormat/>
    <w:uiPriority w:val="0"/>
    <w:pPr>
      <w:ind w:firstLine="0" w:firstLineChars="0"/>
      <w:jc w:val="center"/>
    </w:pPr>
    <w:rPr>
      <w:rFonts w:hint="eastAsia" w:ascii="Times New Roman" w:hAnsi="Times New Roman" w:eastAsia="黑体" w:cs="黑体"/>
      <w:sz w:val="32"/>
      <w:szCs w:val="32"/>
    </w:rPr>
  </w:style>
  <w:style w:type="paragraph" w:customStyle="1" w:styleId="31">
    <w:name w:val="表头"/>
    <w:basedOn w:val="1"/>
    <w:qFormat/>
    <w:uiPriority w:val="0"/>
    <w:pPr>
      <w:spacing w:line="240" w:lineRule="auto"/>
      <w:ind w:firstLine="0" w:firstLineChars="0"/>
      <w:jc w:val="center"/>
    </w:pPr>
    <w:rPr>
      <w:rFonts w:ascii="黑体" w:hAnsi="黑体" w:eastAsia="黑体" w:cs="黑体"/>
      <w:sz w:val="20"/>
      <w:szCs w:val="20"/>
    </w:rPr>
  </w:style>
  <w:style w:type="paragraph" w:customStyle="1" w:styleId="32">
    <w:name w:val="表格正文"/>
    <w:basedOn w:val="1"/>
    <w:qFormat/>
    <w:uiPriority w:val="0"/>
    <w:pPr>
      <w:spacing w:line="240" w:lineRule="auto"/>
      <w:ind w:firstLine="0" w:firstLineChars="0"/>
      <w:jc w:val="center"/>
    </w:pPr>
    <w:rPr>
      <w:rFonts w:hint="eastAsia" w:ascii="仿宋" w:hAnsi="仿宋"/>
      <w:sz w:val="18"/>
      <w:szCs w:val="18"/>
    </w:rPr>
  </w:style>
  <w:style w:type="paragraph" w:customStyle="1" w:styleId="33">
    <w:name w:val="附表备注"/>
    <w:basedOn w:val="1"/>
    <w:qFormat/>
    <w:uiPriority w:val="0"/>
    <w:pPr>
      <w:spacing w:line="360" w:lineRule="auto"/>
      <w:jc w:val="left"/>
    </w:pPr>
    <w:rPr>
      <w:rFonts w:hint="eastAsia" w:eastAsia="楷体" w:cs="楷体"/>
      <w:sz w:val="21"/>
      <w:szCs w:val="21"/>
    </w:rPr>
  </w:style>
  <w:style w:type="character" w:customStyle="1" w:styleId="34">
    <w:name w:val="标题 3 Char"/>
    <w:link w:val="5"/>
    <w:qFormat/>
    <w:uiPriority w:val="0"/>
    <w:rPr>
      <w:b/>
      <w:bCs/>
      <w:highlight w:val="none"/>
      <w14:ligatures w14:val="standardContextual"/>
    </w:rPr>
  </w:style>
  <w:style w:type="character" w:customStyle="1" w:styleId="35">
    <w:name w:val="正文段首句 Char"/>
    <w:link w:val="24"/>
    <w:qFormat/>
    <w:uiPriority w:val="0"/>
    <w:rPr>
      <w:rFonts w:hint="eastAsia" w:ascii="Times New Roman" w:hAnsi="Times New Roman" w:eastAsia="楷体" w:cs="楷体"/>
    </w:rPr>
  </w:style>
  <w:style w:type="paragraph" w:customStyle="1" w:styleId="36">
    <w:name w:val="表格"/>
    <w:basedOn w:val="1"/>
    <w:qFormat/>
    <w:uiPriority w:val="0"/>
    <w:pPr>
      <w:widowControl w:val="0"/>
      <w:snapToGrid w:val="0"/>
      <w:spacing w:line="240" w:lineRule="atLeast"/>
      <w:ind w:firstLine="0" w:firstLineChars="0"/>
      <w:jc w:val="center"/>
    </w:pPr>
    <w:rPr>
      <w:rFonts w:ascii="Times New Roman" w:hAnsi="Times New Roman"/>
      <w:sz w:val="21"/>
      <w:szCs w:val="21"/>
    </w:rPr>
  </w:style>
  <w:style w:type="paragraph" w:customStyle="1" w:styleId="37">
    <w:name w:val="附表表头"/>
    <w:basedOn w:val="1"/>
    <w:qFormat/>
    <w:uiPriority w:val="0"/>
    <w:pPr>
      <w:spacing w:line="360" w:lineRule="auto"/>
      <w:ind w:firstLine="0" w:firstLineChars="0"/>
      <w:jc w:val="center"/>
    </w:pPr>
    <w:rPr>
      <w:rFonts w:hint="eastAsia" w:eastAsia="黑体" w:cs="黑体"/>
      <w:sz w:val="28"/>
      <w:szCs w:val="28"/>
    </w:rPr>
  </w:style>
  <w:style w:type="paragraph" w:customStyle="1" w:styleId="38">
    <w:name w:val="附表表格"/>
    <w:basedOn w:val="1"/>
    <w:qFormat/>
    <w:uiPriority w:val="0"/>
    <w:pPr>
      <w:ind w:firstLine="0" w:firstLineChars="0"/>
      <w:jc w:val="center"/>
    </w:pPr>
    <w:rPr>
      <w:rFonts w:hint="eastAsia" w:ascii="Times New Roman" w:hAnsi="Times New Roman" w:eastAsia="仿宋" w:cs="仿宋"/>
      <w:sz w:val="24"/>
      <w:szCs w:val="24"/>
    </w:rPr>
  </w:style>
  <w:style w:type="character" w:customStyle="1" w:styleId="39">
    <w:name w:val="font21"/>
    <w:basedOn w:val="23"/>
    <w:qFormat/>
    <w:uiPriority w:val="0"/>
    <w:rPr>
      <w:rFonts w:hint="default" w:ascii="Times New Roman" w:hAnsi="Times New Roman" w:cs="Times New Roman"/>
      <w:color w:val="000000"/>
      <w:sz w:val="21"/>
      <w:szCs w:val="21"/>
      <w:u w:val="none"/>
    </w:rPr>
  </w:style>
  <w:style w:type="character" w:customStyle="1" w:styleId="40">
    <w:name w:val="font31"/>
    <w:basedOn w:val="23"/>
    <w:qFormat/>
    <w:uiPriority w:val="0"/>
    <w:rPr>
      <w:rFonts w:hint="default" w:ascii="Times New Roman" w:hAnsi="Times New Roman" w:cs="Times New Roman"/>
      <w:color w:val="000000"/>
      <w:sz w:val="21"/>
      <w:szCs w:val="21"/>
      <w:u w:val="none"/>
      <w:vertAlign w:val="superscript"/>
    </w:rPr>
  </w:style>
  <w:style w:type="character" w:customStyle="1" w:styleId="41">
    <w:name w:val="font11"/>
    <w:basedOn w:val="23"/>
    <w:qFormat/>
    <w:uiPriority w:val="0"/>
    <w:rPr>
      <w:rFonts w:hint="eastAsia" w:ascii="仿宋_GB2312" w:eastAsia="仿宋_GB2312" w:cs="仿宋_GB2312"/>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ppData\Roaming\kingsoft\office6\templates\wps\zh_CN\&#22269;&#22303;&#31354;&#38388;&#35268;&#21010;&#35828;&#26126;&#26679;&#24335;&#38598;.dotx" TargetMode="Externa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国土空间规划说明样式集.dotx</Template>
  <Pages>6</Pages>
  <Words>1519</Words>
  <Characters>1700</Characters>
  <Lines>0</Lines>
  <Paragraphs>0</Paragraphs>
  <TotalTime>4</TotalTime>
  <ScaleCrop>false</ScaleCrop>
  <LinksUpToDate>false</LinksUpToDate>
  <CharactersWithSpaces>1700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2025-04-01T01:15:00Z</dcterms:created>
  <dc:creator>无为小青年</dc:creator>
  <cp:lastModifiedBy>༗</cp:lastModifiedBy>
  <cp:lastPrinted>2025-04-02T00:46:00Z</cp:lastPrinted>
  <dcterms:modified xsi:type="dcterms:W3CDTF">2025-04-23T07:17:56Z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D584FFB16E8B475DB57A3FDAB7FC273A_13</vt:lpwstr>
  </property>
  <property fmtid="{D5CDD505-2E9C-101B-9397-08002B2CF9AE}" pid="4" name="KSOTemplateDocerSaveRecord">
    <vt:lpwstr>eyJoZGlkIjoiMWJhZjViZGZkOGViNTUxZmQwOTVkMDFmY2JjYjdmMTIiLCJ1c2VySWQiOiI0Mjg0NjcyODcifQ==</vt:lpwstr>
  </property>
</Properties>
</file>