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36F24">
      <w:pPr>
        <w:pStyle w:val="2"/>
        <w:spacing w:before="101" w:line="223" w:lineRule="auto"/>
        <w:ind w:left="1102"/>
        <w:outlineLvl w:val="0"/>
        <w:rPr>
          <w:sz w:val="43"/>
          <w:szCs w:val="43"/>
        </w:rPr>
      </w:pPr>
      <w:r>
        <w:rPr>
          <w:b/>
          <w:bCs/>
          <w:spacing w:val="5"/>
          <w:sz w:val="43"/>
          <w:szCs w:val="43"/>
        </w:rPr>
        <w:t>朔州市平鲁区南山公园东侧地块</w:t>
      </w:r>
    </w:p>
    <w:p w14:paraId="76228DFE">
      <w:pPr>
        <w:pStyle w:val="2"/>
        <w:spacing w:before="103" w:line="225" w:lineRule="auto"/>
        <w:ind w:left="1769"/>
        <w:rPr>
          <w:sz w:val="43"/>
          <w:szCs w:val="43"/>
        </w:rPr>
      </w:pPr>
      <w:r>
        <w:rPr>
          <w:b/>
          <w:bCs/>
          <w:spacing w:val="4"/>
          <w:sz w:val="43"/>
          <w:szCs w:val="43"/>
        </w:rPr>
        <w:t>实施性详细规划成果公示</w:t>
      </w:r>
    </w:p>
    <w:p w14:paraId="08A75D8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left="672"/>
        <w:textAlignment w:val="baseline"/>
        <w:rPr>
          <w:spacing w:val="7"/>
        </w:rPr>
      </w:pPr>
      <w:r>
        <w:rPr>
          <w:spacing w:val="7"/>
        </w:rPr>
        <w:t>规划目的</w:t>
      </w:r>
    </w:p>
    <w:p w14:paraId="4DE44E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firstLine="656" w:firstLineChars="200"/>
        <w:jc w:val="both"/>
        <w:textAlignment w:val="baseline"/>
      </w:pPr>
      <w:r>
        <w:rPr>
          <w:spacing w:val="9"/>
        </w:rPr>
        <w:t>依据《</w:t>
      </w:r>
      <w:r>
        <w:rPr>
          <w:rFonts w:hint="eastAsia"/>
          <w:spacing w:val="9"/>
          <w:lang w:eastAsia="zh-CN"/>
        </w:rPr>
        <w:t>中华人民共和国城乡规划法</w:t>
      </w:r>
      <w:r>
        <w:rPr>
          <w:spacing w:val="9"/>
        </w:rPr>
        <w:t>》和《平鲁区国土空间总体规划</w:t>
      </w:r>
      <w:r>
        <w:rPr>
          <w:spacing w:val="7"/>
        </w:rPr>
        <w:t>（2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21-2035年）》</w:t>
      </w:r>
      <w:r>
        <w:rPr>
          <w:rFonts w:hint="eastAsia"/>
          <w:spacing w:val="7"/>
          <w:lang w:eastAsia="zh-CN"/>
        </w:rPr>
        <w:t>，</w:t>
      </w:r>
      <w:r>
        <w:rPr>
          <w:spacing w:val="7"/>
        </w:rPr>
        <w:t>结合管理部门的地区发展要求和城市</w:t>
      </w:r>
      <w:r>
        <w:rPr>
          <w:spacing w:val="9"/>
        </w:rPr>
        <w:t>建设的实际情况，对朔州市平鲁区南山公园东侧地块编制实施性详细规划，详细规定规划范围内地块的各项控制</w:t>
      </w:r>
      <w:r>
        <w:rPr>
          <w:spacing w:val="8"/>
        </w:rPr>
        <w:t>指标和</w:t>
      </w:r>
      <w:r>
        <w:rPr>
          <w:spacing w:val="9"/>
        </w:rPr>
        <w:t>其他规划管理要求，保障规划区各方的基本利益，协</w:t>
      </w:r>
      <w:r>
        <w:rPr>
          <w:spacing w:val="8"/>
        </w:rPr>
        <w:t>调发展</w:t>
      </w:r>
      <w:r>
        <w:rPr>
          <w:spacing w:val="9"/>
        </w:rPr>
        <w:t>区域内的各项公共设施，促进城市良性发展，满足规划管理</w:t>
      </w:r>
      <w:r>
        <w:rPr>
          <w:spacing w:val="8"/>
        </w:rPr>
        <w:t>部门对土地使用开发管理过程的需要。</w:t>
      </w:r>
    </w:p>
    <w:p w14:paraId="3B787F2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2"/>
        <w:jc w:val="both"/>
        <w:textAlignment w:val="baseline"/>
        <w:rPr>
          <w:spacing w:val="7"/>
        </w:rPr>
      </w:pPr>
      <w:r>
        <w:rPr>
          <w:spacing w:val="7"/>
        </w:rPr>
        <w:t>规划范围</w:t>
      </w:r>
    </w:p>
    <w:p w14:paraId="1FEE55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textAlignment w:val="baseline"/>
      </w:pPr>
      <w:r>
        <w:rPr>
          <w:spacing w:val="8"/>
        </w:rPr>
        <w:t>规划范围为朔州市平鲁区南山公园东侧地块边界，用地</w:t>
      </w:r>
      <w:r>
        <w:rPr>
          <w:spacing w:val="16"/>
        </w:rPr>
        <w:t xml:space="preserve"> </w:t>
      </w:r>
      <w:r>
        <w:rPr>
          <w:spacing w:val="2"/>
        </w:rPr>
        <w:t>面积</w:t>
      </w:r>
      <w:r>
        <w:rPr>
          <w:spacing w:val="-57"/>
        </w:rPr>
        <w:t xml:space="preserve"> </w:t>
      </w:r>
      <w:r>
        <w:rPr>
          <w:spacing w:val="2"/>
        </w:rPr>
        <w:t>40507.65</w:t>
      </w:r>
      <w:r>
        <w:rPr>
          <w:spacing w:val="-61"/>
        </w:rPr>
        <w:t xml:space="preserve"> </w:t>
      </w:r>
      <w:r>
        <w:rPr>
          <w:spacing w:val="2"/>
        </w:rPr>
        <w:t>㎡。</w:t>
      </w:r>
    </w:p>
    <w:p w14:paraId="0093426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672" w:leftChars="0" w:firstLine="0" w:firstLineChars="0"/>
        <w:jc w:val="both"/>
        <w:textAlignment w:val="baseline"/>
        <w:rPr>
          <w:spacing w:val="8"/>
        </w:rPr>
      </w:pPr>
      <w:r>
        <w:rPr>
          <w:spacing w:val="8"/>
        </w:rPr>
        <w:t>用地布局规划</w:t>
      </w:r>
    </w:p>
    <w:p w14:paraId="03CE53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firstLine="656" w:firstLineChars="200"/>
        <w:jc w:val="both"/>
        <w:textAlignment w:val="baseline"/>
      </w:pPr>
      <w:r>
        <w:rPr>
          <w:spacing w:val="9"/>
        </w:rPr>
        <w:t>本规划确定朔州市平鲁区南山公园东侧地块一级地类</w:t>
      </w:r>
      <w:r>
        <w:rPr>
          <w:spacing w:val="6"/>
        </w:rPr>
        <w:t xml:space="preserve"> </w:t>
      </w:r>
      <w:r>
        <w:rPr>
          <w:spacing w:val="8"/>
        </w:rPr>
        <w:t>为公共管理与公共服务用地（08</w:t>
      </w:r>
      <w:r>
        <w:rPr>
          <w:spacing w:val="19"/>
        </w:rPr>
        <w:t>），</w:t>
      </w:r>
      <w:r>
        <w:rPr>
          <w:spacing w:val="8"/>
        </w:rPr>
        <w:t>二级地类为文化用地</w:t>
      </w:r>
      <w:r>
        <w:rPr>
          <w:spacing w:val="1"/>
        </w:rPr>
        <w:t xml:space="preserve"> （0803）。</w:t>
      </w:r>
    </w:p>
    <w:p w14:paraId="4A58C02F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2" w:leftChars="0" w:firstLine="0" w:firstLineChars="0"/>
        <w:jc w:val="both"/>
        <w:textAlignment w:val="baseline"/>
        <w:rPr>
          <w:spacing w:val="5"/>
        </w:rPr>
      </w:pPr>
      <w:r>
        <w:rPr>
          <w:spacing w:val="5"/>
        </w:rPr>
        <w:t>地块指标控制体系</w:t>
      </w:r>
    </w:p>
    <w:p w14:paraId="5F4777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</w:pPr>
      <w:r>
        <w:rPr>
          <w:spacing w:val="9"/>
        </w:rPr>
        <w:t>本次规划地块面积为</w:t>
      </w:r>
      <w:r>
        <w:rPr>
          <w:spacing w:val="-48"/>
        </w:rPr>
        <w:t xml:space="preserve"> </w:t>
      </w:r>
      <w:r>
        <w:rPr>
          <w:spacing w:val="9"/>
        </w:rPr>
        <w:t>40507.65</w:t>
      </w:r>
      <w:r>
        <w:rPr>
          <w:spacing w:val="-53"/>
        </w:rPr>
        <w:t xml:space="preserve"> </w:t>
      </w:r>
      <w:r>
        <w:rPr>
          <w:spacing w:val="9"/>
        </w:rPr>
        <w:t>㎡</w:t>
      </w:r>
      <w:r>
        <w:rPr>
          <w:spacing w:val="-87"/>
        </w:rPr>
        <w:t xml:space="preserve"> </w:t>
      </w:r>
      <w:r>
        <w:rPr>
          <w:spacing w:val="9"/>
        </w:rPr>
        <w:t>，参考《朔州市城市</w:t>
      </w:r>
      <w:r>
        <w:t xml:space="preserve"> </w:t>
      </w:r>
      <w:r>
        <w:rPr>
          <w:spacing w:val="8"/>
        </w:rPr>
        <w:t>规划管理技术规定》（试行</w:t>
      </w:r>
      <w:r>
        <w:rPr>
          <w:spacing w:val="19"/>
        </w:rPr>
        <w:t>），</w:t>
      </w:r>
      <w:r>
        <w:rPr>
          <w:spacing w:val="8"/>
        </w:rPr>
        <w:t>文化用地指标控制要求，结</w:t>
      </w:r>
      <w:r>
        <w:rPr>
          <w:spacing w:val="1"/>
        </w:rPr>
        <w:t xml:space="preserve"> </w:t>
      </w:r>
      <w:r>
        <w:rPr>
          <w:spacing w:val="9"/>
        </w:rPr>
        <w:t>合方案合理性，通过初步方案设计，最终确定该用地</w:t>
      </w:r>
      <w:r>
        <w:rPr>
          <w:spacing w:val="8"/>
        </w:rPr>
        <w:t>容积率</w:t>
      </w:r>
      <w:r>
        <w:t xml:space="preserve"> </w:t>
      </w:r>
      <w:r>
        <w:rPr>
          <w:spacing w:val="7"/>
        </w:rPr>
        <w:t>≤1.2、建筑密度≤20%，绿地率≥3</w:t>
      </w:r>
      <w:r>
        <w:rPr>
          <w:spacing w:val="6"/>
        </w:rPr>
        <w:t>5%。</w:t>
      </w:r>
    </w:p>
    <w:p w14:paraId="2CC60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EFA6746">
      <w:pPr>
        <w:spacing w:line="341" w:lineRule="auto"/>
        <w:jc w:val="both"/>
        <w:rPr>
          <w:rFonts w:ascii="Arial"/>
          <w:sz w:val="21"/>
        </w:rPr>
      </w:pPr>
    </w:p>
    <w:p w14:paraId="5E36CB88">
      <w:pPr>
        <w:pStyle w:val="2"/>
        <w:spacing w:before="101" w:line="226" w:lineRule="auto"/>
        <w:ind w:left="790"/>
        <w:jc w:val="both"/>
      </w:pPr>
      <w:r>
        <w:rPr>
          <w:spacing w:val="8"/>
        </w:rPr>
        <w:t>建筑物退让控制：建、构筑物退地块边界线≥3m。</w:t>
      </w:r>
    </w:p>
    <w:p w14:paraId="696291BE">
      <w:pPr>
        <w:spacing w:line="335" w:lineRule="auto"/>
        <w:jc w:val="both"/>
        <w:rPr>
          <w:rFonts w:ascii="Arial"/>
          <w:sz w:val="21"/>
        </w:rPr>
      </w:pPr>
    </w:p>
    <w:p w14:paraId="639E1849">
      <w:pPr>
        <w:pStyle w:val="2"/>
        <w:spacing w:before="78" w:line="212" w:lineRule="auto"/>
        <w:ind w:left="782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表</w:t>
      </w:r>
      <w:r>
        <w:rPr>
          <w:spacing w:val="-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 xml:space="preserve">                      </w:t>
      </w:r>
      <w:r>
        <w:rPr>
          <w:spacing w:val="-6"/>
          <w:sz w:val="24"/>
          <w:szCs w:val="24"/>
        </w:rPr>
        <w:t>开发强度控制</w:t>
      </w:r>
    </w:p>
    <w:tbl>
      <w:tblPr>
        <w:tblStyle w:val="5"/>
        <w:tblW w:w="8524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6838"/>
      </w:tblGrid>
      <w:tr w14:paraId="2F4F4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86" w:type="dxa"/>
            <w:vAlign w:val="top"/>
          </w:tcPr>
          <w:p w14:paraId="5921DBAB">
            <w:pPr>
              <w:pStyle w:val="6"/>
              <w:spacing w:before="40" w:line="207" w:lineRule="auto"/>
              <w:ind w:left="492"/>
              <w:jc w:val="both"/>
            </w:pPr>
            <w:r>
              <w:rPr>
                <w:spacing w:val="-5"/>
              </w:rPr>
              <w:t>容积率</w:t>
            </w:r>
          </w:p>
        </w:tc>
        <w:tc>
          <w:tcPr>
            <w:tcW w:w="6838" w:type="dxa"/>
            <w:vAlign w:val="top"/>
          </w:tcPr>
          <w:p w14:paraId="0DA54CD2">
            <w:pPr>
              <w:pStyle w:val="6"/>
              <w:spacing w:before="40" w:line="207" w:lineRule="auto"/>
              <w:ind w:left="3139"/>
              <w:jc w:val="both"/>
            </w:pPr>
            <w:r>
              <w:rPr>
                <w:spacing w:val="-7"/>
              </w:rPr>
              <w:t>≤1.2</w:t>
            </w:r>
          </w:p>
        </w:tc>
      </w:tr>
      <w:tr w14:paraId="75B66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86" w:type="dxa"/>
            <w:vAlign w:val="top"/>
          </w:tcPr>
          <w:p w14:paraId="61E2B5D4">
            <w:pPr>
              <w:pStyle w:val="6"/>
              <w:spacing w:before="39" w:line="204" w:lineRule="auto"/>
              <w:ind w:left="372"/>
              <w:jc w:val="both"/>
            </w:pPr>
            <w:r>
              <w:rPr>
                <w:spacing w:val="-4"/>
              </w:rPr>
              <w:t>建筑密度</w:t>
            </w:r>
          </w:p>
        </w:tc>
        <w:tc>
          <w:tcPr>
            <w:tcW w:w="6838" w:type="dxa"/>
            <w:vAlign w:val="top"/>
          </w:tcPr>
          <w:p w14:paraId="5F6452FB">
            <w:pPr>
              <w:pStyle w:val="6"/>
              <w:spacing w:before="39" w:line="204" w:lineRule="auto"/>
              <w:ind w:left="3139"/>
              <w:jc w:val="both"/>
            </w:pPr>
            <w:r>
              <w:rPr>
                <w:spacing w:val="-7"/>
              </w:rPr>
              <w:t>≤20%</w:t>
            </w:r>
          </w:p>
        </w:tc>
      </w:tr>
      <w:tr w14:paraId="447C8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86" w:type="dxa"/>
            <w:vAlign w:val="top"/>
          </w:tcPr>
          <w:p w14:paraId="5BEE664F">
            <w:pPr>
              <w:pStyle w:val="6"/>
              <w:spacing w:before="40" w:line="207" w:lineRule="auto"/>
              <w:ind w:left="491"/>
              <w:jc w:val="both"/>
            </w:pPr>
            <w:r>
              <w:rPr>
                <w:spacing w:val="-4"/>
              </w:rPr>
              <w:t>绿地率</w:t>
            </w:r>
          </w:p>
        </w:tc>
        <w:tc>
          <w:tcPr>
            <w:tcW w:w="6838" w:type="dxa"/>
            <w:vAlign w:val="top"/>
          </w:tcPr>
          <w:p w14:paraId="706E0296">
            <w:pPr>
              <w:pStyle w:val="6"/>
              <w:spacing w:before="40" w:line="207" w:lineRule="auto"/>
              <w:ind w:left="3146"/>
              <w:jc w:val="both"/>
            </w:pPr>
            <w:r>
              <w:rPr>
                <w:spacing w:val="-9"/>
              </w:rPr>
              <w:t>≥35%</w:t>
            </w:r>
          </w:p>
        </w:tc>
      </w:tr>
    </w:tbl>
    <w:p w14:paraId="1E2A85DB">
      <w:pPr>
        <w:spacing w:line="246" w:lineRule="auto"/>
        <w:jc w:val="both"/>
        <w:rPr>
          <w:rFonts w:ascii="Arial"/>
          <w:sz w:val="21"/>
        </w:rPr>
      </w:pPr>
    </w:p>
    <w:p w14:paraId="6ACE3A8B">
      <w:pPr>
        <w:pStyle w:val="2"/>
        <w:spacing w:before="78" w:line="212" w:lineRule="auto"/>
        <w:ind w:left="7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表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                     </w:t>
      </w:r>
      <w:r>
        <w:rPr>
          <w:spacing w:val="-5"/>
          <w:sz w:val="24"/>
          <w:szCs w:val="24"/>
        </w:rPr>
        <w:t>建筑建造控制</w:t>
      </w:r>
    </w:p>
    <w:tbl>
      <w:tblPr>
        <w:tblStyle w:val="5"/>
        <w:tblW w:w="8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5812"/>
      </w:tblGrid>
      <w:tr w14:paraId="7E62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727" w:type="dxa"/>
            <w:vAlign w:val="top"/>
          </w:tcPr>
          <w:p w14:paraId="03F802B7">
            <w:pPr>
              <w:pStyle w:val="6"/>
              <w:spacing w:before="119" w:line="220" w:lineRule="auto"/>
              <w:ind w:left="654"/>
              <w:jc w:val="both"/>
            </w:pPr>
            <w:r>
              <w:rPr>
                <w:spacing w:val="-3"/>
              </w:rPr>
              <w:t>建、构筑高度</w:t>
            </w:r>
          </w:p>
        </w:tc>
        <w:tc>
          <w:tcPr>
            <w:tcW w:w="5812" w:type="dxa"/>
            <w:vAlign w:val="top"/>
          </w:tcPr>
          <w:p w14:paraId="35F81825">
            <w:pPr>
              <w:pStyle w:val="6"/>
              <w:spacing w:before="119" w:line="237" w:lineRule="auto"/>
              <w:ind w:left="2628"/>
              <w:jc w:val="both"/>
            </w:pPr>
            <w:r>
              <w:rPr>
                <w:spacing w:val="-7"/>
              </w:rPr>
              <w:t>≤36m</w:t>
            </w:r>
          </w:p>
        </w:tc>
      </w:tr>
      <w:tr w14:paraId="4F864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7" w:type="dxa"/>
            <w:vAlign w:val="top"/>
          </w:tcPr>
          <w:p w14:paraId="523F5206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5CBA533E">
            <w:pPr>
              <w:pStyle w:val="6"/>
              <w:spacing w:before="78" w:line="221" w:lineRule="auto"/>
              <w:ind w:left="894"/>
              <w:jc w:val="both"/>
            </w:pPr>
            <w:r>
              <w:rPr>
                <w:spacing w:val="-4"/>
              </w:rPr>
              <w:t>建筑退界</w:t>
            </w:r>
          </w:p>
        </w:tc>
        <w:tc>
          <w:tcPr>
            <w:tcW w:w="5812" w:type="dxa"/>
            <w:vAlign w:val="top"/>
          </w:tcPr>
          <w:p w14:paraId="799868A5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1EBC01CE">
            <w:pPr>
              <w:pStyle w:val="6"/>
              <w:spacing w:before="78" w:line="221" w:lineRule="auto"/>
              <w:ind w:left="1354"/>
              <w:jc w:val="both"/>
            </w:pPr>
            <w:r>
              <w:rPr>
                <w:spacing w:val="-1"/>
              </w:rPr>
              <w:t>建、构筑物退地块边界线≥3m</w:t>
            </w:r>
          </w:p>
        </w:tc>
      </w:tr>
      <w:tr w14:paraId="0962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727" w:type="dxa"/>
            <w:vAlign w:val="top"/>
          </w:tcPr>
          <w:p w14:paraId="55F6460E">
            <w:pPr>
              <w:spacing w:line="373" w:lineRule="auto"/>
              <w:jc w:val="both"/>
              <w:rPr>
                <w:rFonts w:ascii="Arial"/>
                <w:sz w:val="21"/>
              </w:rPr>
            </w:pPr>
          </w:p>
          <w:p w14:paraId="0947454A">
            <w:pPr>
              <w:pStyle w:val="6"/>
              <w:spacing w:before="78" w:line="221" w:lineRule="auto"/>
              <w:ind w:left="894"/>
              <w:jc w:val="both"/>
            </w:pPr>
            <w:r>
              <w:rPr>
                <w:spacing w:val="-4"/>
              </w:rPr>
              <w:t>建筑间距</w:t>
            </w:r>
          </w:p>
        </w:tc>
        <w:tc>
          <w:tcPr>
            <w:tcW w:w="5812" w:type="dxa"/>
            <w:vAlign w:val="top"/>
          </w:tcPr>
          <w:p w14:paraId="4A25E70F">
            <w:pPr>
              <w:pStyle w:val="6"/>
              <w:spacing w:before="142"/>
              <w:ind w:left="113" w:right="182"/>
              <w:jc w:val="both"/>
            </w:pPr>
            <w:r>
              <w:rPr>
                <w:spacing w:val="-1"/>
              </w:rPr>
              <w:t>地块内建（构）筑物间距应严格满足《博物馆建筑设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计规范》（JGJ66-2015）、《建筑设计防火规范》</w:t>
            </w:r>
          </w:p>
          <w:p w14:paraId="05E422D3">
            <w:pPr>
              <w:pStyle w:val="6"/>
              <w:spacing w:line="220" w:lineRule="auto"/>
              <w:ind w:left="125"/>
              <w:jc w:val="both"/>
            </w:pPr>
            <w:r>
              <w:rPr>
                <w:spacing w:val="-2"/>
              </w:rPr>
              <w:t>（GB50016-2014）等相关规范。</w:t>
            </w:r>
          </w:p>
        </w:tc>
      </w:tr>
    </w:tbl>
    <w:p w14:paraId="4D50BF6B">
      <w:pPr>
        <w:jc w:val="both"/>
        <w:rPr>
          <w:rFonts w:ascii="Arial"/>
          <w:sz w:val="21"/>
        </w:rPr>
      </w:pPr>
    </w:p>
    <w:p w14:paraId="7B45B043">
      <w:pPr>
        <w:jc w:val="both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9" w:bottom="0" w:left="1666" w:header="0" w:footer="0" w:gutter="0"/>
          <w:cols w:space="720" w:num="1"/>
        </w:sectPr>
      </w:pPr>
    </w:p>
    <w:p w14:paraId="4D2358A7">
      <w:pPr>
        <w:spacing w:line="16825" w:lineRule="exact"/>
      </w:pPr>
      <w:r>
        <w:rPr>
          <w:position w:val="-336"/>
        </w:rPr>
        <w:drawing>
          <wp:inline distT="0" distB="0" distL="0" distR="0">
            <wp:extent cx="10645775" cy="7555230"/>
            <wp:effectExtent l="0" t="0" r="7620" b="31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4577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F50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A03E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B6CF4"/>
    <w:multiLevelType w:val="singleLevel"/>
    <w:tmpl w:val="E18B6C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9BA58F"/>
    <w:multiLevelType w:val="singleLevel"/>
    <w:tmpl w:val="329BA5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EA375D"/>
    <w:rsid w:val="273A2CA2"/>
    <w:rsid w:val="47CF7161"/>
    <w:rsid w:val="50A76ECD"/>
    <w:rsid w:val="527C7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521</Words>
  <Characters>583</Characters>
  <TotalTime>7</TotalTime>
  <ScaleCrop>false</ScaleCrop>
  <LinksUpToDate>false</LinksUpToDate>
  <CharactersWithSpaces>640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2025-03-24T15:45:00Z</dcterms:created>
  <dc:creator>WO</dc:creator>
  <cp:lastModifiedBy>༗</cp:lastModifiedBy>
  <dcterms:modified xsi:type="dcterms:W3CDTF">2025-04-02T01:15:31Z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2025-03-31T17:17:54Z</vt:filetime>
  </property>
  <property fmtid="{D5CDD505-2E9C-101B-9397-08002B2CF9AE}" pid="4" name="KSOTemplateDocerSaveRecord">
    <vt:lpwstr>eyJoZGlkIjoiMWJhZjViZGZkOGViNTUxZmQwOTVkMDFmY2JjYjdmMTIiLCJ1c2VySWQiOiI0Mjg0NjcyODcifQ==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9A66E54BDE6E4A73ACAD4A528B498C40_12</vt:lpwstr>
  </property>
</Properties>
</file>