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jc w:val="center"/>
        <w:rPr>
          <w:rFonts w:hint="eastAsia" w:ascii="楷体_GB2312" w:eastAsia="楷体_GB2312"/>
          <w:color w:val="auto"/>
          <w:sz w:val="36"/>
          <w:szCs w:val="36"/>
          <w:highlight w:val="none"/>
          <w:lang w:eastAsia="zh-CN"/>
        </w:rPr>
        <w:sectPr>
          <w:footerReference r:id="rId4" w:type="first"/>
          <w:headerReference r:id="rId3" w:type="default"/>
          <w:pgSz w:w="11906" w:h="16838"/>
          <w:pgMar w:top="1417" w:right="1418" w:bottom="1417" w:left="1417" w:header="851" w:footer="992" w:gutter="0"/>
          <w:pgBorders>
            <w:top w:val="none" w:sz="0" w:space="0"/>
            <w:left w:val="none" w:sz="0" w:space="0"/>
            <w:bottom w:val="none" w:sz="0" w:space="0"/>
            <w:right w:val="none" w:sz="0" w:space="0"/>
          </w:pgBorders>
          <w:pgNumType w:fmt="decimal" w:start="1"/>
          <w:cols w:space="720" w:num="1"/>
          <w:titlePg/>
          <w:docGrid w:type="lines" w:linePitch="312" w:charSpace="-4301"/>
        </w:sectPr>
      </w:pPr>
      <w:r>
        <w:rPr>
          <w:rFonts w:hint="eastAsia" w:ascii="楷体_GB2312" w:eastAsia="楷体_GB2312"/>
          <w:color w:val="auto"/>
          <w:sz w:val="36"/>
          <w:szCs w:val="36"/>
          <w:highlight w:val="none"/>
          <w:lang w:eastAsia="zh-CN"/>
        </w:rPr>
        <w:drawing>
          <wp:anchor distT="0" distB="0" distL="114300" distR="114300" simplePos="0" relativeHeight="251662336" behindDoc="1" locked="0" layoutInCell="1" allowOverlap="1">
            <wp:simplePos x="0" y="0"/>
            <wp:positionH relativeFrom="column">
              <wp:posOffset>-920750</wp:posOffset>
            </wp:positionH>
            <wp:positionV relativeFrom="paragraph">
              <wp:posOffset>-793750</wp:posOffset>
            </wp:positionV>
            <wp:extent cx="7508240" cy="10624820"/>
            <wp:effectExtent l="0" t="0" r="16510" b="5080"/>
            <wp:wrapNone/>
            <wp:docPr id="29" name="图片 29" descr="扫描全能王 2023-11-07 20.4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扫描全能王 2023-11-07 20.48_00"/>
                    <pic:cNvPicPr>
                      <a:picLocks noChangeAspect="1"/>
                    </pic:cNvPicPr>
                  </pic:nvPicPr>
                  <pic:blipFill>
                    <a:blip r:embed="rId10"/>
                    <a:stretch>
                      <a:fillRect/>
                    </a:stretch>
                  </pic:blipFill>
                  <pic:spPr>
                    <a:xfrm>
                      <a:off x="0" y="0"/>
                      <a:ext cx="7508240" cy="10624820"/>
                    </a:xfrm>
                    <a:prstGeom prst="rect">
                      <a:avLst/>
                    </a:prstGeom>
                  </pic:spPr>
                </pic:pic>
              </a:graphicData>
            </a:graphic>
          </wp:anchor>
        </w:drawing>
      </w:r>
    </w:p>
    <w:p>
      <w:pPr>
        <w:pStyle w:val="2"/>
        <w:rPr>
          <w:rFonts w:hint="eastAsia" w:eastAsia="宋体"/>
          <w:lang w:eastAsia="zh-CN"/>
        </w:rPr>
        <w:sectPr>
          <w:pgSz w:w="11906" w:h="16838"/>
          <w:pgMar w:top="1417" w:right="1418" w:bottom="1417" w:left="1417" w:header="851" w:footer="992" w:gutter="0"/>
          <w:pgBorders>
            <w:top w:val="none" w:sz="0" w:space="0"/>
            <w:left w:val="none" w:sz="0" w:space="0"/>
            <w:bottom w:val="none" w:sz="0" w:space="0"/>
            <w:right w:val="none" w:sz="0" w:space="0"/>
          </w:pgBorders>
          <w:pgNumType w:fmt="decimal" w:start="1"/>
          <w:cols w:space="720" w:num="1"/>
          <w:titlePg/>
          <w:docGrid w:type="lines" w:linePitch="312" w:charSpace="-4301"/>
        </w:sectPr>
      </w:pPr>
      <w:r>
        <w:rPr>
          <w:rFonts w:hint="eastAsia" w:eastAsia="宋体"/>
          <w:lang w:eastAsia="zh-CN"/>
        </w:rPr>
        <w:drawing>
          <wp:anchor distT="0" distB="0" distL="114300" distR="114300" simplePos="0" relativeHeight="251662336" behindDoc="1" locked="0" layoutInCell="1" allowOverlap="1">
            <wp:simplePos x="0" y="0"/>
            <wp:positionH relativeFrom="column">
              <wp:posOffset>-857250</wp:posOffset>
            </wp:positionH>
            <wp:positionV relativeFrom="paragraph">
              <wp:posOffset>-857250</wp:posOffset>
            </wp:positionV>
            <wp:extent cx="7486015" cy="10593070"/>
            <wp:effectExtent l="0" t="0" r="635" b="17780"/>
            <wp:wrapNone/>
            <wp:docPr id="30" name="图片 30" descr="扫描全能王 2023-11-07 20.48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扫描全能王 2023-11-07 20.48 (1)_00"/>
                    <pic:cNvPicPr>
                      <a:picLocks noChangeAspect="1"/>
                    </pic:cNvPicPr>
                  </pic:nvPicPr>
                  <pic:blipFill>
                    <a:blip r:embed="rId11"/>
                    <a:stretch>
                      <a:fillRect/>
                    </a:stretch>
                  </pic:blipFill>
                  <pic:spPr>
                    <a:xfrm>
                      <a:off x="0" y="0"/>
                      <a:ext cx="7486015" cy="10593070"/>
                    </a:xfrm>
                    <a:prstGeom prst="rect">
                      <a:avLst/>
                    </a:prstGeom>
                  </pic:spPr>
                </pic:pic>
              </a:graphicData>
            </a:graphic>
          </wp:anchor>
        </w:drawing>
      </w:r>
    </w:p>
    <w:p>
      <w:pPr>
        <w:pStyle w:val="2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center"/>
        <w:rPr>
          <w:rFonts w:hint="default"/>
          <w:color w:val="auto"/>
          <w:highlight w:val="red"/>
        </w:rPr>
      </w:pPr>
    </w:p>
    <w:p>
      <w:pPr>
        <w:pStyle w:val="21"/>
        <w:keepNext w:val="0"/>
        <w:keepLines w:val="0"/>
        <w:pageBreakBefore w:val="0"/>
        <w:widowControl w:val="0"/>
        <w:kinsoku/>
        <w:wordWrap/>
        <w:overflowPunct/>
        <w:topLinePunct w:val="0"/>
        <w:autoSpaceDE/>
        <w:autoSpaceDN/>
        <w:bidi w:val="0"/>
        <w:adjustRightInd/>
        <w:snapToGrid/>
        <w:spacing w:after="0" w:line="40" w:lineRule="exact"/>
        <w:ind w:left="0" w:leftChars="0" w:firstLine="0" w:firstLineChars="0"/>
        <w:jc w:val="both"/>
        <w:rPr>
          <w:rFonts w:hint="default"/>
          <w:color w:val="auto"/>
          <w:highlight w:val="red"/>
        </w:rPr>
      </w:pPr>
    </w:p>
    <w:tbl>
      <w:tblPr>
        <w:tblStyle w:val="22"/>
        <w:tblW w:w="387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179"/>
        <w:gridCol w:w="496"/>
        <w:gridCol w:w="51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1" w:hRule="atLeast"/>
          <w:jc w:val="center"/>
        </w:trPr>
        <w:tc>
          <w:tcPr>
            <w:tcW w:w="51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drawing>
                <wp:inline distT="0" distB="0" distL="114300" distR="114300">
                  <wp:extent cx="3273425" cy="1841500"/>
                  <wp:effectExtent l="0" t="0" r="3175" b="6350"/>
                  <wp:docPr id="105" name="图片 105" descr="591d6cd7a480e58a5ef7379b4246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591d6cd7a480e58a5ef7379b42465c1"/>
                          <pic:cNvPicPr>
                            <a:picLocks noChangeAspect="1"/>
                          </pic:cNvPicPr>
                        </pic:nvPicPr>
                        <pic:blipFill>
                          <a:blip r:embed="rId12"/>
                          <a:stretch>
                            <a:fillRect/>
                          </a:stretch>
                        </pic:blipFill>
                        <pic:spPr>
                          <a:xfrm>
                            <a:off x="0" y="0"/>
                            <a:ext cx="3273425" cy="1841500"/>
                          </a:xfrm>
                          <a:prstGeom prst="rect">
                            <a:avLst/>
                          </a:prstGeom>
                        </pic:spPr>
                      </pic:pic>
                    </a:graphicData>
                  </a:graphic>
                </wp:inline>
              </w:drawing>
            </w:r>
          </w:p>
        </w:tc>
        <w:tc>
          <w:tcPr>
            <w:tcW w:w="4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4"/>
                <w:highlight w:val="none"/>
              </w:rPr>
            </w:pPr>
          </w:p>
        </w:tc>
        <w:tc>
          <w:tcPr>
            <w:tcW w:w="51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drawing>
                <wp:inline distT="0" distB="0" distL="114300" distR="114300">
                  <wp:extent cx="3273425" cy="1841500"/>
                  <wp:effectExtent l="0" t="0" r="3175" b="6350"/>
                  <wp:docPr id="106" name="图片 106" descr="f31a94ee3c0782b68ecf7395ba10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f31a94ee3c0782b68ecf7395ba1040c"/>
                          <pic:cNvPicPr>
                            <a:picLocks noChangeAspect="1"/>
                          </pic:cNvPicPr>
                        </pic:nvPicPr>
                        <pic:blipFill>
                          <a:blip r:embed="rId13"/>
                          <a:stretch>
                            <a:fillRect/>
                          </a:stretch>
                        </pic:blipFill>
                        <pic:spPr>
                          <a:xfrm>
                            <a:off x="0" y="0"/>
                            <a:ext cx="3273425" cy="18415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51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场地现状</w:t>
            </w:r>
          </w:p>
        </w:tc>
        <w:tc>
          <w:tcPr>
            <w:tcW w:w="4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4"/>
                <w:szCs w:val="24"/>
                <w:highlight w:val="none"/>
                <w:lang w:eastAsia="zh-CN" w:bidi="ar"/>
              </w:rPr>
            </w:pPr>
          </w:p>
        </w:tc>
        <w:tc>
          <w:tcPr>
            <w:tcW w:w="51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场地现状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51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drawing>
                <wp:inline distT="0" distB="0" distL="114300" distR="114300">
                  <wp:extent cx="3284220" cy="1847215"/>
                  <wp:effectExtent l="0" t="0" r="11430" b="635"/>
                  <wp:docPr id="23" name="图片 23" descr="38bef0bdf3c92690ce68cbdb6c8e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8bef0bdf3c92690ce68cbdb6c8e698"/>
                          <pic:cNvPicPr>
                            <a:picLocks noChangeAspect="1"/>
                          </pic:cNvPicPr>
                        </pic:nvPicPr>
                        <pic:blipFill>
                          <a:blip r:embed="rId14"/>
                          <a:stretch>
                            <a:fillRect/>
                          </a:stretch>
                        </pic:blipFill>
                        <pic:spPr>
                          <a:xfrm>
                            <a:off x="0" y="0"/>
                            <a:ext cx="3284220" cy="1847215"/>
                          </a:xfrm>
                          <a:prstGeom prst="rect">
                            <a:avLst/>
                          </a:prstGeom>
                        </pic:spPr>
                      </pic:pic>
                    </a:graphicData>
                  </a:graphic>
                </wp:inline>
              </w:drawing>
            </w:r>
          </w:p>
        </w:tc>
        <w:tc>
          <w:tcPr>
            <w:tcW w:w="4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4"/>
                <w:highlight w:val="none"/>
              </w:rPr>
            </w:pPr>
          </w:p>
        </w:tc>
        <w:tc>
          <w:tcPr>
            <w:tcW w:w="51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drawing>
                <wp:inline distT="0" distB="0" distL="114300" distR="114300">
                  <wp:extent cx="3276600" cy="1843405"/>
                  <wp:effectExtent l="0" t="0" r="0" b="4445"/>
                  <wp:docPr id="10" name="图片 10" descr="7815b3fc0b4e2627cb4f5f71df9c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815b3fc0b4e2627cb4f5f71df9cfe4"/>
                          <pic:cNvPicPr>
                            <a:picLocks noChangeAspect="1"/>
                          </pic:cNvPicPr>
                        </pic:nvPicPr>
                        <pic:blipFill>
                          <a:blip r:embed="rId15"/>
                          <a:stretch>
                            <a:fillRect/>
                          </a:stretch>
                        </pic:blipFill>
                        <pic:spPr>
                          <a:xfrm>
                            <a:off x="0" y="0"/>
                            <a:ext cx="3276600" cy="18434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51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依托的办公区现状</w:t>
            </w:r>
          </w:p>
        </w:tc>
        <w:tc>
          <w:tcPr>
            <w:tcW w:w="4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4"/>
                <w:szCs w:val="24"/>
                <w:highlight w:val="none"/>
                <w:lang w:eastAsia="zh-CN"/>
              </w:rPr>
            </w:pPr>
          </w:p>
        </w:tc>
        <w:tc>
          <w:tcPr>
            <w:tcW w:w="51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依托的办公区现状</w:t>
            </w:r>
          </w:p>
        </w:tc>
      </w:tr>
    </w:tbl>
    <w:p>
      <w:pPr>
        <w:keepNext w:val="0"/>
        <w:keepLines w:val="0"/>
        <w:pageBreakBefore w:val="0"/>
        <w:widowControl w:val="0"/>
        <w:kinsoku/>
        <w:wordWrap/>
        <w:overflowPunct/>
        <w:topLinePunct w:val="0"/>
        <w:autoSpaceDE/>
        <w:autoSpaceDN/>
        <w:bidi w:val="0"/>
        <w:adjustRightInd/>
        <w:snapToGrid/>
        <w:spacing w:line="40" w:lineRule="exact"/>
        <w:jc w:val="center"/>
        <w:rPr>
          <w:rFonts w:hint="default"/>
          <w:color w:val="auto"/>
          <w:highlight w:val="red"/>
        </w:rPr>
        <w:sectPr>
          <w:footerReference r:id="rId6" w:type="first"/>
          <w:headerReference r:id="rId5" w:type="default"/>
          <w:pgSz w:w="16838" w:h="11906" w:orient="landscape"/>
          <w:pgMar w:top="1417" w:right="1417" w:bottom="1418" w:left="1417" w:header="851" w:footer="992" w:gutter="0"/>
          <w:pgBorders>
            <w:top w:val="none" w:sz="0" w:space="0"/>
            <w:left w:val="none" w:sz="0" w:space="0"/>
            <w:bottom w:val="none" w:sz="0" w:space="0"/>
            <w:right w:val="none" w:sz="0" w:space="0"/>
          </w:pgBorders>
          <w:pgNumType w:fmt="decimal" w:start="1"/>
          <w:cols w:space="0" w:num="1"/>
          <w:titlePg/>
          <w:rtlGutter w:val="0"/>
          <w:docGrid w:type="lines" w:linePitch="312" w:charSpace="0"/>
        </w:sectPr>
      </w:pPr>
    </w:p>
    <w:p>
      <w:pPr>
        <w:pStyle w:val="3"/>
        <w:ind w:firstLine="0" w:firstLineChars="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eastAsia="zh-CN"/>
        </w:rPr>
        <w:t>一、</w:t>
      </w:r>
      <w:r>
        <w:rPr>
          <w:rFonts w:hint="eastAsia" w:ascii="黑体" w:hAnsi="黑体" w:eastAsia="黑体" w:cs="黑体"/>
          <w:color w:val="auto"/>
          <w:sz w:val="30"/>
          <w:szCs w:val="30"/>
          <w:highlight w:val="none"/>
        </w:rPr>
        <w:t>建设项目基本情况</w:t>
      </w:r>
    </w:p>
    <w:tbl>
      <w:tblPr>
        <w:tblStyle w:val="22"/>
        <w:tblW w:w="497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44"/>
        <w:gridCol w:w="2119"/>
        <w:gridCol w:w="2306"/>
        <w:gridCol w:w="27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建设项目名称</w:t>
            </w:r>
          </w:p>
        </w:tc>
        <w:tc>
          <w:tcPr>
            <w:tcW w:w="3981" w:type="pct"/>
            <w:gridSpan w:val="3"/>
            <w:noWrap w:val="0"/>
            <w:vAlign w:val="center"/>
          </w:tcPr>
          <w:p>
            <w:pPr>
              <w:adjustRightInd w:val="0"/>
              <w:snapToGrid w:val="0"/>
              <w:jc w:val="center"/>
              <w:rPr>
                <w:rFonts w:hint="eastAsia" w:ascii="Times New Roman" w:hAnsi="Times New Roman" w:cs="Times New Roman" w:eastAsiaTheme="majorEastAsia"/>
                <w:color w:val="auto"/>
                <w:sz w:val="24"/>
                <w:szCs w:val="24"/>
                <w:highlight w:val="none"/>
                <w:lang w:eastAsia="zh-CN"/>
              </w:rPr>
            </w:pPr>
            <w:r>
              <w:rPr>
                <w:rFonts w:hint="eastAsia" w:cs="Times New Roman" w:eastAsiaTheme="majorEastAsia"/>
                <w:color w:val="auto"/>
                <w:sz w:val="24"/>
                <w:szCs w:val="24"/>
                <w:highlight w:val="none"/>
                <w:lang w:val="en-US" w:eastAsia="zh-CN"/>
              </w:rPr>
              <w:t>朔州市鸿通源运输有限公司建设煤泥烘干厂项目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项目代码</w:t>
            </w:r>
          </w:p>
        </w:tc>
        <w:tc>
          <w:tcPr>
            <w:tcW w:w="3981" w:type="pct"/>
            <w:gridSpan w:val="3"/>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eastAsia="zh-CN"/>
              </w:rPr>
            </w:pPr>
            <w:r>
              <w:rPr>
                <w:rFonts w:hint="default" w:ascii="Times New Roman" w:hAnsi="Times New Roman" w:cs="Times New Roman" w:eastAsiaTheme="majorEastAsia"/>
                <w:color w:val="auto"/>
                <w:sz w:val="24"/>
                <w:szCs w:val="24"/>
                <w:highlight w:val="none"/>
                <w:lang w:val="en-US" w:eastAsia="zh-CN"/>
              </w:rPr>
              <w:t>2111-140603-89-05-</w:t>
            </w:r>
            <w:r>
              <w:rPr>
                <w:rFonts w:hint="eastAsia" w:cs="Times New Roman" w:eastAsiaTheme="majorEastAsia"/>
                <w:color w:val="auto"/>
                <w:sz w:val="24"/>
                <w:szCs w:val="24"/>
                <w:highlight w:val="none"/>
                <w:lang w:val="en-US" w:eastAsia="zh-CN"/>
              </w:rPr>
              <w:t>740068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建设单位联系人</w:t>
            </w:r>
          </w:p>
        </w:tc>
        <w:tc>
          <w:tcPr>
            <w:tcW w:w="1170"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eastAsia="zh-CN"/>
              </w:rPr>
            </w:pPr>
            <w:r>
              <w:rPr>
                <w:rFonts w:hint="default" w:ascii="Times New Roman" w:hAnsi="Times New Roman" w:cs="Times New Roman" w:eastAsiaTheme="majorEastAsia"/>
                <w:color w:val="auto"/>
                <w:sz w:val="24"/>
                <w:szCs w:val="24"/>
                <w:highlight w:val="none"/>
                <w:lang w:val="en-US" w:eastAsia="zh-CN"/>
              </w:rPr>
              <w:t>白帅</w:t>
            </w:r>
          </w:p>
        </w:tc>
        <w:tc>
          <w:tcPr>
            <w:tcW w:w="1273"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联系方式</w:t>
            </w:r>
          </w:p>
        </w:tc>
        <w:tc>
          <w:tcPr>
            <w:tcW w:w="1537"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18303491888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建设地点</w:t>
            </w:r>
          </w:p>
        </w:tc>
        <w:tc>
          <w:tcPr>
            <w:tcW w:w="3981" w:type="pct"/>
            <w:gridSpan w:val="3"/>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rPr>
            </w:pPr>
            <w:r>
              <w:rPr>
                <w:rFonts w:hint="eastAsia" w:cs="Times New Roman" w:eastAsiaTheme="majorEastAsia"/>
                <w:color w:val="auto"/>
                <w:sz w:val="24"/>
                <w:szCs w:val="24"/>
                <w:highlight w:val="none"/>
                <w:lang w:val="en-US" w:eastAsia="zh-CN"/>
              </w:rPr>
              <w:t>山西省</w:t>
            </w:r>
            <w:r>
              <w:rPr>
                <w:rFonts w:hint="default" w:ascii="Times New Roman" w:hAnsi="Times New Roman" w:cs="Times New Roman" w:eastAsiaTheme="majorEastAsia"/>
                <w:color w:val="auto"/>
                <w:sz w:val="24"/>
                <w:szCs w:val="24"/>
                <w:highlight w:val="none"/>
                <w:lang w:val="en-US" w:eastAsia="zh-CN"/>
              </w:rPr>
              <w:t>朔州市平鲁区</w:t>
            </w:r>
            <w:r>
              <w:rPr>
                <w:rFonts w:hint="eastAsia" w:cs="Times New Roman" w:eastAsiaTheme="majorEastAsia"/>
                <w:color w:val="auto"/>
                <w:sz w:val="24"/>
                <w:szCs w:val="24"/>
                <w:highlight w:val="none"/>
                <w:lang w:val="en-US" w:eastAsia="zh-CN"/>
              </w:rPr>
              <w:t>山西中源拓森煤炭销售有限公司储煤场内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61"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地理坐标</w:t>
            </w:r>
          </w:p>
        </w:tc>
        <w:tc>
          <w:tcPr>
            <w:tcW w:w="3981" w:type="pct"/>
            <w:gridSpan w:val="3"/>
            <w:noWrap w:val="0"/>
            <w:vAlign w:val="center"/>
          </w:tcPr>
          <w:p>
            <w:pPr>
              <w:snapToGrid w:val="0"/>
              <w:spacing w:line="240" w:lineRule="auto"/>
              <w:jc w:val="center"/>
              <w:rPr>
                <w:rFonts w:hint="eastAsia" w:eastAsia="宋体"/>
                <w:color w:val="auto"/>
                <w:sz w:val="24"/>
                <w:szCs w:val="24"/>
                <w:highlight w:val="none"/>
                <w:lang w:eastAsia="zh-CN"/>
              </w:rPr>
            </w:pPr>
            <w:r>
              <w:rPr>
                <w:rFonts w:hint="default" w:ascii="Times New Roman" w:hAnsi="Times New Roman" w:cs="Times New Roman"/>
                <w:color w:val="auto"/>
                <w:sz w:val="24"/>
                <w:szCs w:val="24"/>
                <w:highlight w:val="none"/>
                <w:lang w:eastAsia="zh-CN"/>
              </w:rPr>
              <w:t>112°27'28.371"，39°29'18.318"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1"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国民经济</w:t>
            </w:r>
          </w:p>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行业类别</w:t>
            </w:r>
          </w:p>
        </w:tc>
        <w:tc>
          <w:tcPr>
            <w:tcW w:w="1170" w:type="pct"/>
            <w:noWrap w:val="0"/>
            <w:vAlign w:val="center"/>
          </w:tcPr>
          <w:p>
            <w:pPr>
              <w:snapToGrid w:val="0"/>
              <w:spacing w:line="240" w:lineRule="auto"/>
              <w:jc w:val="center"/>
              <w:rPr>
                <w:rFonts w:hint="eastAsia" w:ascii="Times New Roman" w:hAnsi="Times New Roman" w:cs="Times New Roman" w:eastAsiaTheme="majorEastAsia"/>
                <w:color w:val="auto"/>
                <w:sz w:val="24"/>
                <w:szCs w:val="24"/>
                <w:highlight w:val="none"/>
                <w:lang w:eastAsia="zh-CN"/>
              </w:rPr>
            </w:pPr>
            <w:r>
              <w:rPr>
                <w:rFonts w:hint="eastAsia" w:cs="Times New Roman"/>
                <w:color w:val="auto"/>
                <w:sz w:val="24"/>
                <w:szCs w:val="24"/>
                <w:highlight w:val="none"/>
                <w:lang w:val="en-US" w:eastAsia="zh-CN"/>
              </w:rPr>
              <w:t>2529</w:t>
            </w:r>
            <w:r>
              <w:rPr>
                <w:rFonts w:hint="eastAsia" w:ascii="Times New Roman" w:hAnsi="Times New Roman"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其他煤炭加工</w:t>
            </w:r>
          </w:p>
        </w:tc>
        <w:tc>
          <w:tcPr>
            <w:tcW w:w="1273"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rPr>
            </w:pPr>
            <w:bookmarkStart w:id="0" w:name="_Hlk49843745"/>
            <w:r>
              <w:rPr>
                <w:rFonts w:hint="default" w:ascii="Times New Roman" w:hAnsi="Times New Roman" w:cs="Times New Roman" w:eastAsiaTheme="majorEastAsia"/>
                <w:color w:val="auto"/>
                <w:sz w:val="24"/>
                <w:szCs w:val="24"/>
                <w:highlight w:val="none"/>
              </w:rPr>
              <w:t>建设项目行业类别</w:t>
            </w:r>
            <w:bookmarkEnd w:id="0"/>
          </w:p>
        </w:tc>
        <w:tc>
          <w:tcPr>
            <w:tcW w:w="1537"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42、煤炭加工252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31"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建设性质</w:t>
            </w:r>
          </w:p>
        </w:tc>
        <w:tc>
          <w:tcPr>
            <w:tcW w:w="1170" w:type="pct"/>
            <w:noWrap w:val="0"/>
            <w:vAlign w:val="center"/>
          </w:tcPr>
          <w:p>
            <w:pPr>
              <w:jc w:val="left"/>
              <w:rPr>
                <w:rFonts w:ascii="宋体" w:hAnsi="宋体" w:cs="宋体"/>
                <w:color w:val="auto"/>
                <w:sz w:val="24"/>
                <w:szCs w:val="24"/>
                <w:highlight w:val="none"/>
              </w:rPr>
            </w:pPr>
            <w:r>
              <w:rPr>
                <w:rFonts w:hint="eastAsia" w:ascii="宋体" w:hAnsi="宋体" w:cs="宋体"/>
                <w:color w:val="auto"/>
                <w:sz w:val="24"/>
                <w:szCs w:val="24"/>
                <w:highlight w:val="none"/>
                <w:lang w:eastAsia="zh-CN"/>
              </w:rPr>
              <w:sym w:font="Wingdings 2" w:char="0052"/>
            </w:r>
            <w:r>
              <w:rPr>
                <w:rFonts w:hint="eastAsia" w:ascii="宋体" w:hAnsi="宋体" w:cs="宋体"/>
                <w:color w:val="auto"/>
                <w:sz w:val="24"/>
                <w:szCs w:val="24"/>
                <w:highlight w:val="none"/>
              </w:rPr>
              <w:t>新建（迁建）</w:t>
            </w:r>
          </w:p>
          <w:p>
            <w:pPr>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□改建</w:t>
            </w:r>
          </w:p>
          <w:p>
            <w:pPr>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□扩建</w:t>
            </w:r>
          </w:p>
          <w:p>
            <w:pPr>
              <w:jc w:val="left"/>
              <w:rPr>
                <w:rFonts w:hint="default" w:ascii="Times New Roman" w:hAnsi="Times New Roman" w:cs="Times New Roman" w:eastAsiaTheme="majorEastAsia"/>
                <w:color w:val="auto"/>
                <w:sz w:val="24"/>
                <w:szCs w:val="24"/>
                <w:highlight w:val="none"/>
              </w:rPr>
            </w:pPr>
            <w:r>
              <w:rPr>
                <w:rFonts w:hint="eastAsia" w:ascii="宋体" w:hAnsi="宋体" w:cs="宋体"/>
                <w:color w:val="auto"/>
                <w:sz w:val="24"/>
                <w:szCs w:val="24"/>
                <w:highlight w:val="none"/>
              </w:rPr>
              <w:t>□技术改造</w:t>
            </w:r>
          </w:p>
        </w:tc>
        <w:tc>
          <w:tcPr>
            <w:tcW w:w="1273"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建设项目申报情形</w:t>
            </w:r>
          </w:p>
        </w:tc>
        <w:tc>
          <w:tcPr>
            <w:tcW w:w="1537" w:type="pct"/>
            <w:noWrap w:val="0"/>
            <w:vAlign w:val="center"/>
          </w:tcPr>
          <w:p>
            <w:pPr>
              <w:jc w:val="left"/>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首次申报项目</w:t>
            </w:r>
            <w:r>
              <w:rPr>
                <w:rFonts w:ascii="宋体" w:hAnsi="宋体" w:cs="宋体"/>
                <w:color w:val="auto"/>
                <w:sz w:val="24"/>
                <w:szCs w:val="24"/>
                <w:highlight w:val="none"/>
              </w:rPr>
              <w:t xml:space="preserve">             </w:t>
            </w:r>
          </w:p>
          <w:p>
            <w:pPr>
              <w:jc w:val="left"/>
              <w:rPr>
                <w:rFonts w:ascii="宋体" w:hAnsi="宋体" w:cs="宋体"/>
                <w:color w:val="auto"/>
                <w:sz w:val="24"/>
                <w:szCs w:val="24"/>
                <w:highlight w:val="none"/>
              </w:rPr>
            </w:pPr>
            <w:r>
              <w:rPr>
                <w:rFonts w:hint="eastAsia" w:ascii="宋体" w:hAnsi="宋体" w:cs="宋体"/>
                <w:color w:val="auto"/>
                <w:sz w:val="24"/>
                <w:szCs w:val="24"/>
                <w:highlight w:val="none"/>
              </w:rPr>
              <w:t>□不予批准后再次申报项目</w:t>
            </w:r>
          </w:p>
          <w:p>
            <w:pPr>
              <w:jc w:val="left"/>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超五年重新审核项目</w:t>
            </w:r>
            <w:r>
              <w:rPr>
                <w:rFonts w:ascii="宋体" w:hAnsi="宋体" w:cs="宋体"/>
                <w:color w:val="auto"/>
                <w:sz w:val="24"/>
                <w:szCs w:val="24"/>
                <w:highlight w:val="none"/>
              </w:rPr>
              <w:t xml:space="preserve">     </w:t>
            </w:r>
          </w:p>
          <w:p>
            <w:pPr>
              <w:jc w:val="both"/>
              <w:rPr>
                <w:rFonts w:hint="default" w:ascii="Times New Roman" w:hAnsi="Times New Roman" w:cs="Times New Roman" w:eastAsiaTheme="majorEastAsia"/>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项目审批（核准/</w:t>
            </w:r>
          </w:p>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备案）部门（选填）</w:t>
            </w:r>
          </w:p>
        </w:tc>
        <w:tc>
          <w:tcPr>
            <w:tcW w:w="1170" w:type="pct"/>
            <w:noWrap w:val="0"/>
            <w:vAlign w:val="center"/>
          </w:tcPr>
          <w:p>
            <w:pPr>
              <w:adjustRightInd w:val="0"/>
              <w:snapToGrid w:val="0"/>
              <w:jc w:val="center"/>
              <w:rPr>
                <w:rFonts w:hint="eastAsia" w:ascii="Times New Roman" w:hAnsi="Times New Roman" w:cs="Times New Roman" w:eastAsiaTheme="majorEastAsia"/>
                <w:color w:val="auto"/>
                <w:sz w:val="24"/>
                <w:szCs w:val="24"/>
                <w:highlight w:val="none"/>
                <w:lang w:eastAsia="zh-CN"/>
              </w:rPr>
            </w:pPr>
            <w:r>
              <w:rPr>
                <w:rFonts w:hint="eastAsia" w:cs="Times New Roman" w:eastAsiaTheme="majorEastAsia"/>
                <w:color w:val="auto"/>
                <w:sz w:val="24"/>
                <w:szCs w:val="24"/>
                <w:highlight w:val="none"/>
                <w:lang w:val="en-US" w:eastAsia="zh-CN"/>
              </w:rPr>
              <w:t>朔州市平鲁区行政审批服务管理局</w:t>
            </w:r>
          </w:p>
        </w:tc>
        <w:tc>
          <w:tcPr>
            <w:tcW w:w="1273"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项目审批（核准/</w:t>
            </w:r>
          </w:p>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备案）文号（选填）</w:t>
            </w:r>
          </w:p>
        </w:tc>
        <w:tc>
          <w:tcPr>
            <w:tcW w:w="1537"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总投资（万元）</w:t>
            </w:r>
          </w:p>
        </w:tc>
        <w:tc>
          <w:tcPr>
            <w:tcW w:w="1170"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2000</w:t>
            </w:r>
          </w:p>
        </w:tc>
        <w:tc>
          <w:tcPr>
            <w:tcW w:w="1273"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环保投资（万元）</w:t>
            </w:r>
          </w:p>
        </w:tc>
        <w:tc>
          <w:tcPr>
            <w:tcW w:w="1537"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环保投资占比（%）</w:t>
            </w:r>
          </w:p>
        </w:tc>
        <w:tc>
          <w:tcPr>
            <w:tcW w:w="1170"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2.5</w:t>
            </w:r>
          </w:p>
        </w:tc>
        <w:tc>
          <w:tcPr>
            <w:tcW w:w="1273"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施工工期</w:t>
            </w:r>
          </w:p>
        </w:tc>
        <w:tc>
          <w:tcPr>
            <w:tcW w:w="1537"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6个月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18"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t>是否开工建设</w:t>
            </w:r>
          </w:p>
        </w:tc>
        <w:tc>
          <w:tcPr>
            <w:tcW w:w="1170" w:type="pct"/>
            <w:noWrap w:val="0"/>
            <w:vAlign w:val="center"/>
          </w:tcPr>
          <w:p>
            <w:pPr>
              <w:adjustRightInd w:val="0"/>
              <w:snapToGrid w:val="0"/>
              <w:rPr>
                <w:rFonts w:hint="default" w:ascii="Times New Roman" w:hAnsi="Times New Roman" w:cs="Times New Roman"/>
                <w:color w:val="auto"/>
                <w:sz w:val="24"/>
                <w:szCs w:val="24"/>
                <w:highlight w:val="none"/>
              </w:rPr>
            </w:pPr>
            <w:r>
              <w:rPr>
                <w:rFonts w:hint="eastAsia" w:ascii="宋体" w:hAnsi="宋体" w:cs="宋体"/>
                <w:color w:val="auto"/>
                <w:sz w:val="24"/>
                <w:szCs w:val="24"/>
                <w:highlight w:val="none"/>
                <w:lang w:eastAsia="zh-CN"/>
              </w:rPr>
              <w:t>☑</w:t>
            </w:r>
            <w:r>
              <w:rPr>
                <w:rFonts w:hint="default" w:ascii="Times New Roman" w:hAnsi="Times New Roman" w:cs="Times New Roman"/>
                <w:color w:val="auto"/>
                <w:sz w:val="24"/>
                <w:szCs w:val="24"/>
                <w:highlight w:val="none"/>
              </w:rPr>
              <w:t>否</w:t>
            </w:r>
          </w:p>
          <w:p>
            <w:pPr>
              <w:adjustRightInd w:val="0"/>
              <w:snapToGrid w:val="0"/>
              <w:jc w:val="left"/>
              <w:rPr>
                <w:rFonts w:hint="default" w:ascii="Times New Roman" w:hAnsi="Times New Roman" w:eastAsia="宋体" w:cs="Times New Roman"/>
                <w:color w:val="auto"/>
                <w:sz w:val="24"/>
                <w:szCs w:val="24"/>
                <w:highlight w:val="none"/>
                <w:lang w:val="en-US" w:eastAsia="zh-CN"/>
              </w:rPr>
            </w:pPr>
            <w:r>
              <w:rPr>
                <w:rFonts w:hint="eastAsia" w:ascii="宋体" w:hAnsi="宋体" w:cs="宋体"/>
                <w:color w:val="auto"/>
                <w:sz w:val="24"/>
                <w:szCs w:val="24"/>
                <w:highlight w:val="none"/>
              </w:rPr>
              <w:t>□</w:t>
            </w:r>
            <w:r>
              <w:rPr>
                <w:rFonts w:hint="default" w:ascii="Times New Roman" w:hAnsi="Times New Roman" w:cs="Times New Roman"/>
                <w:color w:val="auto"/>
                <w:sz w:val="24"/>
                <w:szCs w:val="24"/>
                <w:highlight w:val="none"/>
              </w:rPr>
              <w:t>是：</w:t>
            </w:r>
            <w:r>
              <w:rPr>
                <w:rFonts w:hint="eastAsia" w:cs="Times New Roman"/>
                <w:color w:val="auto"/>
                <w:sz w:val="24"/>
                <w:szCs w:val="24"/>
                <w:highlight w:val="none"/>
                <w:u w:val="single"/>
                <w:lang w:val="en-US" w:eastAsia="zh-CN"/>
              </w:rPr>
              <w:t xml:space="preserve">         </w:t>
            </w:r>
          </w:p>
        </w:tc>
        <w:tc>
          <w:tcPr>
            <w:tcW w:w="1273" w:type="pct"/>
            <w:noWrap w:val="0"/>
            <w:tcMar>
              <w:top w:w="16" w:type="dxa"/>
              <w:left w:w="16" w:type="dxa"/>
              <w:right w:w="16" w:type="dxa"/>
            </w:tcMar>
            <w:vAlign w:val="center"/>
          </w:tcPr>
          <w:p>
            <w:pPr>
              <w:adjustRightInd w:val="0"/>
              <w:snapToGrid w:val="0"/>
              <w:jc w:val="center"/>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pacing w:val="-6"/>
                <w:sz w:val="24"/>
                <w:szCs w:val="24"/>
                <w:highlight w:val="none"/>
              </w:rPr>
              <w:t>用地面积（m</w:t>
            </w:r>
            <w:r>
              <w:rPr>
                <w:rFonts w:hint="default" w:ascii="Times New Roman" w:hAnsi="Times New Roman" w:cs="Times New Roman" w:eastAsiaTheme="majorEastAsia"/>
                <w:color w:val="auto"/>
                <w:spacing w:val="-6"/>
                <w:sz w:val="24"/>
                <w:szCs w:val="24"/>
                <w:highlight w:val="none"/>
                <w:vertAlign w:val="superscript"/>
              </w:rPr>
              <w:t>2</w:t>
            </w:r>
            <w:r>
              <w:rPr>
                <w:rFonts w:hint="default" w:ascii="Times New Roman" w:hAnsi="Times New Roman" w:cs="Times New Roman" w:eastAsiaTheme="majorEastAsia"/>
                <w:color w:val="auto"/>
                <w:spacing w:val="-6"/>
                <w:sz w:val="24"/>
                <w:szCs w:val="24"/>
                <w:highlight w:val="none"/>
              </w:rPr>
              <w:t>）</w:t>
            </w:r>
          </w:p>
        </w:tc>
        <w:tc>
          <w:tcPr>
            <w:tcW w:w="1537" w:type="pct"/>
            <w:noWrap w:val="0"/>
            <w:vAlign w:val="center"/>
          </w:tcPr>
          <w:p>
            <w:pPr>
              <w:adjustRightInd w:val="0"/>
              <w:snapToGrid w:val="0"/>
              <w:jc w:val="center"/>
              <w:rPr>
                <w:rFonts w:hint="default" w:ascii="Times New Roman" w:hAnsi="Times New Roman"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018" w:type="pct"/>
            <w:noWrap w:val="0"/>
            <w:vAlign w:val="center"/>
          </w:tcPr>
          <w:p>
            <w:pPr>
              <w:autoSpaceDE w:val="0"/>
              <w:autoSpaceDN w:val="0"/>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专项评价设置情况</w:t>
            </w:r>
          </w:p>
        </w:tc>
        <w:tc>
          <w:tcPr>
            <w:tcW w:w="3981" w:type="pct"/>
            <w:gridSpan w:val="3"/>
            <w:noWrap w:val="0"/>
            <w:vAlign w:val="center"/>
          </w:tcPr>
          <w:p>
            <w:pPr>
              <w:autoSpaceDE w:val="0"/>
              <w:autoSpaceDN w:val="0"/>
              <w:adjustRightInd w:val="0"/>
              <w:snapToGrid w:val="0"/>
              <w:jc w:val="center"/>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18" w:type="pct"/>
            <w:noWrap w:val="0"/>
            <w:vAlign w:val="center"/>
          </w:tcPr>
          <w:p>
            <w:pPr>
              <w:autoSpaceDE w:val="0"/>
              <w:autoSpaceDN w:val="0"/>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规划情况</w:t>
            </w:r>
          </w:p>
        </w:tc>
        <w:tc>
          <w:tcPr>
            <w:tcW w:w="3981" w:type="pct"/>
            <w:gridSpan w:val="3"/>
            <w:noWrap w:val="0"/>
            <w:vAlign w:val="center"/>
          </w:tcPr>
          <w:p>
            <w:pPr>
              <w:autoSpaceDE w:val="0"/>
              <w:autoSpaceDN w:val="0"/>
              <w:adjustRightInd w:val="0"/>
              <w:snapToGrid w:val="0"/>
              <w:jc w:val="center"/>
              <w:rPr>
                <w:rFonts w:hint="eastAsia" w:ascii="宋体" w:hAnsi="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018" w:type="pct"/>
            <w:noWrap w:val="0"/>
            <w:vAlign w:val="center"/>
          </w:tcPr>
          <w:p>
            <w:pPr>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规划环境影响</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评价情况</w:t>
            </w:r>
          </w:p>
        </w:tc>
        <w:tc>
          <w:tcPr>
            <w:tcW w:w="3981" w:type="pct"/>
            <w:gridSpan w:val="3"/>
            <w:noWrap w:val="0"/>
            <w:vAlign w:val="center"/>
          </w:tcPr>
          <w:p>
            <w:pPr>
              <w:autoSpaceDE w:val="0"/>
              <w:autoSpaceDN w:val="0"/>
              <w:adjustRightInd w:val="0"/>
              <w:snapToGrid w:val="0"/>
              <w:jc w:val="center"/>
              <w:rPr>
                <w:rFonts w:hint="eastAsia" w:ascii="宋体" w:hAnsi="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01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规划及规划环境影响评价符合性分析</w:t>
            </w:r>
          </w:p>
        </w:tc>
        <w:tc>
          <w:tcPr>
            <w:tcW w:w="3981" w:type="pct"/>
            <w:gridSpan w:val="3"/>
            <w:noWrap w:val="0"/>
            <w:vAlign w:val="center"/>
          </w:tcPr>
          <w:p>
            <w:pPr>
              <w:autoSpaceDE w:val="0"/>
              <w:autoSpaceDN w:val="0"/>
              <w:adjustRightInd w:val="0"/>
              <w:snapToGrid w:val="0"/>
              <w:jc w:val="center"/>
              <w:rPr>
                <w:rFonts w:hint="eastAsia" w:ascii="宋体" w:hAnsi="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18" w:type="pct"/>
            <w:noWrap w:val="0"/>
            <w:vAlign w:val="center"/>
          </w:tcPr>
          <w:p>
            <w:pPr>
              <w:autoSpaceDE w:val="0"/>
              <w:autoSpaceDN w:val="0"/>
              <w:adjustRightInd w:val="0"/>
              <w:snapToGrid w:val="0"/>
              <w:jc w:val="center"/>
              <w:rPr>
                <w:rFonts w:hint="eastAsia" w:ascii="宋体" w:hAnsi="宋体" w:cs="宋体"/>
                <w:color w:val="auto"/>
                <w:kern w:val="0"/>
                <w:sz w:val="24"/>
                <w:szCs w:val="24"/>
                <w:highlight w:val="red"/>
              </w:rPr>
            </w:pPr>
            <w:r>
              <w:rPr>
                <w:rFonts w:hint="eastAsia" w:ascii="宋体" w:hAnsi="宋体" w:cs="宋体"/>
                <w:color w:val="auto"/>
                <w:kern w:val="0"/>
                <w:sz w:val="24"/>
                <w:szCs w:val="24"/>
                <w:highlight w:val="none"/>
              </w:rPr>
              <w:t>其他符合性分析</w:t>
            </w:r>
          </w:p>
        </w:tc>
        <w:tc>
          <w:tcPr>
            <w:tcW w:w="3981"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eastAsia"/>
                <w:b/>
                <w:bCs/>
                <w:color w:val="auto"/>
                <w:sz w:val="24"/>
                <w:szCs w:val="24"/>
                <w:highlight w:val="none"/>
                <w:lang w:eastAsia="zh-CN"/>
              </w:rPr>
            </w:pPr>
            <w:r>
              <w:rPr>
                <w:rFonts w:hint="eastAsia"/>
                <w:b/>
                <w:bCs/>
                <w:color w:val="auto"/>
                <w:sz w:val="24"/>
                <w:szCs w:val="24"/>
                <w:highlight w:val="none"/>
                <w:lang w:val="en-US" w:eastAsia="zh-CN"/>
              </w:rPr>
              <w:t>1、</w:t>
            </w:r>
            <w:r>
              <w:rPr>
                <w:rFonts w:hint="eastAsia"/>
                <w:b/>
                <w:bCs/>
                <w:color w:val="auto"/>
                <w:sz w:val="24"/>
                <w:szCs w:val="24"/>
                <w:highlight w:val="none"/>
              </w:rPr>
              <w:t>“三线一单”</w:t>
            </w:r>
            <w:r>
              <w:rPr>
                <w:rFonts w:hint="eastAsia"/>
                <w:b/>
                <w:bCs/>
                <w:color w:val="auto"/>
                <w:sz w:val="24"/>
                <w:szCs w:val="24"/>
                <w:highlight w:val="none"/>
                <w:lang w:eastAsia="zh-CN"/>
              </w:rPr>
              <w:t>符合性分析</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b w:val="0"/>
                <w:bCs/>
                <w:color w:val="auto"/>
                <w:sz w:val="24"/>
                <w:szCs w:val="24"/>
                <w:highlight w:val="none"/>
                <w:lang w:eastAsia="zh-CN"/>
              </w:rPr>
            </w:pPr>
            <w:r>
              <w:rPr>
                <w:rFonts w:hint="eastAsia" w:ascii="Times New Roman" w:hAnsi="Times New Roman" w:eastAsia="宋体" w:cs="Times New Roman"/>
                <w:b w:val="0"/>
                <w:bCs/>
                <w:color w:val="auto"/>
                <w:sz w:val="24"/>
                <w:szCs w:val="24"/>
                <w:highlight w:val="none"/>
              </w:rPr>
              <w:t>本项目建设符合“三线一单”的</w:t>
            </w:r>
            <w:r>
              <w:rPr>
                <w:rFonts w:hint="eastAsia" w:cs="Times New Roman"/>
                <w:b w:val="0"/>
                <w:bCs/>
                <w:color w:val="auto"/>
                <w:sz w:val="24"/>
                <w:szCs w:val="24"/>
                <w:highlight w:val="none"/>
                <w:lang w:eastAsia="zh-CN"/>
              </w:rPr>
              <w:t>管控</w:t>
            </w:r>
            <w:r>
              <w:rPr>
                <w:rFonts w:hint="eastAsia" w:ascii="Times New Roman" w:hAnsi="Times New Roman" w:eastAsia="宋体" w:cs="Times New Roman"/>
                <w:b w:val="0"/>
                <w:bCs/>
                <w:color w:val="auto"/>
                <w:sz w:val="24"/>
                <w:szCs w:val="24"/>
                <w:highlight w:val="none"/>
              </w:rPr>
              <w:t>要求</w:t>
            </w:r>
            <w:r>
              <w:rPr>
                <w:rFonts w:hint="eastAsia" w:cs="Times New Roman"/>
                <w:b w:val="0"/>
                <w:bCs/>
                <w:color w:val="auto"/>
                <w:sz w:val="24"/>
                <w:szCs w:val="24"/>
                <w:highlight w:val="none"/>
                <w:lang w:eastAsia="zh-CN"/>
              </w:rPr>
              <w:t>，“三线一单”符合性分析见下表。</w:t>
            </w:r>
          </w:p>
          <w:p>
            <w:pPr>
              <w:pStyle w:val="39"/>
              <w:bidi w:val="0"/>
              <w:rPr>
                <w:rFonts w:hint="default"/>
                <w:sz w:val="24"/>
                <w:szCs w:val="24"/>
              </w:rPr>
            </w:pPr>
            <w:r>
              <w:rPr>
                <w:rFonts w:hint="default"/>
                <w:sz w:val="24"/>
                <w:szCs w:val="24"/>
              </w:rPr>
              <w:t>表</w:t>
            </w:r>
            <w:r>
              <w:rPr>
                <w:rFonts w:hint="eastAsia"/>
                <w:sz w:val="24"/>
                <w:szCs w:val="24"/>
                <w:lang w:val="en-US" w:eastAsia="zh-CN"/>
              </w:rPr>
              <w:t>1-1</w:t>
            </w:r>
            <w:r>
              <w:rPr>
                <w:rFonts w:hint="default"/>
                <w:sz w:val="24"/>
                <w:szCs w:val="24"/>
                <w:lang w:val="en-US" w:eastAsia="zh-CN"/>
              </w:rPr>
              <w:t xml:space="preserve">    </w:t>
            </w:r>
            <w:r>
              <w:rPr>
                <w:rFonts w:hint="default"/>
                <w:sz w:val="24"/>
                <w:szCs w:val="24"/>
              </w:rPr>
              <w:t>“三线一单”符合性分析</w:t>
            </w:r>
          </w:p>
          <w:tbl>
            <w:tblPr>
              <w:tblStyle w:val="22"/>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35"/>
              <w:gridCol w:w="59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7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内容</w:t>
                  </w:r>
                </w:p>
              </w:tc>
              <w:tc>
                <w:tcPr>
                  <w:tcW w:w="425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符合性分析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7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1"/>
                      <w:szCs w:val="21"/>
                      <w:highlight w:val="none"/>
                    </w:rPr>
                    <w:t>生态保护红线</w:t>
                  </w:r>
                </w:p>
              </w:tc>
              <w:tc>
                <w:tcPr>
                  <w:tcW w:w="425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42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位于</w:t>
                  </w:r>
                  <w:r>
                    <w:rPr>
                      <w:rFonts w:hint="eastAsia" w:ascii="Times New Roman" w:hAnsi="Times New Roman" w:eastAsia="宋体" w:cs="Times New Roman"/>
                      <w:color w:val="auto"/>
                      <w:sz w:val="21"/>
                      <w:szCs w:val="21"/>
                      <w:highlight w:val="none"/>
                      <w:lang w:val="en-US" w:eastAsia="zh-CN"/>
                    </w:rPr>
                    <w:t>朔州市平鲁区</w:t>
                  </w:r>
                  <w:r>
                    <w:rPr>
                      <w:rFonts w:hint="eastAsia" w:cs="Times New Roman"/>
                      <w:color w:val="auto"/>
                      <w:sz w:val="21"/>
                      <w:szCs w:val="21"/>
                      <w:highlight w:val="none"/>
                      <w:lang w:val="en-US" w:eastAsia="zh-CN"/>
                    </w:rPr>
                    <w:t>山西中源拓森煤炭销售有限公司储煤场内</w:t>
                  </w:r>
                  <w:r>
                    <w:rPr>
                      <w:rFonts w:hint="eastAsia" w:ascii="Times New Roman" w:hAnsi="Times New Roman" w:eastAsia="宋体" w:cs="Times New Roman"/>
                      <w:color w:val="auto"/>
                      <w:sz w:val="21"/>
                      <w:szCs w:val="21"/>
                      <w:highlight w:val="none"/>
                      <w:lang w:eastAsia="zh-CN"/>
                    </w:rPr>
                    <w:t>，不在自然保护区、风景名胜区、饮用水水源保护区、森林公园、地质公园等重要生态功能区、生态敏感区和脆弱区以及其他要求禁止建设的环境敏感区内，不在生态红线范围内。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7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1"/>
                      <w:szCs w:val="21"/>
                      <w:highlight w:val="none"/>
                    </w:rPr>
                    <w:t>资源利用上线</w:t>
                  </w:r>
                </w:p>
              </w:tc>
              <w:tc>
                <w:tcPr>
                  <w:tcW w:w="425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420" w:firstLineChars="200"/>
                    <w:jc w:val="left"/>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b w:val="0"/>
                      <w:bCs/>
                      <w:color w:val="auto"/>
                      <w:sz w:val="21"/>
                      <w:szCs w:val="21"/>
                      <w:highlight w:val="none"/>
                    </w:rPr>
                    <w:t>生产过程中消耗一定量的电和水资源，资源消耗相对区域资源利用总量较少，符合资源利用上线要求。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7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1"/>
                      <w:szCs w:val="21"/>
                      <w:highlight w:val="none"/>
                    </w:rPr>
                    <w:t>环境质量底线</w:t>
                  </w:r>
                </w:p>
              </w:tc>
              <w:tc>
                <w:tcPr>
                  <w:tcW w:w="425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cs="Times New Roman"/>
                      <w:bCs/>
                      <w:color w:val="auto"/>
                      <w:sz w:val="24"/>
                      <w:szCs w:val="24"/>
                      <w:highlight w:val="none"/>
                    </w:rPr>
                  </w:pPr>
                  <w:r>
                    <w:rPr>
                      <w:rFonts w:hint="default" w:ascii="Times New Roman" w:hAnsi="Times New Roman" w:eastAsia="宋体" w:cs="Times New Roman"/>
                      <w:bCs/>
                      <w:color w:val="auto"/>
                      <w:sz w:val="21"/>
                      <w:szCs w:val="21"/>
                      <w:highlight w:val="none"/>
                      <w:lang w:eastAsia="zh-CN"/>
                    </w:rPr>
                    <w:t>本</w:t>
                  </w:r>
                  <w:r>
                    <w:rPr>
                      <w:rFonts w:hint="default" w:ascii="Times New Roman" w:hAnsi="Times New Roman" w:eastAsia="宋体" w:cs="Times New Roman"/>
                      <w:bCs/>
                      <w:color w:val="auto"/>
                      <w:sz w:val="21"/>
                      <w:szCs w:val="21"/>
                      <w:highlight w:val="none"/>
                    </w:rPr>
                    <w:t>项目</w:t>
                  </w:r>
                  <w:r>
                    <w:rPr>
                      <w:rFonts w:hint="default" w:ascii="Times New Roman" w:hAnsi="Times New Roman" w:eastAsia="宋体" w:cs="Times New Roman"/>
                      <w:bCs/>
                      <w:color w:val="auto"/>
                      <w:sz w:val="21"/>
                      <w:szCs w:val="21"/>
                      <w:highlight w:val="none"/>
                      <w:lang w:eastAsia="zh-CN"/>
                    </w:rPr>
                    <w:t>所在地</w:t>
                  </w:r>
                  <w:r>
                    <w:rPr>
                      <w:rFonts w:hint="eastAsia" w:ascii="Times New Roman" w:hAnsi="Times New Roman" w:eastAsia="宋体" w:cs="Times New Roman"/>
                      <w:bCs/>
                      <w:color w:val="auto"/>
                      <w:sz w:val="21"/>
                      <w:szCs w:val="21"/>
                      <w:highlight w:val="none"/>
                      <w:lang w:val="en-US" w:eastAsia="zh-CN"/>
                    </w:rPr>
                    <w:t>平鲁</w:t>
                  </w:r>
                  <w:r>
                    <w:rPr>
                      <w:rFonts w:hint="default" w:ascii="Times New Roman" w:hAnsi="Times New Roman" w:eastAsia="宋体" w:cs="Times New Roman"/>
                      <w:bCs/>
                      <w:color w:val="auto"/>
                      <w:sz w:val="21"/>
                      <w:szCs w:val="21"/>
                      <w:highlight w:val="none"/>
                      <w:lang w:val="en-US" w:eastAsia="zh-CN"/>
                    </w:rPr>
                    <w:t>区</w:t>
                  </w:r>
                  <w:r>
                    <w:rPr>
                      <w:rFonts w:hint="default" w:ascii="Times New Roman" w:hAnsi="Times New Roman" w:eastAsia="宋体" w:cs="Times New Roman"/>
                      <w:bCs/>
                      <w:color w:val="auto"/>
                      <w:sz w:val="21"/>
                      <w:szCs w:val="21"/>
                      <w:highlight w:val="none"/>
                      <w:lang w:eastAsia="zh-CN"/>
                    </w:rPr>
                    <w:t>为达标区，根据补充监测</w:t>
                  </w:r>
                  <w:r>
                    <w:rPr>
                      <w:rFonts w:hint="eastAsia" w:ascii="Times New Roman" w:hAnsi="Times New Roman" w:eastAsia="宋体" w:cs="Times New Roman"/>
                      <w:bCs/>
                      <w:color w:val="auto"/>
                      <w:sz w:val="21"/>
                      <w:szCs w:val="21"/>
                      <w:highlight w:val="none"/>
                      <w:lang w:eastAsia="zh-CN"/>
                    </w:rPr>
                    <w:t>的</w:t>
                  </w:r>
                  <w:r>
                    <w:rPr>
                      <w:rFonts w:hint="default" w:ascii="Times New Roman" w:hAnsi="Times New Roman" w:eastAsia="宋体" w:cs="Times New Roman"/>
                      <w:bCs/>
                      <w:color w:val="auto"/>
                      <w:sz w:val="21"/>
                      <w:szCs w:val="21"/>
                      <w:highlight w:val="none"/>
                      <w:lang w:val="en-US" w:eastAsia="zh-CN"/>
                    </w:rPr>
                    <w:t>TSP数据</w:t>
                  </w:r>
                  <w:r>
                    <w:rPr>
                      <w:rFonts w:hint="default"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TSP</w:t>
                  </w:r>
                  <w:r>
                    <w:rPr>
                      <w:rFonts w:hint="default" w:ascii="Times New Roman" w:hAnsi="Times New Roman" w:eastAsia="宋体" w:cs="Times New Roman"/>
                      <w:bCs/>
                      <w:color w:val="auto"/>
                      <w:sz w:val="21"/>
                      <w:szCs w:val="21"/>
                      <w:highlight w:val="none"/>
                      <w:lang w:eastAsia="zh-CN"/>
                    </w:rPr>
                    <w:t>现状满足</w:t>
                  </w:r>
                  <w:r>
                    <w:rPr>
                      <w:rFonts w:hint="default" w:ascii="Times New Roman" w:hAnsi="Times New Roman" w:eastAsia="宋体" w:cs="Times New Roman"/>
                      <w:color w:val="auto"/>
                      <w:sz w:val="21"/>
                      <w:szCs w:val="21"/>
                      <w:highlight w:val="none"/>
                    </w:rPr>
                    <w:t>《环境空气质量标准》（GB3095-2012）中二级标准</w:t>
                  </w:r>
                  <w:r>
                    <w:rPr>
                      <w:rFonts w:hint="eastAsia" w:ascii="Times New Roman" w:hAnsi="Times New Roman" w:eastAsia="宋体" w:cs="Times New Roman"/>
                      <w:color w:val="auto"/>
                      <w:sz w:val="21"/>
                      <w:szCs w:val="21"/>
                      <w:highlight w:val="none"/>
                      <w:lang w:eastAsia="zh-CN"/>
                    </w:rPr>
                    <w:t>及修改单</w:t>
                  </w:r>
                  <w:r>
                    <w:rPr>
                      <w:rFonts w:hint="default" w:ascii="Times New Roman" w:hAnsi="Times New Roman" w:eastAsia="宋体" w:cs="Times New Roman"/>
                      <w:bCs/>
                      <w:color w:val="auto"/>
                      <w:sz w:val="21"/>
                      <w:szCs w:val="21"/>
                      <w:highlight w:val="none"/>
                      <w:lang w:eastAsia="zh-CN"/>
                    </w:rPr>
                    <w:t>要求</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eastAsia="zh-CN"/>
                    </w:rPr>
                    <w:t>本项目所在的</w:t>
                  </w:r>
                  <w:r>
                    <w:rPr>
                      <w:rFonts w:hint="eastAsia" w:ascii="Times New Roman" w:hAnsi="Times New Roman" w:eastAsia="宋体" w:cs="Times New Roman"/>
                      <w:color w:val="auto"/>
                      <w:sz w:val="21"/>
                      <w:szCs w:val="21"/>
                      <w:highlight w:val="none"/>
                      <w:lang w:eastAsia="zh-CN"/>
                    </w:rPr>
                    <w:t>赵家口</w:t>
                  </w:r>
                  <w:r>
                    <w:rPr>
                      <w:rFonts w:hint="eastAsia" w:ascii="Times New Roman" w:hAnsi="Times New Roman" w:eastAsia="宋体" w:cs="Times New Roman"/>
                      <w:bCs/>
                      <w:color w:val="auto"/>
                      <w:sz w:val="21"/>
                      <w:szCs w:val="21"/>
                      <w:highlight w:val="none"/>
                      <w:lang w:eastAsia="zh-CN"/>
                    </w:rPr>
                    <w:t>监测断面</w:t>
                  </w:r>
                  <w:r>
                    <w:rPr>
                      <w:rFonts w:hint="eastAsia" w:cs="Times New Roman"/>
                      <w:bCs/>
                      <w:color w:val="auto"/>
                      <w:sz w:val="21"/>
                      <w:szCs w:val="21"/>
                      <w:highlight w:val="none"/>
                      <w:lang w:val="en-US" w:eastAsia="zh-CN"/>
                    </w:rPr>
                    <w:t>2022年</w:t>
                  </w:r>
                  <w:r>
                    <w:rPr>
                      <w:rFonts w:hint="eastAsia" w:ascii="Times New Roman" w:hAnsi="Times New Roman" w:eastAsia="宋体" w:cs="Times New Roman"/>
                      <w:bCs/>
                      <w:color w:val="auto"/>
                      <w:sz w:val="21"/>
                      <w:szCs w:val="21"/>
                      <w:highlight w:val="none"/>
                      <w:lang w:eastAsia="zh-CN"/>
                    </w:rPr>
                    <w:t>水质能满足《地表水环境质量标准》（GB 3838-2002）中Ⅳ类标准；本项目废水不外排，废气达标排放，</w:t>
                  </w:r>
                  <w:r>
                    <w:rPr>
                      <w:rFonts w:hint="default" w:ascii="Times New Roman" w:hAnsi="Times New Roman" w:eastAsia="宋体" w:cs="Times New Roman"/>
                      <w:bCs/>
                      <w:color w:val="auto"/>
                      <w:sz w:val="21"/>
                      <w:szCs w:val="21"/>
                      <w:highlight w:val="none"/>
                    </w:rPr>
                    <w:t>因此，符合环境质量底线要求。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03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1"/>
                      <w:szCs w:val="21"/>
                      <w:highlight w:val="none"/>
                    </w:rPr>
                    <w:t>生态环境准入清单</w:t>
                  </w:r>
                </w:p>
              </w:tc>
              <w:tc>
                <w:tcPr>
                  <w:tcW w:w="594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4"/>
                      <w:szCs w:val="24"/>
                      <w:highlight w:val="none"/>
                      <w:lang w:eastAsia="zh-CN"/>
                    </w:rPr>
                  </w:pPr>
                  <w:r>
                    <w:rPr>
                      <w:rFonts w:hint="default"/>
                      <w:color w:val="auto"/>
                    </w:rPr>
                    <w:t>本项目施工期严格落实“六个百分之百”防治措施</w:t>
                  </w:r>
                  <w:r>
                    <w:rPr>
                      <w:rFonts w:hint="eastAsia"/>
                      <w:color w:val="auto"/>
                      <w:lang w:eastAsia="zh-CN"/>
                    </w:rPr>
                    <w:t>，建</w:t>
                  </w:r>
                  <w:r>
                    <w:rPr>
                      <w:rFonts w:hint="default"/>
                      <w:color w:val="auto"/>
                    </w:rPr>
                    <w:t>设全封闭干煤泥库和湿煤泥库，运输物料的车辆采用篷布苫盖，并按照规定路线行驶</w:t>
                  </w:r>
                  <w:r>
                    <w:rPr>
                      <w:rFonts w:hint="eastAsia"/>
                      <w:color w:val="auto"/>
                      <w:lang w:eastAsia="zh-CN"/>
                    </w:rPr>
                    <w:t>，</w:t>
                  </w:r>
                  <w:r>
                    <w:rPr>
                      <w:rFonts w:hint="eastAsia" w:cs="Times New Roman"/>
                      <w:sz w:val="21"/>
                      <w:szCs w:val="21"/>
                      <w:highlight w:val="none"/>
                      <w:lang w:eastAsia="zh-CN"/>
                    </w:rPr>
                    <w:t>环评报批后，</w:t>
                  </w:r>
                  <w:r>
                    <w:rPr>
                      <w:rFonts w:hint="eastAsia"/>
                      <w:color w:val="auto"/>
                      <w:lang w:eastAsia="zh-CN"/>
                    </w:rPr>
                    <w:t>企业将编制突发环境事件应急预案并向平鲁区环保部门报备，固废合理处置，废气达标排放，满足朔州市生态环境准入总体要求</w:t>
                  </w:r>
                </w:p>
              </w:tc>
            </w:tr>
          </w:tbl>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kern w:val="0"/>
                <w:sz w:val="24"/>
                <w:szCs w:val="24"/>
                <w:highlight w:val="none"/>
              </w:rPr>
            </w:pPr>
            <w:r>
              <w:rPr>
                <w:rFonts w:hint="eastAsia"/>
                <w:b/>
                <w:bCs/>
                <w:color w:val="auto"/>
                <w:sz w:val="24"/>
                <w:szCs w:val="24"/>
                <w:highlight w:val="none"/>
                <w:lang w:val="en-US" w:eastAsia="zh-CN"/>
              </w:rPr>
              <w:t>2、</w:t>
            </w:r>
            <w:r>
              <w:rPr>
                <w:rFonts w:hint="default" w:ascii="Times New Roman" w:hAnsi="Times New Roman" w:eastAsia="宋体" w:cs="Times New Roman"/>
                <w:b/>
                <w:bCs/>
                <w:color w:val="auto"/>
                <w:kern w:val="0"/>
                <w:sz w:val="24"/>
                <w:szCs w:val="24"/>
                <w:highlight w:val="none"/>
              </w:rPr>
              <w:t>与《</w:t>
            </w:r>
            <w:r>
              <w:rPr>
                <w:rFonts w:hint="default" w:ascii="Times New Roman" w:hAnsi="Times New Roman" w:eastAsia="宋体" w:cs="Times New Roman"/>
                <w:b/>
                <w:bCs/>
                <w:color w:val="auto"/>
                <w:kern w:val="0"/>
                <w:sz w:val="24"/>
                <w:szCs w:val="24"/>
                <w:highlight w:val="none"/>
                <w:lang w:eastAsia="zh-CN"/>
              </w:rPr>
              <w:t>朔州市</w:t>
            </w:r>
            <w:r>
              <w:rPr>
                <w:rFonts w:hint="default" w:ascii="Times New Roman" w:hAnsi="Times New Roman" w:eastAsia="宋体" w:cs="Times New Roman"/>
                <w:b/>
                <w:bCs/>
                <w:color w:val="auto"/>
                <w:kern w:val="0"/>
                <w:sz w:val="24"/>
                <w:szCs w:val="24"/>
                <w:highlight w:val="none"/>
              </w:rPr>
              <w:t>人民政府关于</w:t>
            </w:r>
            <w:r>
              <w:rPr>
                <w:rFonts w:hint="default" w:ascii="Times New Roman" w:hAnsi="Times New Roman" w:eastAsia="宋体" w:cs="Times New Roman"/>
                <w:b/>
                <w:bCs/>
                <w:color w:val="auto"/>
                <w:kern w:val="0"/>
                <w:sz w:val="24"/>
                <w:szCs w:val="24"/>
                <w:highlight w:val="none"/>
                <w:lang w:eastAsia="zh-CN"/>
              </w:rPr>
              <w:t>印发</w:t>
            </w:r>
            <w:r>
              <w:rPr>
                <w:rFonts w:hint="default" w:ascii="Times New Roman" w:hAnsi="Times New Roman" w:eastAsia="宋体" w:cs="Times New Roman"/>
                <w:b/>
                <w:bCs/>
                <w:color w:val="auto"/>
                <w:kern w:val="0"/>
                <w:sz w:val="24"/>
                <w:szCs w:val="24"/>
                <w:highlight w:val="none"/>
              </w:rPr>
              <w:t>“三线一单”生态环境分区管控</w:t>
            </w:r>
            <w:r>
              <w:rPr>
                <w:rFonts w:hint="default" w:ascii="Times New Roman" w:hAnsi="Times New Roman" w:eastAsia="宋体" w:cs="Times New Roman"/>
                <w:b/>
                <w:bCs/>
                <w:color w:val="auto"/>
                <w:kern w:val="0"/>
                <w:sz w:val="24"/>
                <w:szCs w:val="24"/>
                <w:highlight w:val="none"/>
                <w:lang w:eastAsia="zh-CN"/>
              </w:rPr>
              <w:t>实施方案</w:t>
            </w:r>
            <w:r>
              <w:rPr>
                <w:rFonts w:hint="default" w:ascii="Times New Roman" w:hAnsi="Times New Roman" w:eastAsia="宋体" w:cs="Times New Roman"/>
                <w:b/>
                <w:bCs/>
                <w:color w:val="auto"/>
                <w:kern w:val="0"/>
                <w:sz w:val="24"/>
                <w:szCs w:val="24"/>
                <w:highlight w:val="none"/>
              </w:rPr>
              <w:t>的</w:t>
            </w:r>
            <w:r>
              <w:rPr>
                <w:rFonts w:hint="default" w:ascii="Times New Roman" w:hAnsi="Times New Roman" w:eastAsia="宋体" w:cs="Times New Roman"/>
                <w:b/>
                <w:bCs/>
                <w:color w:val="auto"/>
                <w:kern w:val="0"/>
                <w:sz w:val="24"/>
                <w:szCs w:val="24"/>
                <w:highlight w:val="none"/>
                <w:lang w:eastAsia="zh-CN"/>
              </w:rPr>
              <w:t>通知</w:t>
            </w:r>
            <w:r>
              <w:rPr>
                <w:rFonts w:hint="default" w:ascii="Times New Roman" w:hAnsi="Times New Roman" w:eastAsia="宋体" w:cs="Times New Roman"/>
                <w:b/>
                <w:bCs/>
                <w:color w:val="auto"/>
                <w:kern w:val="0"/>
                <w:sz w:val="24"/>
                <w:szCs w:val="24"/>
                <w:highlight w:val="none"/>
              </w:rPr>
              <w:t>》符合性分析</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（1）生态环境管控单元</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根据2021年6月30日发布的</w:t>
            </w:r>
            <w:r>
              <w:rPr>
                <w:rFonts w:hint="default" w:ascii="Times New Roman" w:hAnsi="Times New Roman" w:eastAsia="宋体" w:cs="Times New Roman"/>
                <w:color w:val="auto"/>
                <w:sz w:val="24"/>
                <w:szCs w:val="24"/>
                <w:highlight w:val="none"/>
                <w:lang w:val="en-US" w:eastAsia="zh-CN"/>
              </w:rPr>
              <w:t>《朔州市人民政府关于印发</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生态环境分区管控实施方案的通知》（朔政发</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23号）</w:t>
            </w:r>
            <w:r>
              <w:rPr>
                <w:rFonts w:hint="eastAsia" w:ascii="Times New Roman" w:hAnsi="Times New Roman" w:eastAsia="宋体" w:cs="Times New Roman"/>
                <w:color w:val="auto"/>
                <w:sz w:val="24"/>
                <w:szCs w:val="24"/>
                <w:highlight w:val="none"/>
                <w:lang w:val="en-US" w:eastAsia="zh-CN"/>
              </w:rPr>
              <w:t>，本项目位于一般管控单元，项目与一般管控单元管控要求符合性分析见下表</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朔州市</w:t>
            </w:r>
            <w:r>
              <w:rPr>
                <w:rFonts w:hint="default" w:ascii="Times New Roman" w:hAnsi="Times New Roman" w:eastAsia="宋体" w:cs="Times New Roman"/>
                <w:color w:val="auto"/>
                <w:sz w:val="24"/>
                <w:szCs w:val="24"/>
                <w:highlight w:val="none"/>
                <w:lang w:val="en-US" w:eastAsia="zh-CN"/>
              </w:rPr>
              <w:t>生态环境管控单元图见</w:t>
            </w:r>
            <w:r>
              <w:rPr>
                <w:rFonts w:hint="eastAsia" w:ascii="Times New Roman" w:hAnsi="Times New Roman" w:eastAsia="宋体" w:cs="Times New Roman"/>
                <w:color w:val="auto"/>
                <w:sz w:val="24"/>
                <w:szCs w:val="24"/>
                <w:highlight w:val="none"/>
                <w:lang w:val="en-US" w:eastAsia="zh-CN"/>
              </w:rPr>
              <w:t>附图4。</w:t>
            </w:r>
          </w:p>
          <w:p>
            <w:pPr>
              <w:pStyle w:val="39"/>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2  项目与所在生态环境管控单元（</w:t>
            </w:r>
            <w:r>
              <w:rPr>
                <w:rFonts w:hint="eastAsia" w:ascii="Times New Roman" w:hAnsi="Times New Roman" w:eastAsia="宋体" w:cs="Times New Roman"/>
                <w:sz w:val="24"/>
                <w:szCs w:val="24"/>
              </w:rPr>
              <w:t>一般</w:t>
            </w:r>
            <w:r>
              <w:rPr>
                <w:rFonts w:hint="default" w:ascii="Times New Roman" w:hAnsi="Times New Roman" w:eastAsia="宋体" w:cs="Times New Roman"/>
                <w:sz w:val="24"/>
                <w:szCs w:val="24"/>
              </w:rPr>
              <w:t>管控单元）</w:t>
            </w:r>
          </w:p>
          <w:p>
            <w:pPr>
              <w:pStyle w:val="39"/>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符合性分析一览表</w:t>
            </w:r>
          </w:p>
          <w:tbl>
            <w:tblPr>
              <w:tblStyle w:val="2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2277"/>
              <w:gridCol w:w="3497"/>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06"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b/>
                      <w:bCs/>
                      <w:sz w:val="21"/>
                      <w:szCs w:val="21"/>
                    </w:rPr>
                  </w:pPr>
                  <w:r>
                    <w:rPr>
                      <w:rFonts w:ascii="Times New Roman" w:hAnsi="Times New Roman" w:cs="Times New Roman"/>
                      <w:b/>
                      <w:bCs/>
                      <w:sz w:val="21"/>
                      <w:szCs w:val="21"/>
                    </w:rPr>
                    <w:t>序号</w:t>
                  </w:r>
                </w:p>
              </w:tc>
              <w:tc>
                <w:tcPr>
                  <w:tcW w:w="1631"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bCs/>
                      <w:sz w:val="21"/>
                      <w:szCs w:val="21"/>
                      <w:lang w:eastAsia="zh-CN"/>
                    </w:rPr>
                  </w:pPr>
                  <w:r>
                    <w:rPr>
                      <w:rFonts w:hint="eastAsia" w:ascii="Times New Roman" w:hAnsi="Times New Roman" w:cs="Times New Roman"/>
                      <w:b/>
                      <w:bCs/>
                      <w:sz w:val="21"/>
                      <w:szCs w:val="21"/>
                      <w:lang w:eastAsia="zh-CN"/>
                    </w:rPr>
                    <w:t>一般管控单元</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b/>
                      <w:bCs/>
                      <w:sz w:val="21"/>
                      <w:szCs w:val="21"/>
                    </w:rPr>
                  </w:pPr>
                  <w:r>
                    <w:rPr>
                      <w:rFonts w:ascii="Times New Roman" w:hAnsi="Times New Roman" w:cs="Times New Roman"/>
                      <w:b/>
                      <w:bCs/>
                      <w:sz w:val="21"/>
                      <w:szCs w:val="21"/>
                    </w:rPr>
                    <w:t>具体要求</w:t>
                  </w:r>
                </w:p>
              </w:tc>
              <w:tc>
                <w:tcPr>
                  <w:tcW w:w="2505"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b/>
                      <w:bCs/>
                      <w:sz w:val="21"/>
                      <w:szCs w:val="21"/>
                    </w:rPr>
                  </w:pPr>
                  <w:r>
                    <w:rPr>
                      <w:rFonts w:ascii="Times New Roman" w:hAnsi="Times New Roman" w:cs="Times New Roman"/>
                      <w:b/>
                      <w:bCs/>
                      <w:sz w:val="21"/>
                      <w:szCs w:val="21"/>
                    </w:rPr>
                    <w:t>本项目情况</w:t>
                  </w:r>
                </w:p>
              </w:tc>
              <w:tc>
                <w:tcPr>
                  <w:tcW w:w="456"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b/>
                      <w:bCs/>
                      <w:sz w:val="21"/>
                      <w:szCs w:val="21"/>
                    </w:rPr>
                  </w:pPr>
                  <w:r>
                    <w:rPr>
                      <w:rFonts w:ascii="Times New Roman" w:hAnsi="Times New Roman" w:cs="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06"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sz w:val="21"/>
                      <w:szCs w:val="21"/>
                    </w:rPr>
                  </w:pPr>
                  <w:r>
                    <w:rPr>
                      <w:rFonts w:ascii="Times New Roman" w:hAnsi="Times New Roman" w:cs="Times New Roman"/>
                      <w:sz w:val="21"/>
                      <w:szCs w:val="21"/>
                    </w:rPr>
                    <w:t>1</w:t>
                  </w:r>
                </w:p>
              </w:tc>
              <w:tc>
                <w:tcPr>
                  <w:tcW w:w="1631"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以生态环境保护与适度开发相结合为主，主要落实生态环境保护基本要求，执行国家和省相关产业准入</w:t>
                  </w:r>
                  <w:r>
                    <w:rPr>
                      <w:rFonts w:hint="eastAsia" w:cs="Times New Roman"/>
                      <w:color w:val="auto"/>
                      <w:sz w:val="21"/>
                      <w:szCs w:val="21"/>
                      <w:lang w:eastAsia="zh-CN"/>
                    </w:rPr>
                    <w:t>、</w:t>
                  </w:r>
                  <w:r>
                    <w:rPr>
                      <w:rFonts w:hint="eastAsia" w:ascii="Times New Roman" w:hAnsi="Times New Roman" w:cs="Times New Roman"/>
                      <w:color w:val="auto"/>
                      <w:sz w:val="21"/>
                      <w:szCs w:val="21"/>
                    </w:rPr>
                    <w:t>总量控制、排放标准等管理规定，推动区域生态环境质量持续改善</w:t>
                  </w:r>
                  <w:r>
                    <w:rPr>
                      <w:rFonts w:ascii="Times New Roman" w:hAnsi="Times New Roman" w:cs="Times New Roman"/>
                      <w:color w:val="auto"/>
                      <w:sz w:val="21"/>
                      <w:szCs w:val="21"/>
                    </w:rPr>
                    <w:t>。</w:t>
                  </w:r>
                </w:p>
              </w:tc>
              <w:tc>
                <w:tcPr>
                  <w:tcW w:w="2505"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color w:val="auto"/>
                      <w:sz w:val="21"/>
                      <w:szCs w:val="21"/>
                    </w:rPr>
                  </w:pPr>
                  <w:r>
                    <w:rPr>
                      <w:rFonts w:hint="eastAsia" w:cs="Times New Roman"/>
                      <w:color w:val="auto"/>
                      <w:sz w:val="21"/>
                      <w:szCs w:val="21"/>
                      <w:highlight w:val="none"/>
                      <w:lang w:val="en-US" w:eastAsia="zh-CN"/>
                    </w:rPr>
                    <w:t>项目煤泥烘干及落料口废气经</w:t>
                  </w:r>
                  <w:r>
                    <w:rPr>
                      <w:rFonts w:hint="eastAsia"/>
                      <w:color w:val="auto"/>
                      <w:sz w:val="21"/>
                      <w:szCs w:val="21"/>
                      <w:highlight w:val="none"/>
                      <w:lang w:val="en-US" w:eastAsia="zh-CN"/>
                    </w:rPr>
                    <w:t>1套SNCR脱硝+旋风除尘+布袋除尘</w:t>
                  </w:r>
                  <w:r>
                    <w:rPr>
                      <w:rFonts w:hint="eastAsia"/>
                      <w:color w:val="auto"/>
                      <w:sz w:val="21"/>
                      <w:szCs w:val="21"/>
                      <w:highlight w:val="none"/>
                      <w:lang w:eastAsia="zh-CN"/>
                    </w:rPr>
                    <w:t>设施</w:t>
                  </w:r>
                  <w:r>
                    <w:rPr>
                      <w:rFonts w:hint="eastAsia" w:ascii="Times New Roman" w:hAnsi="Times New Roman"/>
                      <w:color w:val="auto"/>
                      <w:sz w:val="21"/>
                      <w:szCs w:val="21"/>
                      <w:highlight w:val="none"/>
                    </w:rPr>
                    <w:t>处理后由15m高排气筒排放</w:t>
                  </w:r>
                  <w:r>
                    <w:rPr>
                      <w:rFonts w:hint="eastAsia" w:cs="Times New Roman"/>
                      <w:color w:val="auto"/>
                      <w:sz w:val="21"/>
                      <w:szCs w:val="21"/>
                      <w:highlight w:val="none"/>
                      <w:lang w:val="en-US" w:eastAsia="zh-CN"/>
                    </w:rPr>
                    <w:t>，建设全封闭干煤泥库和湿煤泥库；选用低噪声设备、隔声、减振；固废均合理处置；严格落实环评的环保措施后，各污染物可达标排放。</w:t>
                  </w:r>
                  <w:r>
                    <w:rPr>
                      <w:rFonts w:hint="default" w:ascii="Times New Roman" w:hAnsi="Times New Roman" w:eastAsia="宋体" w:cs="Times New Roman"/>
                      <w:color w:val="auto"/>
                      <w:sz w:val="21"/>
                      <w:szCs w:val="21"/>
                      <w:highlight w:val="none"/>
                      <w:lang w:eastAsia="zh-CN"/>
                    </w:rPr>
                    <w:t>本项目</w:t>
                  </w:r>
                  <w:r>
                    <w:rPr>
                      <w:rFonts w:hint="eastAsia" w:cs="Times New Roman"/>
                      <w:color w:val="auto"/>
                      <w:sz w:val="21"/>
                      <w:szCs w:val="21"/>
                      <w:highlight w:val="none"/>
                      <w:lang w:eastAsia="zh-CN"/>
                    </w:rPr>
                    <w:t>符合</w:t>
                  </w:r>
                  <w:r>
                    <w:rPr>
                      <w:rFonts w:hint="default" w:ascii="Times New Roman" w:hAnsi="Times New Roman" w:eastAsia="宋体" w:cs="Times New Roman"/>
                      <w:color w:val="auto"/>
                      <w:sz w:val="21"/>
                      <w:szCs w:val="21"/>
                      <w:highlight w:val="none"/>
                      <w:lang w:val="en-US" w:eastAsia="zh-CN"/>
                    </w:rPr>
                    <w:t>一般管控单元的要求。</w:t>
                  </w:r>
                </w:p>
              </w:tc>
              <w:tc>
                <w:tcPr>
                  <w:tcW w:w="456"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sz w:val="21"/>
                      <w:szCs w:val="21"/>
                    </w:rPr>
                  </w:pPr>
                  <w:r>
                    <w:rPr>
                      <w:rFonts w:ascii="Times New Roman" w:hAnsi="Times New Roman" w:cs="Times New Roman"/>
                      <w:sz w:val="21"/>
                      <w:szCs w:val="21"/>
                    </w:rPr>
                    <w:t>符合</w:t>
                  </w:r>
                </w:p>
              </w:tc>
            </w:tr>
          </w:tbl>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（2）生态环境准入清单</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根据“朔政发〔2021〕23号”中“附件3 朔州市生态环境准入总体要求”，本项目位于一般管控单元，不受其空间布局约束，不受资源利用效率约束，但施工、运营期会产生废气、废水、固废等污染物，因此受“污染物排放控制和环境风险防控”约束。</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本次评价就与本项目相关的管控要求进行深入论证，对不涉及的管控要求不予以分析。</w:t>
            </w:r>
          </w:p>
          <w:p>
            <w:pPr>
              <w:pStyle w:val="39"/>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 xml:space="preserve">-3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本项目与“朔州市生态环境准入总体要求”</w:t>
            </w:r>
          </w:p>
          <w:p>
            <w:pPr>
              <w:pStyle w:val="39"/>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符合性分析一览表</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52"/>
              <w:gridCol w:w="3094"/>
              <w:gridCol w:w="2662"/>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95" w:type="pct"/>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管控类别</w:t>
                  </w:r>
                </w:p>
              </w:tc>
              <w:tc>
                <w:tcPr>
                  <w:tcW w:w="2214"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具体要求</w:t>
                  </w:r>
                </w:p>
              </w:tc>
              <w:tc>
                <w:tcPr>
                  <w:tcW w:w="1905"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本项目情况</w:t>
                  </w:r>
                </w:p>
              </w:tc>
              <w:tc>
                <w:tcPr>
                  <w:tcW w:w="484" w:type="pc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53" w:hRule="atLeast"/>
                <w:jc w:val="center"/>
              </w:trPr>
              <w:tc>
                <w:tcPr>
                  <w:tcW w:w="395" w:type="pct"/>
                  <w:vMerge w:val="restart"/>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污染物排放管控</w:t>
                  </w:r>
                </w:p>
              </w:tc>
              <w:tc>
                <w:tcPr>
                  <w:tcW w:w="2214" w:type="pct"/>
                  <w:vAlign w:val="center"/>
                </w:tcPr>
                <w:p>
                  <w:pPr>
                    <w:rPr>
                      <w:rFonts w:ascii="Times New Roman" w:hAnsi="Times New Roman" w:cs="Times New Roman"/>
                      <w:color w:val="000000"/>
                      <w:sz w:val="21"/>
                      <w:szCs w:val="21"/>
                    </w:rPr>
                  </w:pPr>
                  <w:r>
                    <w:rPr>
                      <w:rFonts w:hint="eastAsia" w:ascii="Times New Roman" w:hAnsi="Times New Roman" w:cs="Times New Roman"/>
                      <w:color w:val="000000"/>
                      <w:sz w:val="21"/>
                      <w:szCs w:val="21"/>
                    </w:rPr>
                    <w:t>6、加强建筑施工扬尘动态监管，严格落实“六个百分之百”</w:t>
                  </w:r>
                  <w:r>
                    <w:rPr>
                      <w:rFonts w:hint="eastAsia" w:ascii="Times New Roman" w:hAnsi="Times New Roman" w:cs="Times New Roman"/>
                      <w:color w:val="000000"/>
                      <w:sz w:val="21"/>
                      <w:szCs w:val="21"/>
                      <w:lang w:eastAsia="zh-CN"/>
                    </w:rPr>
                    <w:t>防治</w:t>
                  </w:r>
                  <w:r>
                    <w:rPr>
                      <w:rFonts w:hint="eastAsia" w:ascii="Times New Roman" w:hAnsi="Times New Roman" w:cs="Times New Roman"/>
                      <w:color w:val="000000"/>
                      <w:sz w:val="21"/>
                      <w:szCs w:val="21"/>
                    </w:rPr>
                    <w:t>措施。</w:t>
                  </w:r>
                </w:p>
              </w:tc>
              <w:tc>
                <w:tcPr>
                  <w:tcW w:w="1905" w:type="pct"/>
                  <w:vAlign w:val="center"/>
                </w:tcPr>
                <w:p>
                  <w:pP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本项目施工期</w:t>
                  </w:r>
                  <w:r>
                    <w:rPr>
                      <w:rFonts w:hint="eastAsia" w:ascii="Times New Roman" w:hAnsi="Times New Roman" w:cs="Times New Roman"/>
                      <w:color w:val="000000"/>
                      <w:sz w:val="21"/>
                      <w:szCs w:val="21"/>
                    </w:rPr>
                    <w:t>加强建筑施工扬尘动态监管，严格落实“六个百分之百”</w:t>
                  </w:r>
                  <w:r>
                    <w:rPr>
                      <w:rFonts w:hint="eastAsia" w:ascii="Times New Roman" w:hAnsi="Times New Roman" w:cs="Times New Roman"/>
                      <w:color w:val="000000"/>
                      <w:sz w:val="21"/>
                      <w:szCs w:val="21"/>
                      <w:lang w:eastAsia="zh-CN"/>
                    </w:rPr>
                    <w:t>防治措施</w:t>
                  </w:r>
                  <w:r>
                    <w:rPr>
                      <w:rFonts w:hint="eastAsia" w:ascii="Times New Roman" w:hAnsi="Times New Roman" w:cs="Times New Roman"/>
                      <w:color w:val="000000"/>
                      <w:sz w:val="21"/>
                      <w:szCs w:val="21"/>
                    </w:rPr>
                    <w:t>。</w:t>
                  </w:r>
                </w:p>
              </w:tc>
              <w:tc>
                <w:tcPr>
                  <w:tcW w:w="484" w:type="pct"/>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95" w:type="pct"/>
                  <w:vMerge w:val="continue"/>
                  <w:vAlign w:val="center"/>
                </w:tcPr>
                <w:p>
                  <w:pPr>
                    <w:jc w:val="center"/>
                    <w:rPr>
                      <w:rFonts w:ascii="Times New Roman" w:hAnsi="Times New Roman" w:cs="Times New Roman"/>
                      <w:sz w:val="21"/>
                      <w:szCs w:val="21"/>
                    </w:rPr>
                  </w:pPr>
                </w:p>
              </w:tc>
              <w:tc>
                <w:tcPr>
                  <w:tcW w:w="2214" w:type="pct"/>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Times New Roman" w:hAnsi="Times New Roman" w:cs="Times New Roman"/>
                      <w:color w:val="000000"/>
                      <w:sz w:val="21"/>
                      <w:szCs w:val="21"/>
                    </w:rPr>
                  </w:pPr>
                  <w:r>
                    <w:rPr>
                      <w:rFonts w:hint="eastAsia" w:ascii="Times New Roman" w:hAnsi="Times New Roman" w:cs="Times New Roman"/>
                      <w:color w:val="000000"/>
                      <w:sz w:val="21"/>
                      <w:szCs w:val="21"/>
                    </w:rPr>
                    <w:t>7、贮存煤炭、煤矸石、煤渣、煤灰、水泥、石灰、石膏、砂土等易产生扬尘的物料应当密闭；不能密闭的，应当设置不低于堆放物高度的严密围挡。并采取有效覆盖措施防止扬尘污染。</w:t>
                  </w:r>
                </w:p>
              </w:tc>
              <w:tc>
                <w:tcPr>
                  <w:tcW w:w="1905" w:type="pct"/>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imes New Roman" w:hAnsi="Times New Roman" w:eastAsia="宋体" w:cs="Times New Roman"/>
                      <w:sz w:val="21"/>
                      <w:szCs w:val="21"/>
                      <w:lang w:eastAsia="zh-CN"/>
                    </w:rPr>
                  </w:pPr>
                  <w:r>
                    <w:rPr>
                      <w:rFonts w:hint="eastAsia" w:ascii="Times New Roman" w:hAnsi="Times New Roman" w:cs="Times New Roman"/>
                      <w:color w:val="000000"/>
                      <w:sz w:val="21"/>
                      <w:szCs w:val="21"/>
                    </w:rPr>
                    <w:t>本项目</w:t>
                  </w:r>
                  <w:r>
                    <w:rPr>
                      <w:rFonts w:hint="eastAsia" w:ascii="Times New Roman" w:hAnsi="Times New Roman" w:cs="Times New Roman"/>
                      <w:color w:val="000000"/>
                      <w:sz w:val="21"/>
                      <w:szCs w:val="21"/>
                      <w:lang w:eastAsia="zh-CN"/>
                    </w:rPr>
                    <w:t>设全封闭干煤泥库和湿煤泥库，用于储存煤泥。</w:t>
                  </w:r>
                </w:p>
              </w:tc>
              <w:tc>
                <w:tcPr>
                  <w:tcW w:w="484" w:type="pc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95" w:type="pct"/>
                  <w:vMerge w:val="continue"/>
                  <w:vAlign w:val="center"/>
                </w:tcPr>
                <w:p>
                  <w:pPr>
                    <w:jc w:val="center"/>
                    <w:rPr>
                      <w:rFonts w:ascii="Times New Roman" w:hAnsi="Times New Roman" w:cs="Times New Roman"/>
                      <w:sz w:val="21"/>
                      <w:szCs w:val="21"/>
                    </w:rPr>
                  </w:pPr>
                </w:p>
              </w:tc>
              <w:tc>
                <w:tcPr>
                  <w:tcW w:w="2214"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s="Times New Roman"/>
                      <w:color w:val="000000"/>
                      <w:sz w:val="21"/>
                      <w:szCs w:val="21"/>
                    </w:rPr>
                  </w:pPr>
                  <w:r>
                    <w:rPr>
                      <w:rFonts w:hint="eastAsia" w:ascii="Times New Roman" w:hAnsi="Times New Roman" w:cs="Times New Roman"/>
                      <w:color w:val="000000"/>
                      <w:sz w:val="21"/>
                      <w:szCs w:val="21"/>
                    </w:rPr>
                    <w:t>8、运输煤炭、垃圾、渣土、砂石、土方、灰浆等散料、流体物料的车辆应当采取密闭或者其他措施防止物料遗撒造成扬尘污染，并按照规定路线行驶。</w:t>
                  </w:r>
                </w:p>
              </w:tc>
              <w:tc>
                <w:tcPr>
                  <w:tcW w:w="1905"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s="Times New Roman"/>
                      <w:sz w:val="21"/>
                      <w:szCs w:val="21"/>
                    </w:rPr>
                  </w:pPr>
                  <w:r>
                    <w:rPr>
                      <w:rFonts w:hint="eastAsia" w:ascii="Times New Roman" w:hAnsi="Times New Roman" w:cs="Times New Roman"/>
                      <w:sz w:val="21"/>
                      <w:szCs w:val="21"/>
                    </w:rPr>
                    <w:t>本项目运输物料的车辆</w:t>
                  </w:r>
                  <w:r>
                    <w:rPr>
                      <w:rFonts w:hint="default" w:ascii="Times New Roman" w:hAnsi="Times New Roman" w:eastAsia="宋体" w:cs="Times New Roman"/>
                      <w:color w:val="auto"/>
                      <w:sz w:val="21"/>
                      <w:szCs w:val="21"/>
                      <w:highlight w:val="none"/>
                      <w:lang w:val="en-US" w:eastAsia="zh-CN"/>
                    </w:rPr>
                    <w:t>采用</w:t>
                  </w:r>
                  <w:r>
                    <w:rPr>
                      <w:rFonts w:hint="eastAsia" w:ascii="Times New Roman" w:hAnsi="Times New Roman" w:eastAsia="宋体" w:cs="Times New Roman"/>
                      <w:color w:val="auto"/>
                      <w:sz w:val="21"/>
                      <w:szCs w:val="21"/>
                      <w:highlight w:val="none"/>
                      <w:lang w:val="en-US" w:eastAsia="zh-CN"/>
                    </w:rPr>
                    <w:t>篷布苫盖</w:t>
                  </w:r>
                  <w:r>
                    <w:rPr>
                      <w:rFonts w:hint="eastAsia" w:ascii="Times New Roman" w:hAnsi="Times New Roman" w:cs="Times New Roman"/>
                      <w:color w:val="000000"/>
                      <w:sz w:val="21"/>
                      <w:szCs w:val="21"/>
                    </w:rPr>
                    <w:t>，并按照规定路线行驶</w:t>
                  </w:r>
                </w:p>
              </w:tc>
              <w:tc>
                <w:tcPr>
                  <w:tcW w:w="484"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95" w:type="pct"/>
                  <w:vMerge w:val="restart"/>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环境风险防控</w:t>
                  </w:r>
                </w:p>
              </w:tc>
              <w:tc>
                <w:tcPr>
                  <w:tcW w:w="2214"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1</w:t>
                  </w:r>
                  <w:r>
                    <w:rPr>
                      <w:rFonts w:hint="eastAsia" w:ascii="Times New Roman" w:hAnsi="Times New Roman" w:cs="Times New Roman"/>
                      <w:color w:val="000000"/>
                      <w:sz w:val="21"/>
                      <w:szCs w:val="21"/>
                      <w:highlight w:val="none"/>
                    </w:rPr>
                    <w:t>、企事业单位和其他生产经营者按照相关规定编制突发环境事件应急预案并向所在地县（市、区）环保部门报备。</w:t>
                  </w:r>
                </w:p>
              </w:tc>
              <w:tc>
                <w:tcPr>
                  <w:tcW w:w="1905"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s="Times New Roman"/>
                      <w:sz w:val="21"/>
                      <w:szCs w:val="21"/>
                      <w:highlight w:val="none"/>
                    </w:rPr>
                  </w:pPr>
                  <w:r>
                    <w:rPr>
                      <w:rFonts w:hint="eastAsia" w:cs="Times New Roman"/>
                      <w:sz w:val="21"/>
                      <w:szCs w:val="21"/>
                      <w:highlight w:val="none"/>
                      <w:lang w:eastAsia="zh-CN"/>
                    </w:rPr>
                    <w:t>环评报批后，</w:t>
                  </w:r>
                  <w:r>
                    <w:rPr>
                      <w:rFonts w:hint="eastAsia" w:ascii="Times New Roman" w:hAnsi="Times New Roman" w:cs="Times New Roman"/>
                      <w:sz w:val="21"/>
                      <w:szCs w:val="21"/>
                      <w:highlight w:val="none"/>
                    </w:rPr>
                    <w:t>企业</w:t>
                  </w:r>
                  <w:r>
                    <w:rPr>
                      <w:rFonts w:hint="eastAsia" w:cs="Times New Roman"/>
                      <w:sz w:val="21"/>
                      <w:szCs w:val="21"/>
                      <w:highlight w:val="none"/>
                      <w:lang w:eastAsia="zh-CN"/>
                    </w:rPr>
                    <w:t>将</w:t>
                  </w:r>
                  <w:r>
                    <w:rPr>
                      <w:rFonts w:hint="eastAsia" w:ascii="Times New Roman" w:hAnsi="Times New Roman" w:cs="Times New Roman"/>
                      <w:sz w:val="21"/>
                      <w:szCs w:val="21"/>
                      <w:highlight w:val="none"/>
                    </w:rPr>
                    <w:t>编制突发环境事件应急预案并向</w:t>
                  </w:r>
                  <w:r>
                    <w:rPr>
                      <w:rFonts w:hint="eastAsia" w:cs="Times New Roman"/>
                      <w:sz w:val="21"/>
                      <w:szCs w:val="21"/>
                      <w:highlight w:val="none"/>
                      <w:lang w:eastAsia="zh-CN"/>
                    </w:rPr>
                    <w:t>平鲁区</w:t>
                  </w:r>
                  <w:r>
                    <w:rPr>
                      <w:rFonts w:hint="eastAsia" w:ascii="Times New Roman" w:hAnsi="Times New Roman" w:cs="Times New Roman"/>
                      <w:sz w:val="21"/>
                      <w:szCs w:val="21"/>
                      <w:highlight w:val="none"/>
                    </w:rPr>
                    <w:t>环保部门报备。</w:t>
                  </w:r>
                </w:p>
              </w:tc>
              <w:tc>
                <w:tcPr>
                  <w:tcW w:w="484"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7" w:hRule="atLeast"/>
                <w:jc w:val="center"/>
              </w:trPr>
              <w:tc>
                <w:tcPr>
                  <w:tcW w:w="395" w:type="pct"/>
                  <w:vMerge w:val="continue"/>
                  <w:vAlign w:val="center"/>
                </w:tcPr>
                <w:p>
                  <w:pPr>
                    <w:jc w:val="center"/>
                    <w:rPr>
                      <w:rFonts w:ascii="Times New Roman" w:hAnsi="Times New Roman" w:cs="Times New Roman"/>
                      <w:sz w:val="21"/>
                      <w:szCs w:val="21"/>
                    </w:rPr>
                  </w:pPr>
                </w:p>
              </w:tc>
              <w:tc>
                <w:tcPr>
                  <w:tcW w:w="2214"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s="Times New Roman"/>
                      <w:color w:val="000000"/>
                      <w:sz w:val="21"/>
                      <w:szCs w:val="21"/>
                    </w:rPr>
                  </w:pPr>
                  <w:r>
                    <w:rPr>
                      <w:rFonts w:hint="eastAsia" w:ascii="Times New Roman" w:hAnsi="Times New Roman" w:cs="Times New Roman"/>
                      <w:color w:val="000000"/>
                      <w:sz w:val="21"/>
                      <w:szCs w:val="21"/>
                    </w:rPr>
                    <w:t>2、所有危险废物一律规范收集、贮存、转运、利用、处置。</w:t>
                  </w:r>
                </w:p>
              </w:tc>
              <w:tc>
                <w:tcPr>
                  <w:tcW w:w="1905"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s="Times New Roman"/>
                      <w:sz w:val="21"/>
                      <w:szCs w:val="21"/>
                    </w:rPr>
                  </w:pPr>
                  <w:r>
                    <w:rPr>
                      <w:rFonts w:hint="eastAsia" w:ascii="Times New Roman" w:hAnsi="Times New Roman" w:cs="Times New Roman"/>
                      <w:sz w:val="21"/>
                      <w:szCs w:val="21"/>
                    </w:rPr>
                    <w:t>项目</w:t>
                  </w:r>
                  <w:r>
                    <w:rPr>
                      <w:rFonts w:hint="eastAsia" w:cs="Times New Roman"/>
                      <w:sz w:val="21"/>
                      <w:szCs w:val="21"/>
                      <w:lang w:eastAsia="zh-CN"/>
                    </w:rPr>
                    <w:t>危废分类收集，暂存于依托的</w:t>
                  </w:r>
                  <w:r>
                    <w:rPr>
                      <w:rFonts w:hint="eastAsia" w:cs="Times New Roman"/>
                      <w:color w:val="auto"/>
                      <w:sz w:val="21"/>
                      <w:szCs w:val="21"/>
                      <w:lang w:val="en-US" w:eastAsia="zh-CN"/>
                    </w:rPr>
                    <w:t>山西中源拓森煤炭销售有限公司</w:t>
                  </w:r>
                  <w:r>
                    <w:rPr>
                      <w:rFonts w:hint="eastAsia" w:cs="Times New Roman"/>
                      <w:sz w:val="21"/>
                      <w:szCs w:val="21"/>
                      <w:lang w:eastAsia="zh-CN"/>
                    </w:rPr>
                    <w:t>危废间</w:t>
                  </w:r>
                  <w:r>
                    <w:rPr>
                      <w:rFonts w:hint="eastAsia" w:ascii="Times New Roman" w:hAnsi="Times New Roman" w:cs="Times New Roman"/>
                      <w:sz w:val="21"/>
                      <w:szCs w:val="21"/>
                      <w:lang w:eastAsia="zh-CN"/>
                    </w:rPr>
                    <w:t>，</w:t>
                  </w:r>
                  <w:r>
                    <w:rPr>
                      <w:rFonts w:hint="eastAsia" w:ascii="Times New Roman" w:hAnsi="Times New Roman" w:eastAsia="宋体" w:cs="Times New Roman"/>
                      <w:color w:val="auto"/>
                      <w:sz w:val="21"/>
                      <w:szCs w:val="21"/>
                      <w:highlight w:val="none"/>
                      <w:lang w:eastAsia="zh-CN"/>
                    </w:rPr>
                    <w:t>危险废物</w:t>
                  </w:r>
                  <w:r>
                    <w:rPr>
                      <w:rFonts w:hint="default" w:ascii="Times New Roman" w:hAnsi="Times New Roman" w:eastAsia="宋体" w:cs="Times New Roman"/>
                      <w:color w:val="auto"/>
                      <w:sz w:val="21"/>
                      <w:szCs w:val="21"/>
                      <w:highlight w:val="none"/>
                    </w:rPr>
                    <w:t>定期</w:t>
                  </w:r>
                  <w:r>
                    <w:rPr>
                      <w:rFonts w:hint="eastAsia" w:ascii="Times New Roman" w:hAnsi="Times New Roman" w:eastAsia="宋体" w:cs="Times New Roman"/>
                      <w:color w:val="auto"/>
                      <w:sz w:val="21"/>
                      <w:szCs w:val="21"/>
                      <w:highlight w:val="none"/>
                      <w:lang w:eastAsia="zh-CN"/>
                    </w:rPr>
                    <w:t>交</w:t>
                  </w:r>
                  <w:r>
                    <w:rPr>
                      <w:rFonts w:hint="default" w:ascii="Times New Roman" w:hAnsi="Times New Roman" w:eastAsia="宋体" w:cs="Times New Roman"/>
                      <w:color w:val="auto"/>
                      <w:sz w:val="21"/>
                      <w:szCs w:val="21"/>
                      <w:highlight w:val="none"/>
                    </w:rPr>
                    <w:t>由有资质的单位</w:t>
                  </w:r>
                  <w:r>
                    <w:rPr>
                      <w:rFonts w:hint="default" w:ascii="Times New Roman" w:hAnsi="Times New Roman" w:eastAsia="宋体" w:cs="Times New Roman"/>
                      <w:color w:val="auto"/>
                      <w:sz w:val="21"/>
                      <w:szCs w:val="21"/>
                      <w:highlight w:val="none"/>
                      <w:lang w:eastAsia="zh-CN"/>
                    </w:rPr>
                    <w:t>处置</w:t>
                  </w:r>
                  <w:r>
                    <w:rPr>
                      <w:rFonts w:hint="eastAsia" w:ascii="Times New Roman" w:hAnsi="Times New Roman" w:cs="Times New Roman"/>
                      <w:sz w:val="21"/>
                      <w:szCs w:val="21"/>
                    </w:rPr>
                    <w:t>。</w:t>
                  </w:r>
                </w:p>
              </w:tc>
              <w:tc>
                <w:tcPr>
                  <w:tcW w:w="484"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符合</w:t>
                  </w:r>
                </w:p>
              </w:tc>
            </w:tr>
          </w:tbl>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由上可知，项目符合</w:t>
            </w:r>
            <w:r>
              <w:rPr>
                <w:rFonts w:hint="default" w:ascii="Times New Roman" w:hAnsi="Times New Roman" w:eastAsia="宋体"/>
                <w:color w:val="auto"/>
                <w:sz w:val="24"/>
                <w:szCs w:val="24"/>
                <w:highlight w:val="none"/>
                <w:lang w:val="en-US" w:eastAsia="zh-CN"/>
              </w:rPr>
              <w:t>《朔州市人民政府关于印发“三线一单”生态环境分区管控实施方案的通知》（朔政发</w:t>
            </w:r>
            <w:r>
              <w:rPr>
                <w:rFonts w:hint="eastAsia" w:ascii="Times New Roman" w:hAnsi="Times New Roman" w:eastAsia="宋体"/>
                <w:color w:val="auto"/>
                <w:sz w:val="24"/>
                <w:szCs w:val="24"/>
                <w:highlight w:val="none"/>
                <w:lang w:val="en-US" w:eastAsia="zh-CN"/>
              </w:rPr>
              <w:t>〔</w:t>
            </w:r>
            <w:r>
              <w:rPr>
                <w:rFonts w:hint="default" w:ascii="Times New Roman" w:hAnsi="Times New Roman" w:eastAsia="宋体"/>
                <w:color w:val="auto"/>
                <w:sz w:val="24"/>
                <w:szCs w:val="24"/>
                <w:highlight w:val="none"/>
                <w:lang w:val="en-US" w:eastAsia="zh-CN"/>
              </w:rPr>
              <w:t>2021</w:t>
            </w:r>
            <w:r>
              <w:rPr>
                <w:rFonts w:hint="eastAsia" w:ascii="Times New Roman" w:hAnsi="Times New Roman" w:eastAsia="宋体"/>
                <w:color w:val="auto"/>
                <w:sz w:val="24"/>
                <w:szCs w:val="24"/>
                <w:highlight w:val="none"/>
                <w:lang w:val="en-US" w:eastAsia="zh-CN"/>
              </w:rPr>
              <w:t>〕</w:t>
            </w:r>
            <w:r>
              <w:rPr>
                <w:rFonts w:hint="default" w:ascii="Times New Roman" w:hAnsi="Times New Roman" w:eastAsia="宋体"/>
                <w:color w:val="auto"/>
                <w:sz w:val="24"/>
                <w:szCs w:val="24"/>
                <w:highlight w:val="none"/>
                <w:lang w:val="en-US" w:eastAsia="zh-CN"/>
              </w:rPr>
              <w:t>23号）</w:t>
            </w:r>
            <w:r>
              <w:rPr>
                <w:rFonts w:hint="eastAsia" w:ascii="Times New Roman" w:hAnsi="Times New Roman" w:eastAsia="宋体"/>
                <w:color w:val="auto"/>
                <w:sz w:val="24"/>
                <w:szCs w:val="24"/>
                <w:highlight w:val="none"/>
                <w:lang w:val="en-US" w:eastAsia="zh-CN"/>
              </w:rPr>
              <w:t>中一般管控区要求</w:t>
            </w:r>
            <w:r>
              <w:rPr>
                <w:rFonts w:hint="eastAsia"/>
                <w:color w:val="auto"/>
                <w:sz w:val="24"/>
                <w:szCs w:val="24"/>
                <w:highlight w:val="none"/>
                <w:lang w:val="en-US" w:eastAsia="zh-CN"/>
              </w:rPr>
              <w:t>和生态环境准入总体要求</w:t>
            </w:r>
            <w:r>
              <w:rPr>
                <w:rFonts w:hint="eastAsia" w:ascii="Times New Roman" w:hAnsi="Times New Roman" w:eastAsia="宋体"/>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3、与《山西省工业炉窑大气污染物综合治理实施方案》（晋环大气[2019]164号）符合性分析</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color w:val="auto"/>
                <w:sz w:val="24"/>
                <w:szCs w:val="24"/>
                <w:highlight w:val="none"/>
                <w:lang w:val="en-US" w:eastAsia="zh-CN"/>
              </w:rPr>
            </w:pPr>
            <w:r>
              <w:rPr>
                <w:rFonts w:hint="default" w:eastAsia="宋体"/>
                <w:color w:val="auto"/>
                <w:sz w:val="24"/>
                <w:szCs w:val="24"/>
                <w:highlight w:val="none"/>
                <w:lang w:val="en-US" w:eastAsia="zh-CN"/>
              </w:rPr>
              <w:t>项目与《山西省工业炉窑大气污染物综合治理实施方案》</w:t>
            </w:r>
            <w:r>
              <w:rPr>
                <w:rFonts w:hint="eastAsia"/>
                <w:color w:val="auto"/>
                <w:sz w:val="24"/>
                <w:szCs w:val="24"/>
                <w:highlight w:val="none"/>
                <w:lang w:val="en-US" w:eastAsia="zh-CN"/>
              </w:rPr>
              <w:t>（</w:t>
            </w:r>
            <w:r>
              <w:rPr>
                <w:rFonts w:hint="default" w:eastAsia="宋体"/>
                <w:color w:val="auto"/>
                <w:sz w:val="24"/>
                <w:szCs w:val="24"/>
                <w:highlight w:val="none"/>
                <w:lang w:val="en-US" w:eastAsia="zh-CN"/>
              </w:rPr>
              <w:t>晋环大气[2019]164号</w:t>
            </w:r>
            <w:r>
              <w:rPr>
                <w:rFonts w:hint="eastAsia"/>
                <w:color w:val="auto"/>
                <w:sz w:val="24"/>
                <w:szCs w:val="24"/>
                <w:highlight w:val="none"/>
                <w:lang w:val="en-US" w:eastAsia="zh-CN"/>
              </w:rPr>
              <w:t>）</w:t>
            </w:r>
            <w:r>
              <w:rPr>
                <w:rFonts w:hint="default" w:eastAsia="宋体"/>
                <w:color w:val="auto"/>
                <w:sz w:val="24"/>
                <w:szCs w:val="24"/>
                <w:highlight w:val="none"/>
                <w:lang w:val="en-US" w:eastAsia="zh-CN"/>
              </w:rPr>
              <w:t>的符合性</w:t>
            </w:r>
            <w:r>
              <w:rPr>
                <w:rFonts w:hint="eastAsia"/>
                <w:color w:val="auto"/>
                <w:sz w:val="24"/>
                <w:szCs w:val="24"/>
                <w:highlight w:val="none"/>
                <w:lang w:val="en-US" w:eastAsia="zh-CN"/>
              </w:rPr>
              <w:t>见下表。</w:t>
            </w:r>
          </w:p>
          <w:p>
            <w:pPr>
              <w:pStyle w:val="39"/>
              <w:bidi w:val="0"/>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表</w:t>
            </w:r>
            <w:r>
              <w:rPr>
                <w:rFonts w:hint="eastAsia" w:asci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4</w:t>
            </w:r>
            <w:r>
              <w:rPr>
                <w:rFonts w:hint="eastAsia"/>
                <w:b/>
                <w:bCs/>
                <w:color w:val="auto"/>
                <w:sz w:val="24"/>
                <w:szCs w:val="24"/>
                <w:highlight w:val="none"/>
                <w:lang w:val="en-US" w:eastAsia="zh-CN"/>
              </w:rPr>
              <w:t xml:space="preserve"> 项目与《山西省工业炉窑大气污染物综合治理实施方案》</w:t>
            </w:r>
            <w:r>
              <w:rPr>
                <w:rFonts w:hint="default" w:eastAsia="宋体"/>
                <w:b/>
                <w:bCs/>
                <w:color w:val="auto"/>
                <w:sz w:val="24"/>
                <w:szCs w:val="24"/>
                <w:highlight w:val="none"/>
                <w:lang w:val="en-US" w:eastAsia="zh-CN"/>
              </w:rPr>
              <w:t>的符合性</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3473"/>
              <w:gridCol w:w="2230"/>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248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《山西省工业炉窑大气污染物综合治理实施方案》</w:t>
                  </w:r>
                </w:p>
              </w:tc>
              <w:tc>
                <w:tcPr>
                  <w:tcW w:w="159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本项目情况</w:t>
                  </w:r>
                </w:p>
              </w:tc>
              <w:tc>
                <w:tcPr>
                  <w:tcW w:w="46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48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center"/>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严格建设项目环境准入。新建涉工业炉窑的建设项目，原则上要入园区，</w:t>
                  </w:r>
                  <w:r>
                    <w:rPr>
                      <w:rFonts w:hint="eastAsia"/>
                      <w:color w:val="auto"/>
                      <w:sz w:val="21"/>
                      <w:szCs w:val="21"/>
                      <w:highlight w:val="none"/>
                      <w:vertAlign w:val="baseline"/>
                      <w:lang w:val="en-US" w:eastAsia="zh-CN"/>
                    </w:rPr>
                    <w:t>并符合园区规划环境影响评价要求，</w:t>
                  </w:r>
                  <w:r>
                    <w:rPr>
                      <w:rFonts w:hint="default"/>
                      <w:color w:val="auto"/>
                      <w:sz w:val="21"/>
                      <w:szCs w:val="21"/>
                      <w:highlight w:val="none"/>
                      <w:vertAlign w:val="baseline"/>
                      <w:lang w:val="en-US" w:eastAsia="zh-CN"/>
                    </w:rPr>
                    <w:t>配套建设高效环保治理设施</w:t>
                  </w:r>
                  <w:r>
                    <w:rPr>
                      <w:rFonts w:hint="eastAsia"/>
                      <w:color w:val="auto"/>
                      <w:sz w:val="21"/>
                      <w:szCs w:val="21"/>
                      <w:highlight w:val="none"/>
                      <w:vertAlign w:val="baseline"/>
                      <w:lang w:val="en-US" w:eastAsia="zh-CN"/>
                    </w:rPr>
                    <w:t>，落实国家和我省相关产业政策及产能置换办法。</w:t>
                  </w:r>
                  <w:r>
                    <w:rPr>
                      <w:rFonts w:hint="default"/>
                      <w:color w:val="auto"/>
                      <w:sz w:val="21"/>
                      <w:szCs w:val="21"/>
                      <w:highlight w:val="none"/>
                      <w:vertAlign w:val="baseline"/>
                      <w:lang w:val="en-US" w:eastAsia="zh-CN"/>
                    </w:rPr>
                    <w:t>重点区域严格控制涉工业炉窑建设项目，严禁新增钢铁、焦化、铸造、水泥</w:t>
                  </w:r>
                  <w:r>
                    <w:rPr>
                      <w:rFonts w:hint="eastAsia"/>
                      <w:color w:val="auto"/>
                      <w:sz w:val="21"/>
                      <w:szCs w:val="21"/>
                      <w:highlight w:val="none"/>
                      <w:vertAlign w:val="baseline"/>
                      <w:lang w:val="en-US" w:eastAsia="zh-CN"/>
                    </w:rPr>
                    <w:t>、</w:t>
                  </w:r>
                  <w:r>
                    <w:rPr>
                      <w:rFonts w:hint="default"/>
                      <w:color w:val="auto"/>
                      <w:sz w:val="21"/>
                      <w:szCs w:val="21"/>
                      <w:highlight w:val="none"/>
                      <w:vertAlign w:val="baseline"/>
                      <w:lang w:val="en-US" w:eastAsia="zh-CN"/>
                    </w:rPr>
                    <w:t>平板玻璃等产能</w:t>
                  </w:r>
                  <w:r>
                    <w:rPr>
                      <w:rFonts w:hint="eastAsia"/>
                      <w:color w:val="auto"/>
                      <w:sz w:val="21"/>
                      <w:szCs w:val="21"/>
                      <w:highlight w:val="none"/>
                      <w:vertAlign w:val="baseline"/>
                      <w:lang w:val="en-US" w:eastAsia="zh-CN"/>
                    </w:rPr>
                    <w:t>。全省</w:t>
                  </w:r>
                  <w:r>
                    <w:rPr>
                      <w:rFonts w:hint="default"/>
                      <w:color w:val="auto"/>
                      <w:sz w:val="21"/>
                      <w:szCs w:val="21"/>
                      <w:highlight w:val="none"/>
                      <w:vertAlign w:val="baseline"/>
                      <w:lang w:val="en-US" w:eastAsia="zh-CN"/>
                    </w:rPr>
                    <w:t>禁止新建燃料类煤气发生炉（园区现有企业统一建设的清洁煤制气中心除外）</w:t>
                  </w:r>
                  <w:r>
                    <w:rPr>
                      <w:rFonts w:hint="eastAsia"/>
                      <w:color w:val="auto"/>
                      <w:sz w:val="21"/>
                      <w:szCs w:val="21"/>
                      <w:highlight w:val="none"/>
                      <w:vertAlign w:val="baseline"/>
                      <w:lang w:val="en-US" w:eastAsia="zh-CN"/>
                    </w:rPr>
                    <w:t>。</w:t>
                  </w:r>
                </w:p>
              </w:tc>
              <w:tc>
                <w:tcPr>
                  <w:tcW w:w="159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both"/>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本项目距离原料厂区700m，距离最近的园区直线距离13.6km，且不符合园区规划，同时根据朔州市生态环境局平鲁分局下发的“平鲁区煤泥规范化加工利用项目的情况”的文件，项目建设促进了平鲁区煤泥的规范化处置，改变了原有湿煤泥自然晾晒的现状，减少了无组织排放，因此，本项目就近建设，不再进园区；燃料为生物质成型颗粒燃料，不涉及煤气发生炉，滚筒干燥机产尘点设置有旋风+布袋高效除尘器</w:t>
                  </w:r>
                  <w:r>
                    <w:rPr>
                      <w:rFonts w:hint="default"/>
                      <w:color w:val="auto"/>
                      <w:sz w:val="21"/>
                      <w:szCs w:val="21"/>
                      <w:highlight w:val="none"/>
                      <w:vertAlign w:val="baseline"/>
                      <w:lang w:val="en-US" w:eastAsia="zh-CN"/>
                    </w:rPr>
                    <w:t>。</w:t>
                  </w:r>
                </w:p>
              </w:tc>
              <w:tc>
                <w:tcPr>
                  <w:tcW w:w="46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p>
              </w:tc>
              <w:tc>
                <w:tcPr>
                  <w:tcW w:w="248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加大过剩产能和不达标工业炉窑淘汰力度。全面清理《产业结构调整指导目录》淘汰类工业炉窑，加快推进限制类工业炉窑升级改造。落实《山西省焦化行业压减过剩产能打好污染防治攻坚行动方案》，加快炭化室高度4.3米及以下且运行寿命超过10年的焦炉淘汰步伐。对热效率低下、敞开未封闭，装备简易落后、自动化程度低，无组织排放突出，以及无治理设施或治理设施工艺落后等严重污染环境的工业炉窑，依法责令停业关闭。</w:t>
                  </w:r>
                </w:p>
              </w:tc>
              <w:tc>
                <w:tcPr>
                  <w:tcW w:w="159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both"/>
                    <w:textAlignment w:val="center"/>
                    <w:rPr>
                      <w:rFonts w:hint="default"/>
                      <w:color w:val="auto"/>
                      <w:sz w:val="21"/>
                      <w:szCs w:val="21"/>
                      <w:highlight w:val="none"/>
                      <w:vertAlign w:val="baseline"/>
                      <w:lang w:val="en-US" w:eastAsia="zh-CN"/>
                    </w:rPr>
                  </w:pPr>
                  <w:r>
                    <w:rPr>
                      <w:rFonts w:hint="eastAsia"/>
                      <w:color w:val="auto"/>
                      <w:sz w:val="21"/>
                      <w:szCs w:val="21"/>
                      <w:highlight w:val="none"/>
                      <w:lang w:eastAsia="zh-CN"/>
                    </w:rPr>
                    <w:t>本项目工业炉窑不属于《</w:t>
                  </w:r>
                  <w:r>
                    <w:rPr>
                      <w:rFonts w:hint="eastAsia"/>
                      <w:color w:val="auto"/>
                      <w:sz w:val="21"/>
                      <w:szCs w:val="21"/>
                      <w:highlight w:val="none"/>
                      <w:vertAlign w:val="baseline"/>
                      <w:lang w:val="en-US" w:eastAsia="zh-CN"/>
                    </w:rPr>
                    <w:t>产业结构调整指导目录</w:t>
                  </w:r>
                  <w:r>
                    <w:rPr>
                      <w:rFonts w:hint="eastAsia"/>
                      <w:color w:val="auto"/>
                      <w:sz w:val="21"/>
                      <w:szCs w:val="21"/>
                      <w:highlight w:val="none"/>
                      <w:lang w:eastAsia="zh-CN"/>
                    </w:rPr>
                    <w:t>》中</w:t>
                  </w:r>
                  <w:r>
                    <w:rPr>
                      <w:rFonts w:hint="eastAsia"/>
                      <w:color w:val="auto"/>
                      <w:sz w:val="21"/>
                      <w:szCs w:val="21"/>
                      <w:highlight w:val="none"/>
                      <w:lang w:val="en-US" w:eastAsia="zh-CN"/>
                    </w:rPr>
                    <w:t>淘汰类和限制类工业炉窑，项目采用生物质成型颗粒燃料，炉窑密封严密，且建有封闭的生产车间和原料、成品储库，并在</w:t>
                  </w:r>
                  <w:r>
                    <w:rPr>
                      <w:rFonts w:hint="eastAsia"/>
                      <w:color w:val="auto"/>
                      <w:sz w:val="21"/>
                      <w:szCs w:val="21"/>
                      <w:highlight w:val="none"/>
                      <w:lang w:eastAsia="zh-CN"/>
                    </w:rPr>
                    <w:t>煤泥烘干及落料口废气</w:t>
                  </w:r>
                  <w:r>
                    <w:rPr>
                      <w:rFonts w:hint="eastAsia" w:ascii="Times New Roman" w:hAnsi="Times New Roman"/>
                      <w:color w:val="auto"/>
                      <w:sz w:val="21"/>
                      <w:szCs w:val="21"/>
                      <w:highlight w:val="none"/>
                      <w:lang w:eastAsia="zh-CN"/>
                    </w:rPr>
                    <w:t>采用</w:t>
                  </w:r>
                  <w:r>
                    <w:rPr>
                      <w:rFonts w:hint="eastAsia"/>
                      <w:color w:val="auto"/>
                      <w:sz w:val="21"/>
                      <w:szCs w:val="21"/>
                      <w:highlight w:val="none"/>
                      <w:lang w:val="en-US" w:eastAsia="zh-CN"/>
                    </w:rPr>
                    <w:t>SNCR脱硝+旋风除尘+布袋除尘</w:t>
                  </w:r>
                  <w:r>
                    <w:rPr>
                      <w:rFonts w:hint="eastAsia"/>
                      <w:color w:val="auto"/>
                      <w:sz w:val="21"/>
                      <w:szCs w:val="21"/>
                      <w:highlight w:val="none"/>
                      <w:lang w:eastAsia="zh-CN"/>
                    </w:rPr>
                    <w:t>设施，</w:t>
                  </w:r>
                  <w:r>
                    <w:rPr>
                      <w:rFonts w:hint="eastAsia" w:ascii="Times New Roman" w:hAnsi="Times New Roman"/>
                      <w:color w:val="auto"/>
                      <w:sz w:val="21"/>
                      <w:szCs w:val="21"/>
                      <w:highlight w:val="none"/>
                    </w:rPr>
                    <w:t>处理</w:t>
                  </w:r>
                  <w:r>
                    <w:rPr>
                      <w:rFonts w:hint="eastAsia" w:ascii="Times New Roman" w:hAnsi="Times New Roman"/>
                      <w:color w:val="auto"/>
                      <w:sz w:val="21"/>
                      <w:szCs w:val="21"/>
                      <w:highlight w:val="none"/>
                      <w:lang w:eastAsia="zh-CN"/>
                    </w:rPr>
                    <w:t>后的</w:t>
                  </w:r>
                  <w:r>
                    <w:rPr>
                      <w:rFonts w:hint="eastAsia"/>
                      <w:color w:val="auto"/>
                      <w:sz w:val="21"/>
                      <w:szCs w:val="21"/>
                      <w:highlight w:val="none"/>
                      <w:lang w:eastAsia="zh-CN"/>
                    </w:rPr>
                    <w:t>废气可达标排放。</w:t>
                  </w:r>
                </w:p>
              </w:tc>
              <w:tc>
                <w:tcPr>
                  <w:tcW w:w="46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w:t>
                  </w:r>
                </w:p>
              </w:tc>
              <w:tc>
                <w:tcPr>
                  <w:tcW w:w="248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加快燃料清洁低碳化替代。2020年6月底前，现有以煤、石油焦、渣油、重油等为燃料的工业炉窑完成清洁低碳化燃料、技术和装备替代改造。全省铸造（10吨/小时及以下）、岩棉等行业冲天炉改电炉。禁止掺烧高硫石油焦（硫含量大于3%），玻璃行业全面禁止掺烧高硫石油焦。加大煤气发生炉淘汰力度，2019年底前全省基本淘汰炉膛直径3米以下燃料类煤气发生炉；集中使用煤气发生炉的工业园区，暂不具备改用天然气条件的，以及化肥行业固定床间歇式煤气化炉集中区域，2019年底前启动建设统一的清洁煤制气中心，取缔覆盖范围内的分散煤气发生炉，逐步淘汰化肥行业固定床间歇式煤气化炉，加快淘汰燃煤工业炉窑，重点区域2019年底取缔燃煤热风炉，基本淘汰热电联产供热管网覆盖范围内的燃煤加热、烘干炉（窑）。</w:t>
                  </w:r>
                </w:p>
              </w:tc>
              <w:tc>
                <w:tcPr>
                  <w:tcW w:w="159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center"/>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本项目</w:t>
                  </w:r>
                  <w:r>
                    <w:rPr>
                      <w:rFonts w:hint="eastAsia"/>
                      <w:color w:val="auto"/>
                      <w:sz w:val="21"/>
                      <w:szCs w:val="21"/>
                      <w:highlight w:val="none"/>
                      <w:vertAlign w:val="baseline"/>
                      <w:lang w:val="en-US" w:eastAsia="zh-CN"/>
                    </w:rPr>
                    <w:t>用生物质成型颗粒燃料</w:t>
                  </w:r>
                  <w:r>
                    <w:rPr>
                      <w:rFonts w:hint="default"/>
                      <w:color w:val="auto"/>
                      <w:sz w:val="21"/>
                      <w:szCs w:val="21"/>
                      <w:highlight w:val="none"/>
                      <w:vertAlign w:val="baseline"/>
                      <w:lang w:val="en-US" w:eastAsia="zh-CN"/>
                    </w:rPr>
                    <w:t>，不涉及煤气发生炉及燃煤工业炉窑。</w:t>
                  </w:r>
                </w:p>
              </w:tc>
              <w:tc>
                <w:tcPr>
                  <w:tcW w:w="46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4</w:t>
                  </w:r>
                </w:p>
              </w:tc>
              <w:tc>
                <w:tcPr>
                  <w:tcW w:w="248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实施污染深度治理。推进工业炉窑全面达标排放。加大工业炉窑治理力度，配套建设高效脱硫脱硝除尘设施。已有行业排放标准的工业炉窑，严格执行行业排放标准特别排放限值及相关规定。暂未制订行业排放标准的工业炉窑，按照颗粒物、二氧化硫、氮氧化物排放限值分别不高于30、200、300毫克/立方米考核评价，其中，日用玻璃、玻璃棉氮氧化物排放限值不高于400毫克/立方米。各地有更严格管控要求的从严执行。</w:t>
                  </w:r>
                </w:p>
              </w:tc>
              <w:tc>
                <w:tcPr>
                  <w:tcW w:w="159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本项目煤泥烘干</w:t>
                  </w:r>
                  <w:r>
                    <w:rPr>
                      <w:rFonts w:hint="eastAsia" w:cs="Times New Roman"/>
                      <w:color w:val="auto"/>
                      <w:kern w:val="0"/>
                      <w:sz w:val="21"/>
                      <w:szCs w:val="21"/>
                      <w:highlight w:val="none"/>
                      <w:vertAlign w:val="baseline"/>
                      <w:lang w:val="en-US" w:eastAsia="zh-CN" w:bidi="ar-SA"/>
                    </w:rPr>
                    <w:t>燃料采用低硫成型生物质颗粒，</w:t>
                  </w:r>
                  <w:r>
                    <w:rPr>
                      <w:rFonts w:hint="default" w:ascii="Times New Roman" w:hAnsi="Times New Roman" w:eastAsia="宋体" w:cs="Times New Roman"/>
                      <w:color w:val="auto"/>
                      <w:kern w:val="0"/>
                      <w:sz w:val="21"/>
                      <w:szCs w:val="21"/>
                      <w:highlight w:val="none"/>
                      <w:vertAlign w:val="baseline"/>
                      <w:lang w:val="en-US" w:eastAsia="zh-CN" w:bidi="ar-SA"/>
                    </w:rPr>
                    <w:t>烟气经1套</w:t>
                  </w:r>
                  <w:r>
                    <w:rPr>
                      <w:rFonts w:hint="eastAsia" w:cs="Times New Roman"/>
                      <w:color w:val="auto"/>
                      <w:kern w:val="0"/>
                      <w:sz w:val="21"/>
                      <w:szCs w:val="21"/>
                      <w:highlight w:val="none"/>
                      <w:vertAlign w:val="baseline"/>
                      <w:lang w:val="en-US" w:eastAsia="zh-CN" w:bidi="ar-SA"/>
                    </w:rPr>
                    <w:t>SNCR脱硝+旋风除尘+布袋除尘</w:t>
                  </w:r>
                  <w:r>
                    <w:rPr>
                      <w:rFonts w:hint="default" w:ascii="Times New Roman" w:hAnsi="Times New Roman" w:eastAsia="宋体" w:cs="Times New Roman"/>
                      <w:color w:val="auto"/>
                      <w:kern w:val="0"/>
                      <w:sz w:val="21"/>
                      <w:szCs w:val="21"/>
                      <w:highlight w:val="none"/>
                      <w:vertAlign w:val="baseline"/>
                      <w:lang w:val="en-US" w:eastAsia="zh-CN" w:bidi="ar-SA"/>
                    </w:rPr>
                    <w:t>设施处理后</w:t>
                  </w:r>
                  <w:r>
                    <w:rPr>
                      <w:rFonts w:hint="eastAsia" w:cs="Times New Roman"/>
                      <w:color w:val="auto"/>
                      <w:kern w:val="0"/>
                      <w:sz w:val="21"/>
                      <w:szCs w:val="21"/>
                      <w:highlight w:val="none"/>
                      <w:vertAlign w:val="baseline"/>
                      <w:lang w:val="en-US" w:eastAsia="zh-CN" w:bidi="ar-SA"/>
                    </w:rPr>
                    <w:t>，废气可达标</w:t>
                  </w:r>
                  <w:r>
                    <w:rPr>
                      <w:rFonts w:hint="default" w:ascii="Times New Roman" w:hAnsi="Times New Roman" w:eastAsia="宋体" w:cs="Times New Roman"/>
                      <w:color w:val="auto"/>
                      <w:kern w:val="0"/>
                      <w:sz w:val="21"/>
                      <w:szCs w:val="21"/>
                      <w:highlight w:val="none"/>
                      <w:vertAlign w:val="baseline"/>
                      <w:lang w:val="en-US" w:eastAsia="zh-CN" w:bidi="ar-SA"/>
                    </w:rPr>
                    <w:t>排放。</w:t>
                  </w:r>
                </w:p>
              </w:tc>
              <w:tc>
                <w:tcPr>
                  <w:tcW w:w="46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w:t>
                  </w:r>
                </w:p>
              </w:tc>
              <w:tc>
                <w:tcPr>
                  <w:tcW w:w="248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center"/>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全面加强</w:t>
                  </w:r>
                  <w:r>
                    <w:rPr>
                      <w:rFonts w:hint="eastAsia"/>
                      <w:color w:val="auto"/>
                      <w:sz w:val="21"/>
                      <w:szCs w:val="21"/>
                      <w:highlight w:val="none"/>
                      <w:vertAlign w:val="baseline"/>
                      <w:lang w:val="en-US" w:eastAsia="zh-CN"/>
                    </w:rPr>
                    <w:t>颗粒物</w:t>
                  </w:r>
                  <w:r>
                    <w:rPr>
                      <w:rFonts w:hint="default"/>
                      <w:color w:val="auto"/>
                      <w:sz w:val="21"/>
                      <w:szCs w:val="21"/>
                      <w:highlight w:val="none"/>
                      <w:vertAlign w:val="baseline"/>
                      <w:lang w:val="en-US" w:eastAsia="zh-CN"/>
                    </w:rPr>
                    <w:t>无组织排放管理</w:t>
                  </w:r>
                  <w:r>
                    <w:rPr>
                      <w:rFonts w:hint="eastAsia"/>
                      <w:color w:val="auto"/>
                      <w:sz w:val="21"/>
                      <w:szCs w:val="21"/>
                      <w:highlight w:val="none"/>
                      <w:vertAlign w:val="baseline"/>
                      <w:lang w:val="en-US" w:eastAsia="zh-CN"/>
                    </w:rPr>
                    <w:t>。在保障生产安全的前提下，工业炉窑生产工艺过程及相关物料储存、输送等无组织排放环节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应采用密闭、封闭等方式输送。物料输送过程中产尘点应采取有效抑尘措施。</w:t>
                  </w:r>
                </w:p>
              </w:tc>
              <w:tc>
                <w:tcPr>
                  <w:tcW w:w="159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both"/>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olor w:val="auto"/>
                      <w:sz w:val="21"/>
                      <w:szCs w:val="21"/>
                      <w:highlight w:val="none"/>
                      <w:vertAlign w:val="baseline"/>
                      <w:lang w:val="en-US" w:eastAsia="zh-CN"/>
                    </w:rPr>
                    <w:t>项目采用密闭烘干炉窑，</w:t>
                  </w:r>
                  <w:r>
                    <w:rPr>
                      <w:rFonts w:hint="eastAsia"/>
                      <w:color w:val="auto"/>
                      <w:sz w:val="21"/>
                      <w:szCs w:val="21"/>
                      <w:highlight w:val="none"/>
                      <w:lang w:val="en-US" w:eastAsia="zh-CN"/>
                    </w:rPr>
                    <w:t>且建有封闭的生产车间和原料、成品储库，</w:t>
                  </w:r>
                  <w:r>
                    <w:rPr>
                      <w:rFonts w:hint="eastAsia"/>
                      <w:color w:val="auto"/>
                      <w:sz w:val="21"/>
                      <w:szCs w:val="21"/>
                      <w:highlight w:val="none"/>
                      <w:vertAlign w:val="baseline"/>
                      <w:lang w:val="en-US" w:eastAsia="zh-CN"/>
                    </w:rPr>
                    <w:t>物料采用</w:t>
                  </w:r>
                  <w:r>
                    <w:rPr>
                      <w:rFonts w:hint="default"/>
                      <w:color w:val="auto"/>
                      <w:sz w:val="21"/>
                      <w:szCs w:val="21"/>
                      <w:highlight w:val="none"/>
                      <w:vertAlign w:val="baseline"/>
                      <w:lang w:val="en-US" w:eastAsia="zh-CN"/>
                    </w:rPr>
                    <w:t>全封闭皮带输送</w:t>
                  </w:r>
                  <w:r>
                    <w:rPr>
                      <w:rFonts w:hint="eastAsia"/>
                      <w:color w:val="auto"/>
                      <w:sz w:val="21"/>
                      <w:szCs w:val="21"/>
                      <w:highlight w:val="none"/>
                      <w:vertAlign w:val="baseline"/>
                      <w:lang w:val="en-US" w:eastAsia="zh-CN"/>
                    </w:rPr>
                    <w:t>；</w:t>
                  </w:r>
                  <w:r>
                    <w:rPr>
                      <w:rFonts w:hint="default"/>
                      <w:color w:val="auto"/>
                      <w:sz w:val="21"/>
                      <w:szCs w:val="21"/>
                      <w:highlight w:val="none"/>
                      <w:vertAlign w:val="baseline"/>
                      <w:lang w:val="en-US" w:eastAsia="zh-CN"/>
                    </w:rPr>
                    <w:t>厂区</w:t>
                  </w:r>
                  <w:r>
                    <w:rPr>
                      <w:rFonts w:hint="eastAsia"/>
                      <w:color w:val="auto"/>
                      <w:sz w:val="21"/>
                      <w:szCs w:val="21"/>
                      <w:highlight w:val="none"/>
                      <w:vertAlign w:val="baseline"/>
                      <w:lang w:val="en-US" w:eastAsia="zh-CN"/>
                    </w:rPr>
                    <w:t>地面</w:t>
                  </w:r>
                  <w:r>
                    <w:rPr>
                      <w:rFonts w:hint="default"/>
                      <w:color w:val="auto"/>
                      <w:sz w:val="21"/>
                      <w:szCs w:val="21"/>
                      <w:highlight w:val="none"/>
                      <w:vertAlign w:val="baseline"/>
                      <w:lang w:val="en-US" w:eastAsia="zh-CN"/>
                    </w:rPr>
                    <w:t>硬化，洒水车定期洒水，运输车辆采用篷布苫盖，出口处设洗车平台。</w:t>
                  </w:r>
                </w:p>
              </w:tc>
              <w:tc>
                <w:tcPr>
                  <w:tcW w:w="46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w:t>
                  </w:r>
                </w:p>
              </w:tc>
              <w:tc>
                <w:tcPr>
                  <w:tcW w:w="248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left"/>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加强涉工业炉窑企业运输结构调整。2020年，大宗货物年运量150万吨及以上，原则上全部修建铁路专用线；具有铁路专用线的，大宗货物铁路运输比例应达到80%以上。新、改、扩建涉及大宗物料运输的建设项目，原则上不得采用公路运输。</w:t>
                  </w:r>
                </w:p>
              </w:tc>
              <w:tc>
                <w:tcPr>
                  <w:tcW w:w="1596"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本项目为煤泥烘干项目，年运输量28.31万吨，销售范围为平鲁区周边储煤场，运距较短，采用公路运输。</w:t>
                  </w:r>
                </w:p>
              </w:tc>
              <w:tc>
                <w:tcPr>
                  <w:tcW w:w="468" w:type="pct"/>
                  <w:vAlign w:val="center"/>
                </w:tcPr>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符合</w:t>
                  </w:r>
                </w:p>
              </w:tc>
            </w:tr>
          </w:tbl>
          <w:p>
            <w:pPr>
              <w:pStyle w:val="21"/>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jc w:val="left"/>
              <w:textAlignment w:val="center"/>
              <w:rPr>
                <w:rFonts w:hint="eastAsia"/>
                <w:b/>
                <w:bCs/>
                <w:color w:val="auto"/>
                <w:sz w:val="24"/>
                <w:szCs w:val="24"/>
                <w:highlight w:val="none"/>
                <w:lang w:val="en-US" w:eastAsia="zh-CN"/>
              </w:rPr>
            </w:pPr>
            <w:r>
              <w:rPr>
                <w:rFonts w:hint="default"/>
                <w:color w:val="auto"/>
                <w:sz w:val="24"/>
                <w:szCs w:val="24"/>
                <w:highlight w:val="none"/>
                <w:lang w:val="en-US" w:eastAsia="zh-CN"/>
              </w:rPr>
              <w:t>综上，本项目建设符合《山西省工业炉窑大气污染物综合治理实施方案》</w:t>
            </w:r>
            <w:r>
              <w:rPr>
                <w:rFonts w:hint="eastAsia"/>
                <w:color w:val="auto"/>
                <w:sz w:val="24"/>
                <w:szCs w:val="24"/>
                <w:highlight w:val="none"/>
                <w:lang w:val="en-US" w:eastAsia="zh-CN"/>
              </w:rPr>
              <w:t>（</w:t>
            </w:r>
            <w:r>
              <w:rPr>
                <w:rFonts w:hint="default"/>
                <w:color w:val="auto"/>
                <w:sz w:val="24"/>
                <w:szCs w:val="24"/>
                <w:highlight w:val="none"/>
                <w:lang w:val="en-US" w:eastAsia="zh-CN"/>
              </w:rPr>
              <w:t>晋环大气[2019]164号</w:t>
            </w:r>
            <w:r>
              <w:rPr>
                <w:rFonts w:hint="eastAsia"/>
                <w:color w:val="auto"/>
                <w:sz w:val="24"/>
                <w:szCs w:val="24"/>
                <w:highlight w:val="none"/>
                <w:lang w:val="en-US" w:eastAsia="zh-CN"/>
              </w:rPr>
              <w:t>）</w:t>
            </w:r>
            <w:r>
              <w:rPr>
                <w:rFonts w:hint="default"/>
                <w:color w:val="auto"/>
                <w:sz w:val="24"/>
                <w:szCs w:val="24"/>
                <w:highlight w:val="none"/>
                <w:lang w:val="en-US" w:eastAsia="zh-CN"/>
              </w:rPr>
              <w:t>的要求。</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4、与平鲁区禁煤区规划符合性分析</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根据《朔州市平鲁区人民政府关于划定平鲁区城区禁煤区的通告》，平鲁区禁煤区域具体范围为：东至井坪镇井坪村东界、南至白堂乡安太堡村南界、西至井坪镇上称沟村西界、北至向阳堡乡向阳堡村北界所围闭合区域。具体包括：城区建成区、街道办井坪村，平鲁区经济技术开发区北坪循环经济园区，白堂乡辖区安太堡村、曹庄村、卧厂村，井坪镇辖区上称沟村、大白洋洼村、小白洋洼村、下红沟村，向阳堡乡辖区马家洼村、向阳堡村。本项目不在禁煤区范围内，距禁煤区东边界最近距离约13.3km。</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5、神头泉域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（1）泉域范围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东部边界</w:t>
            </w:r>
            <w:r>
              <w:rPr>
                <w:rFonts w:hint="eastAsia" w:ascii="Times New Roman" w:hAnsi="Times New Roman" w:eastAsia="宋体" w:cs="Times New Roman"/>
                <w:color w:val="auto"/>
                <w:szCs w:val="20"/>
                <w:highlight w:val="none"/>
                <w:lang w:val="en-US" w:eastAsia="zh-CN"/>
              </w:rPr>
              <w:t>：</w:t>
            </w:r>
            <w:r>
              <w:rPr>
                <w:rFonts w:hint="default" w:ascii="Times New Roman" w:hAnsi="Times New Roman" w:eastAsia="宋体" w:cs="Times New Roman"/>
                <w:color w:val="auto"/>
                <w:szCs w:val="20"/>
                <w:highlight w:val="none"/>
                <w:lang w:val="en-US" w:eastAsia="zh-CN"/>
              </w:rPr>
              <w:t>南段自北向南为朔县的大夫庄—福善庄—神武村—保全庄。北段自北向南为马道头—偏岭—甘庄—大羊村—大夫庄一线。</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北部边界：自西向东为杨家窑—平鲁城—麻黄头村—何家庄—高家堡—元堡子— 小京庄。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西部边界：北段以断层及黑驼山地表分水岭为界</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自北向南由杨家窑—刘家窑—下水头—暖崖东。南段由暖崖东—大严备—义井镇—油梁沟，与天桥泉域为界。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南部边界：北段以神池县南部两条北东东向断层及近南北向摩天岭断层与雷鸣寺泉域为界</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自西向东由五寨大东沟—刘新筛疙旦—春景洼。东南段以宁武向斜轴结合地表水分水岭的联线为界</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自西向东由榆庄—冯家谚—汪铁沟—神堂沟—薛家众—盘道梁。</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神头泉域总面积为4756km</w:t>
            </w:r>
            <w:r>
              <w:rPr>
                <w:rFonts w:hint="default" w:ascii="Times New Roman" w:hAnsi="Times New Roman" w:eastAsia="宋体" w:cs="Times New Roman"/>
                <w:b w:val="0"/>
                <w:bCs/>
                <w:color w:val="auto"/>
                <w:sz w:val="24"/>
                <w:szCs w:val="24"/>
                <w:highlight w:val="none"/>
                <w:vertAlign w:val="superscript"/>
              </w:rPr>
              <w:t>2</w:t>
            </w:r>
            <w:r>
              <w:rPr>
                <w:rFonts w:hint="default" w:ascii="Times New Roman" w:hAnsi="Times New Roman" w:eastAsia="宋体" w:cs="Times New Roman"/>
                <w:b w:val="0"/>
                <w:bCs/>
                <w:color w:val="auto"/>
                <w:sz w:val="24"/>
                <w:szCs w:val="24"/>
                <w:highlight w:val="none"/>
              </w:rPr>
              <w:t>，其中大同市为215km</w:t>
            </w:r>
            <w:r>
              <w:rPr>
                <w:rFonts w:hint="default" w:ascii="Times New Roman" w:hAnsi="Times New Roman" w:eastAsia="宋体" w:cs="Times New Roman"/>
                <w:b w:val="0"/>
                <w:bCs/>
                <w:color w:val="auto"/>
                <w:sz w:val="24"/>
                <w:szCs w:val="24"/>
                <w:highlight w:val="none"/>
                <w:vertAlign w:val="superscript"/>
              </w:rPr>
              <w:t>2</w:t>
            </w:r>
            <w:r>
              <w:rPr>
                <w:rFonts w:hint="default" w:ascii="Times New Roman" w:hAnsi="Times New Roman" w:eastAsia="宋体" w:cs="Times New Roman"/>
                <w:b w:val="0"/>
                <w:bCs/>
                <w:color w:val="auto"/>
                <w:sz w:val="24"/>
                <w:szCs w:val="24"/>
                <w:highlight w:val="none"/>
              </w:rPr>
              <w:t>，忻州地区为1337km</w:t>
            </w:r>
            <w:r>
              <w:rPr>
                <w:rFonts w:hint="default" w:ascii="Times New Roman" w:hAnsi="Times New Roman" w:eastAsia="宋体" w:cs="Times New Roman"/>
                <w:b w:val="0"/>
                <w:bCs/>
                <w:color w:val="auto"/>
                <w:sz w:val="24"/>
                <w:szCs w:val="24"/>
                <w:highlight w:val="none"/>
                <w:vertAlign w:val="superscript"/>
              </w:rPr>
              <w:t>2</w:t>
            </w:r>
            <w:r>
              <w:rPr>
                <w:rFonts w:hint="default" w:ascii="Times New Roman" w:hAnsi="Times New Roman" w:eastAsia="宋体" w:cs="Times New Roman"/>
                <w:b w:val="0"/>
                <w:bCs/>
                <w:color w:val="auto"/>
                <w:sz w:val="24"/>
                <w:szCs w:val="24"/>
                <w:highlight w:val="none"/>
              </w:rPr>
              <w:t>，朔州市为3204km</w:t>
            </w:r>
            <w:r>
              <w:rPr>
                <w:rFonts w:hint="default" w:ascii="Times New Roman" w:hAnsi="Times New Roman" w:eastAsia="宋体" w:cs="Times New Roman"/>
                <w:b w:val="0"/>
                <w:bCs/>
                <w:color w:val="auto"/>
                <w:sz w:val="24"/>
                <w:szCs w:val="24"/>
                <w:highlight w:val="none"/>
                <w:vertAlign w:val="superscript"/>
              </w:rPr>
              <w:t>2</w:t>
            </w:r>
            <w:r>
              <w:rPr>
                <w:rFonts w:hint="default" w:ascii="Times New Roman" w:hAnsi="Times New Roman" w:eastAsia="宋体" w:cs="Times New Roman"/>
                <w:b w:val="0"/>
                <w:bCs/>
                <w:color w:val="auto"/>
                <w:sz w:val="24"/>
                <w:szCs w:val="24"/>
                <w:highlight w:val="none"/>
              </w:rPr>
              <w:t>。泉域裸露可溶岩面积约2990km</w:t>
            </w:r>
            <w:r>
              <w:rPr>
                <w:rFonts w:hint="default" w:ascii="Times New Roman" w:hAnsi="Times New Roman" w:eastAsia="宋体" w:cs="Times New Roman"/>
                <w:b w:val="0"/>
                <w:bCs/>
                <w:color w:val="auto"/>
                <w:sz w:val="24"/>
                <w:szCs w:val="24"/>
                <w:highlight w:val="none"/>
                <w:vertAlign w:val="superscript"/>
              </w:rPr>
              <w:t>2</w:t>
            </w:r>
            <w:r>
              <w:rPr>
                <w:rFonts w:hint="default" w:ascii="Times New Roman" w:hAnsi="Times New Roman" w:eastAsia="宋体" w:cs="Times New Roman"/>
                <w:b w:val="0"/>
                <w:bCs/>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contextualSpacing/>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Cs w:val="20"/>
                <w:highlight w:val="none"/>
                <w:lang w:val="en-US" w:eastAsia="zh-CN"/>
              </w:rPr>
              <w:t>泉域</w:t>
            </w:r>
            <w:r>
              <w:rPr>
                <w:rFonts w:hint="eastAsia" w:ascii="Times New Roman" w:hAnsi="Times New Roman" w:eastAsia="宋体" w:cs="Times New Roman"/>
                <w:b/>
                <w:bCs/>
                <w:color w:val="auto"/>
                <w:szCs w:val="20"/>
                <w:highlight w:val="none"/>
                <w:lang w:val="en-US" w:eastAsia="zh-CN"/>
              </w:rPr>
              <w:t>保护区划分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神头泉域水资源保护区按照水文地质条件和水资源保护的要求，划分为一级保护区、二级保护区、三级保护区，实行分级保护和管理。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一级保护区为重点保护区，其范围为：北部以担水沟断层为界，自西向东由耿庄-神西-耿庄断层与马邑断层交汇处。东部以马邑断层为界，自北向南由马邑断层与阶梯状阻水断层交汇处-小泊泉-</w:t>
            </w:r>
            <w:r>
              <w:rPr>
                <w:rFonts w:hint="eastAsia" w:ascii="Times New Roman" w:hAnsi="Times New Roman" w:eastAsia="宋体" w:cs="Times New Roman"/>
                <w:color w:val="auto"/>
                <w:szCs w:val="20"/>
                <w:highlight w:val="none"/>
                <w:lang w:val="en-US" w:eastAsia="zh-CN"/>
              </w:rPr>
              <w:t>郭</w:t>
            </w:r>
            <w:r>
              <w:rPr>
                <w:rFonts w:hint="default" w:ascii="Times New Roman" w:hAnsi="Times New Roman" w:eastAsia="宋体" w:cs="Times New Roman"/>
                <w:color w:val="auto"/>
                <w:szCs w:val="20"/>
                <w:highlight w:val="none"/>
                <w:lang w:val="en-US" w:eastAsia="zh-CN"/>
              </w:rPr>
              <w:t>家窑。西部以规划的城市大型供水水源地-耿庄水源地以西为界，自西向南由担水沟-耿庄。南部以神头二电厂南部为界，自西向东由耿庄-安庄南-神头电厂南-</w:t>
            </w:r>
            <w:r>
              <w:rPr>
                <w:rFonts w:hint="eastAsia" w:ascii="Times New Roman" w:hAnsi="Times New Roman" w:eastAsia="宋体" w:cs="Times New Roman"/>
                <w:color w:val="auto"/>
                <w:szCs w:val="20"/>
                <w:highlight w:val="none"/>
                <w:lang w:val="en-US" w:eastAsia="zh-CN"/>
              </w:rPr>
              <w:t>郭</w:t>
            </w:r>
            <w:r>
              <w:rPr>
                <w:rFonts w:hint="default" w:ascii="Times New Roman" w:hAnsi="Times New Roman" w:eastAsia="宋体" w:cs="Times New Roman"/>
                <w:color w:val="auto"/>
                <w:szCs w:val="20"/>
                <w:highlight w:val="none"/>
                <w:lang w:val="en-US" w:eastAsia="zh-CN"/>
              </w:rPr>
              <w:t>家窑。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二级保护区为神头泉域灰岩裸露区渗漏段和</w:t>
            </w:r>
            <w:r>
              <w:rPr>
                <w:rFonts w:hint="eastAsia" w:ascii="Times New Roman" w:hAnsi="Times New Roman" w:eastAsia="宋体" w:cs="Times New Roman"/>
                <w:color w:val="auto"/>
                <w:szCs w:val="20"/>
                <w:highlight w:val="none"/>
                <w:lang w:val="en-US" w:eastAsia="zh-CN"/>
              </w:rPr>
              <w:t>县级以上</w:t>
            </w:r>
            <w:r>
              <w:rPr>
                <w:rFonts w:hint="default" w:ascii="Times New Roman" w:hAnsi="Times New Roman" w:eastAsia="宋体" w:cs="Times New Roman"/>
                <w:color w:val="auto"/>
                <w:szCs w:val="20"/>
                <w:highlight w:val="none"/>
                <w:lang w:val="en-US" w:eastAsia="zh-CN"/>
              </w:rPr>
              <w:t>城镇</w:t>
            </w:r>
            <w:r>
              <w:rPr>
                <w:rFonts w:hint="eastAsia" w:ascii="Times New Roman" w:hAnsi="Times New Roman" w:eastAsia="宋体" w:cs="Times New Roman"/>
                <w:color w:val="auto"/>
                <w:szCs w:val="20"/>
                <w:highlight w:val="none"/>
                <w:lang w:val="en-US" w:eastAsia="zh-CN"/>
              </w:rPr>
              <w:t>集中式</w:t>
            </w:r>
            <w:r>
              <w:rPr>
                <w:rFonts w:hint="default" w:ascii="Times New Roman" w:hAnsi="Times New Roman" w:eastAsia="宋体" w:cs="Times New Roman"/>
                <w:color w:val="auto"/>
                <w:szCs w:val="20"/>
                <w:highlight w:val="none"/>
                <w:lang w:val="en-US" w:eastAsia="zh-CN"/>
              </w:rPr>
              <w:t>岩溶水</w:t>
            </w:r>
            <w:r>
              <w:rPr>
                <w:rFonts w:hint="eastAsia" w:ascii="Times New Roman" w:hAnsi="Times New Roman" w:eastAsia="宋体" w:cs="Times New Roman"/>
                <w:color w:val="auto"/>
                <w:szCs w:val="20"/>
                <w:highlight w:val="none"/>
                <w:lang w:val="en-US" w:eastAsia="zh-CN"/>
              </w:rPr>
              <w:t>饮用水</w:t>
            </w:r>
            <w:r>
              <w:rPr>
                <w:rFonts w:hint="default" w:ascii="Times New Roman" w:hAnsi="Times New Roman" w:eastAsia="宋体" w:cs="Times New Roman"/>
                <w:color w:val="auto"/>
                <w:szCs w:val="20"/>
                <w:highlight w:val="none"/>
                <w:lang w:val="en-US" w:eastAsia="zh-CN"/>
              </w:rPr>
              <w:t>水源地。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三级保护区为一级、二级保护区以外的其他泉域范围。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eastAsia" w:ascii="Times New Roman" w:hAnsi="Times New Roman" w:eastAsia="宋体" w:cs="Times New Roman"/>
                <w:b/>
                <w:bCs/>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本项目</w:t>
            </w:r>
            <w:r>
              <w:rPr>
                <w:rFonts w:hint="eastAsia" w:ascii="Times New Roman" w:hAnsi="Times New Roman" w:eastAsia="宋体" w:cs="Times New Roman"/>
                <w:color w:val="auto"/>
                <w:szCs w:val="20"/>
                <w:highlight w:val="none"/>
                <w:lang w:val="en-US" w:eastAsia="zh-CN"/>
              </w:rPr>
              <w:t>位于</w:t>
            </w:r>
            <w:r>
              <w:rPr>
                <w:rFonts w:hint="default" w:ascii="Times New Roman" w:hAnsi="Times New Roman" w:eastAsia="宋体" w:cs="Times New Roman"/>
                <w:color w:val="auto"/>
                <w:szCs w:val="20"/>
                <w:highlight w:val="none"/>
                <w:lang w:val="en-US" w:eastAsia="zh-CN"/>
              </w:rPr>
              <w:t>神头泉域</w:t>
            </w:r>
            <w:r>
              <w:rPr>
                <w:rFonts w:hint="eastAsia" w:ascii="Times New Roman" w:hAnsi="Times New Roman" w:eastAsia="宋体" w:cs="Times New Roman"/>
                <w:color w:val="auto"/>
                <w:szCs w:val="20"/>
                <w:highlight w:val="none"/>
                <w:lang w:val="en-US" w:eastAsia="zh-CN"/>
              </w:rPr>
              <w:t>三级保护区</w:t>
            </w:r>
            <w:r>
              <w:rPr>
                <w:rFonts w:hint="default" w:ascii="Times New Roman" w:hAnsi="Times New Roman" w:eastAsia="宋体" w:cs="Times New Roman"/>
                <w:color w:val="auto"/>
                <w:szCs w:val="20"/>
                <w:highlight w:val="none"/>
                <w:lang w:val="en-US" w:eastAsia="zh-CN"/>
              </w:rPr>
              <w:t>范围</w:t>
            </w:r>
            <w:r>
              <w:rPr>
                <w:rFonts w:hint="eastAsia" w:ascii="Times New Roman" w:hAnsi="Times New Roman" w:eastAsia="宋体" w:cs="Times New Roman"/>
                <w:color w:val="auto"/>
                <w:szCs w:val="20"/>
                <w:highlight w:val="none"/>
                <w:lang w:val="en-US" w:eastAsia="zh-CN"/>
              </w:rPr>
              <w:t>内，距一级</w:t>
            </w:r>
            <w:r>
              <w:rPr>
                <w:rFonts w:hint="default" w:ascii="Times New Roman" w:hAnsi="Times New Roman" w:eastAsia="宋体" w:cs="Times New Roman"/>
                <w:color w:val="auto"/>
                <w:szCs w:val="20"/>
                <w:highlight w:val="none"/>
                <w:lang w:val="en-US" w:eastAsia="zh-CN"/>
              </w:rPr>
              <w:t>保护区边界最近距离约</w:t>
            </w:r>
            <w:r>
              <w:rPr>
                <w:rFonts w:hint="eastAsia" w:ascii="Times New Roman" w:hAnsi="Times New Roman" w:cs="Times New Roman"/>
                <w:color w:val="auto"/>
                <w:szCs w:val="20"/>
                <w:highlight w:val="none"/>
                <w:lang w:val="en-US" w:eastAsia="zh-CN"/>
              </w:rPr>
              <w:t>1</w:t>
            </w:r>
            <w:r>
              <w:rPr>
                <w:rFonts w:hint="eastAsia" w:cs="Times New Roman"/>
                <w:color w:val="auto"/>
                <w:szCs w:val="20"/>
                <w:highlight w:val="none"/>
                <w:lang w:val="en-US" w:eastAsia="zh-CN"/>
              </w:rPr>
              <w:t>2</w:t>
            </w:r>
            <w:r>
              <w:rPr>
                <w:rFonts w:hint="eastAsia" w:ascii="Times New Roman" w:hAnsi="Times New Roman" w:cs="Times New Roman"/>
                <w:color w:val="auto"/>
                <w:szCs w:val="20"/>
                <w:highlight w:val="none"/>
                <w:lang w:val="en-US" w:eastAsia="zh-CN"/>
              </w:rPr>
              <w:t>.4</w:t>
            </w:r>
            <w:r>
              <w:rPr>
                <w:rFonts w:hint="default" w:ascii="Times New Roman" w:hAnsi="Times New Roman" w:eastAsia="宋体" w:cs="Times New Roman"/>
                <w:color w:val="auto"/>
                <w:szCs w:val="20"/>
                <w:highlight w:val="none"/>
                <w:lang w:val="en-US" w:eastAsia="zh-CN"/>
              </w:rPr>
              <w:t>km。项目与泉域对照见附图</w:t>
            </w:r>
            <w:r>
              <w:rPr>
                <w:rFonts w:hint="eastAsia" w:cs="Times New Roman"/>
                <w:color w:val="auto"/>
                <w:szCs w:val="20"/>
                <w:highlight w:val="none"/>
                <w:lang w:val="en-US" w:eastAsia="zh-CN"/>
              </w:rPr>
              <w:t>5</w:t>
            </w:r>
            <w:r>
              <w:rPr>
                <w:rFonts w:hint="default" w:ascii="Times New Roman" w:hAnsi="Times New Roman" w:eastAsia="宋体" w:cs="Times New Roman"/>
                <w:color w:val="auto"/>
                <w:szCs w:val="20"/>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contextualSpacing/>
              <w:jc w:val="both"/>
              <w:textAlignment w:val="auto"/>
              <w:rPr>
                <w:rFonts w:hint="default" w:ascii="Times New Roman" w:hAnsi="Times New Roman" w:eastAsia="宋体" w:cs="Times New Roman"/>
                <w:b/>
                <w:bCs/>
                <w:color w:val="auto"/>
                <w:szCs w:val="20"/>
                <w:highlight w:val="none"/>
                <w:lang w:val="en-US" w:eastAsia="zh-CN"/>
              </w:rPr>
            </w:pPr>
            <w:r>
              <w:rPr>
                <w:rFonts w:hint="eastAsia" w:ascii="Times New Roman" w:hAnsi="Times New Roman" w:eastAsia="宋体" w:cs="Times New Roman"/>
                <w:b/>
                <w:bCs/>
                <w:color w:val="auto"/>
                <w:szCs w:val="20"/>
                <w:highlight w:val="none"/>
                <w:lang w:val="en-US" w:eastAsia="zh-CN"/>
              </w:rPr>
              <w:t>（3）本项目与神头泉域三级保护区保护要求相符性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神头泉域</w:t>
            </w:r>
            <w:r>
              <w:rPr>
                <w:rFonts w:hint="eastAsia" w:ascii="Times New Roman" w:hAnsi="Times New Roman" w:eastAsia="宋体" w:cs="Times New Roman"/>
                <w:color w:val="auto"/>
                <w:szCs w:val="20"/>
                <w:highlight w:val="none"/>
                <w:lang w:val="en-US" w:eastAsia="zh-CN"/>
              </w:rPr>
              <w:t>三级保护区</w:t>
            </w:r>
            <w:r>
              <w:rPr>
                <w:rFonts w:hint="default" w:ascii="Times New Roman" w:hAnsi="Times New Roman" w:eastAsia="宋体" w:cs="Times New Roman"/>
                <w:color w:val="auto"/>
                <w:szCs w:val="20"/>
                <w:highlight w:val="none"/>
                <w:lang w:val="en-US" w:eastAsia="zh-CN"/>
              </w:rPr>
              <w:t>内</w:t>
            </w:r>
            <w:r>
              <w:rPr>
                <w:rFonts w:hint="eastAsia" w:ascii="Times New Roman" w:hAnsi="Times New Roman" w:eastAsia="宋体" w:cs="Times New Roman"/>
                <w:color w:val="auto"/>
                <w:szCs w:val="20"/>
                <w:highlight w:val="none"/>
                <w:lang w:val="en-US" w:eastAsia="zh-CN"/>
              </w:rPr>
              <w:t>要求为：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（一）控制岩溶地下水开采；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（二）合理开发孔隙裂隙地下水；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（三）严格控制兴建耗水量大或对水资源有污染的建设项目；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contextualSpacing/>
              <w:jc w:val="both"/>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（四）不得利用河道、渗坑、渗井、废弃钻孔、裂隙等排放工业废水、生活污水，倾倒污物、废渣和生活垃圾。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contextualSpacing/>
              <w:textAlignment w:val="auto"/>
              <w:rPr>
                <w:rFonts w:hint="default" w:ascii="Times New Roman" w:hAnsi="Times New Roman"/>
                <w:color w:val="auto"/>
                <w:sz w:val="24"/>
                <w:szCs w:val="24"/>
                <w:highlight w:val="none"/>
              </w:rPr>
            </w:pPr>
            <w:r>
              <w:rPr>
                <w:rFonts w:hint="eastAsia" w:ascii="Times New Roman" w:hAnsi="Times New Roman" w:eastAsia="宋体" w:cs="Times New Roman"/>
                <w:color w:val="auto"/>
                <w:szCs w:val="20"/>
                <w:highlight w:val="none"/>
                <w:lang w:val="en-US" w:eastAsia="zh-CN"/>
              </w:rPr>
              <w:t>本项目供水由罐车拉水，不开采地下水，厂内设化粪池，生活污水主要为洗漱废水，经收集沉淀后用于厂区洒水抑尘，生产废水不外排，废机油、机油桶收集后暂存</w:t>
            </w:r>
            <w:r>
              <w:rPr>
                <w:rFonts w:hint="eastAsia" w:cs="Times New Roman"/>
                <w:color w:val="auto"/>
                <w:szCs w:val="20"/>
                <w:highlight w:val="none"/>
                <w:lang w:val="en-US" w:eastAsia="zh-CN"/>
              </w:rPr>
              <w:t>于</w:t>
            </w:r>
            <w:r>
              <w:rPr>
                <w:rFonts w:hint="eastAsia" w:ascii="Times New Roman" w:hAnsi="Times New Roman" w:eastAsia="宋体" w:cs="Times New Roman"/>
                <w:color w:val="auto"/>
                <w:szCs w:val="20"/>
                <w:highlight w:val="none"/>
                <w:lang w:val="en-US" w:eastAsia="zh-CN"/>
              </w:rPr>
              <w:t>危废间，定期交由有资质单位处理；职工生活垃圾收集后交由环卫部门处理，固体废物得到合理处置，因此本项目能够满足神头泉域三级保护区的要求。</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6、水源地</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（1）平鲁区集中饮用水源地</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平鲁区城市集中饮用水水源地共有三处，全部为地下水饮用水水源地，一是井坪镇水源地，共有水井三眼；二是下红沟水源地，共有水井二眼；三是白羊洼水源地，共有水井五眼。</w:t>
            </w:r>
          </w:p>
          <w:p>
            <w:pPr>
              <w:keepNext w:val="0"/>
              <w:keepLines w:val="0"/>
              <w:pageBreakBefore w:val="0"/>
              <w:widowControl w:val="0"/>
              <w:numPr>
                <w:ilvl w:val="-1"/>
                <w:numId w:val="0"/>
              </w:numPr>
              <w:kinsoku/>
              <w:wordWrap/>
              <w:overflowPunct/>
              <w:topLinePunct w:val="0"/>
              <w:autoSpaceDE/>
              <w:autoSpaceDN/>
              <w:bidi w:val="0"/>
              <w:adjustRightInd w:val="0"/>
              <w:snapToGrid w:val="0"/>
              <w:spacing w:line="480" w:lineRule="exact"/>
              <w:ind w:firstLine="480" w:firstLineChars="200"/>
              <w:textAlignment w:val="auto"/>
              <w:rPr>
                <w:rFonts w:hint="eastAsia"/>
                <w:b w:val="0"/>
                <w:bCs w:val="0"/>
                <w:color w:val="auto"/>
                <w:sz w:val="24"/>
                <w:szCs w:val="24"/>
                <w:highlight w:val="red"/>
                <w:lang w:val="en-US" w:eastAsia="zh-CN"/>
              </w:rPr>
            </w:pPr>
            <w:r>
              <w:rPr>
                <w:rFonts w:hint="eastAsia"/>
                <w:b w:val="0"/>
                <w:bCs w:val="0"/>
                <w:color w:val="auto"/>
                <w:sz w:val="24"/>
                <w:szCs w:val="24"/>
                <w:highlight w:val="none"/>
                <w:lang w:val="en-US" w:eastAsia="zh-CN"/>
              </w:rPr>
              <w:t>平鲁区共划分了9个乡镇水源地，分别为平鲁区高石庄乡泉子坡水源地、平鲁区凤凰城镇凤凰城水源地、平鲁区阻虎乡阻虎水源地、平鲁区西水界后沙城水源地、平鲁区双碾乡大有坪水源地、平鲁区向阳堡乡水源地、平鲁区榆林乡砖井水源地、平鲁区下面高乡下面高村水源地、平鲁区白堂乡曹庄水源地。</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本项目距离最近的乡镇水源地为平鲁区下面高乡下面高村水源地，有1口供水井，仅设一级保护区，半径为50m，保护区面积为0.0079km</w:t>
            </w:r>
            <w:r>
              <w:rPr>
                <w:rFonts w:hint="eastAsia"/>
                <w:b w:val="0"/>
                <w:bCs w:val="0"/>
                <w:color w:val="auto"/>
                <w:sz w:val="24"/>
                <w:szCs w:val="24"/>
                <w:highlight w:val="none"/>
                <w:vertAlign w:val="superscript"/>
                <w:lang w:val="en-US" w:eastAsia="zh-CN"/>
              </w:rPr>
              <w:t>2</w:t>
            </w:r>
            <w:r>
              <w:rPr>
                <w:rFonts w:hint="eastAsia"/>
                <w:b w:val="0"/>
                <w:bCs w:val="0"/>
                <w:color w:val="auto"/>
                <w:sz w:val="24"/>
                <w:szCs w:val="24"/>
                <w:highlight w:val="none"/>
                <w:lang w:val="en-US" w:eastAsia="zh-CN"/>
              </w:rPr>
              <w:t>。项目不在平鲁区下面高乡下面高村水源地保护范围内，距离水源地保护区边界约4.6km。</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本项目采取分区防渗的地下水防治措施后，不会对下面高乡下面高村水源地产生影响。</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（2）周边分散式饮用水源</w:t>
            </w: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经调查，本项目周边分散式饮用水源分布见下表。</w:t>
            </w:r>
          </w:p>
          <w:p>
            <w:pPr>
              <w:pStyle w:val="39"/>
              <w:bidi w:val="0"/>
              <w:rPr>
                <w:rFonts w:hint="eastAsia"/>
                <w:b/>
                <w:bCs/>
                <w:color w:val="auto"/>
                <w:sz w:val="24"/>
                <w:szCs w:val="24"/>
                <w:highlight w:val="none"/>
                <w:lang w:val="en-US" w:eastAsia="zh-CN"/>
              </w:rPr>
            </w:pPr>
          </w:p>
          <w:p>
            <w:pPr>
              <w:pStyle w:val="39"/>
              <w:bidi w:val="0"/>
              <w:rPr>
                <w:rFonts w:hint="default"/>
                <w:b/>
                <w:bCs/>
                <w:color w:val="auto"/>
                <w:sz w:val="24"/>
                <w:szCs w:val="24"/>
                <w:highlight w:val="none"/>
                <w:lang w:val="en-US" w:eastAsia="zh-CN"/>
              </w:rPr>
            </w:pPr>
            <w:r>
              <w:rPr>
                <w:rFonts w:hint="eastAsia"/>
                <w:b/>
                <w:bCs/>
                <w:color w:val="auto"/>
                <w:sz w:val="24"/>
                <w:szCs w:val="24"/>
                <w:highlight w:val="none"/>
                <w:lang w:val="en-US" w:eastAsia="zh-CN"/>
              </w:rPr>
              <w:t>表</w:t>
            </w:r>
            <w:r>
              <w:rPr>
                <w:rFonts w:hint="eastAsia" w:asci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5</w:t>
            </w:r>
            <w:r>
              <w:rPr>
                <w:rFonts w:hint="eastAsia"/>
                <w:b/>
                <w:bCs/>
                <w:color w:val="auto"/>
                <w:sz w:val="24"/>
                <w:szCs w:val="24"/>
                <w:highlight w:val="none"/>
                <w:lang w:val="en-US" w:eastAsia="zh-CN"/>
              </w:rPr>
              <w:t xml:space="preserve">     项目周边分散式饮用水源分布情况一览表</w:t>
            </w:r>
          </w:p>
          <w:tbl>
            <w:tblPr>
              <w:tblStyle w:val="22"/>
              <w:tblW w:w="498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65"/>
              <w:gridCol w:w="1981"/>
              <w:gridCol w:w="813"/>
              <w:gridCol w:w="996"/>
              <w:gridCol w:w="768"/>
              <w:gridCol w:w="968"/>
              <w:gridCol w:w="9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36" w:type="pct"/>
                  <w:tcBorders>
                    <w:tl2br w:val="nil"/>
                    <w:tr2bl w:val="nil"/>
                  </w:tcBorders>
                  <w:noWrap w:val="0"/>
                  <w:vAlign w:val="center"/>
                </w:tcPr>
                <w:p>
                  <w:pPr>
                    <w:widowControl/>
                    <w:spacing w:line="276" w:lineRule="auto"/>
                    <w:jc w:val="center"/>
                    <w:rPr>
                      <w:b/>
                      <w:bCs/>
                      <w:color w:val="auto"/>
                      <w:kern w:val="0"/>
                      <w:sz w:val="21"/>
                      <w:szCs w:val="21"/>
                      <w:highlight w:val="none"/>
                    </w:rPr>
                  </w:pPr>
                  <w:r>
                    <w:rPr>
                      <w:rFonts w:hAnsi="宋体"/>
                      <w:b/>
                      <w:bCs/>
                      <w:color w:val="auto"/>
                      <w:kern w:val="0"/>
                      <w:sz w:val="21"/>
                      <w:szCs w:val="21"/>
                      <w:highlight w:val="none"/>
                    </w:rPr>
                    <w:t>编号</w:t>
                  </w:r>
                </w:p>
              </w:tc>
              <w:tc>
                <w:tcPr>
                  <w:tcW w:w="1424" w:type="pct"/>
                  <w:tcBorders>
                    <w:tl2br w:val="nil"/>
                    <w:tr2bl w:val="nil"/>
                  </w:tcBorders>
                  <w:noWrap w:val="0"/>
                  <w:vAlign w:val="center"/>
                </w:tcPr>
                <w:p>
                  <w:pPr>
                    <w:widowControl/>
                    <w:spacing w:line="276" w:lineRule="auto"/>
                    <w:jc w:val="center"/>
                    <w:rPr>
                      <w:rFonts w:hint="eastAsia" w:hAnsi="宋体"/>
                      <w:b/>
                      <w:bCs/>
                      <w:color w:val="auto"/>
                      <w:kern w:val="0"/>
                      <w:sz w:val="21"/>
                      <w:szCs w:val="21"/>
                      <w:highlight w:val="none"/>
                      <w:lang w:eastAsia="zh-CN"/>
                    </w:rPr>
                  </w:pPr>
                  <w:r>
                    <w:rPr>
                      <w:rFonts w:hint="eastAsia" w:hAnsi="宋体"/>
                      <w:b/>
                      <w:bCs/>
                      <w:color w:val="auto"/>
                      <w:kern w:val="0"/>
                      <w:sz w:val="21"/>
                      <w:szCs w:val="21"/>
                      <w:highlight w:val="none"/>
                      <w:lang w:eastAsia="zh-CN"/>
                    </w:rPr>
                    <w:t>分散式饮</w:t>
                  </w:r>
                </w:p>
                <w:p>
                  <w:pPr>
                    <w:widowControl/>
                    <w:spacing w:line="276" w:lineRule="auto"/>
                    <w:jc w:val="center"/>
                    <w:rPr>
                      <w:rFonts w:hint="eastAsia" w:eastAsia="宋体"/>
                      <w:b/>
                      <w:bCs/>
                      <w:color w:val="auto"/>
                      <w:kern w:val="0"/>
                      <w:sz w:val="21"/>
                      <w:szCs w:val="21"/>
                      <w:highlight w:val="none"/>
                      <w:lang w:eastAsia="zh-CN"/>
                    </w:rPr>
                  </w:pPr>
                  <w:r>
                    <w:rPr>
                      <w:rFonts w:hint="eastAsia" w:hAnsi="宋体"/>
                      <w:b/>
                      <w:bCs/>
                      <w:color w:val="auto"/>
                      <w:kern w:val="0"/>
                      <w:sz w:val="21"/>
                      <w:szCs w:val="21"/>
                      <w:highlight w:val="none"/>
                      <w:lang w:eastAsia="zh-CN"/>
                    </w:rPr>
                    <w:t>用水源</w:t>
                  </w:r>
                </w:p>
              </w:tc>
              <w:tc>
                <w:tcPr>
                  <w:tcW w:w="574" w:type="pct"/>
                  <w:tcBorders>
                    <w:tl2br w:val="nil"/>
                    <w:tr2bl w:val="nil"/>
                  </w:tcBorders>
                  <w:noWrap w:val="0"/>
                  <w:vAlign w:val="center"/>
                </w:tcPr>
                <w:p>
                  <w:pPr>
                    <w:widowControl/>
                    <w:spacing w:line="276" w:lineRule="auto"/>
                    <w:jc w:val="center"/>
                    <w:rPr>
                      <w:rFonts w:hint="eastAsia" w:hAnsi="宋体"/>
                      <w:b/>
                      <w:bCs/>
                      <w:color w:val="auto"/>
                      <w:kern w:val="0"/>
                      <w:sz w:val="21"/>
                      <w:szCs w:val="21"/>
                      <w:highlight w:val="none"/>
                    </w:rPr>
                  </w:pPr>
                  <w:r>
                    <w:rPr>
                      <w:rFonts w:hAnsi="宋体"/>
                      <w:b/>
                      <w:bCs/>
                      <w:color w:val="auto"/>
                      <w:kern w:val="0"/>
                      <w:sz w:val="21"/>
                      <w:szCs w:val="21"/>
                      <w:highlight w:val="none"/>
                    </w:rPr>
                    <w:t>井深</w:t>
                  </w:r>
                </w:p>
                <w:p>
                  <w:pPr>
                    <w:widowControl/>
                    <w:spacing w:line="276" w:lineRule="auto"/>
                    <w:jc w:val="center"/>
                    <w:rPr>
                      <w:b/>
                      <w:bCs/>
                      <w:color w:val="auto"/>
                      <w:kern w:val="0"/>
                      <w:sz w:val="21"/>
                      <w:szCs w:val="21"/>
                      <w:highlight w:val="none"/>
                    </w:rPr>
                  </w:pPr>
                  <w:r>
                    <w:rPr>
                      <w:rFonts w:hint="eastAsia" w:hAnsi="宋体"/>
                      <w:b/>
                      <w:bCs/>
                      <w:color w:val="auto"/>
                      <w:kern w:val="0"/>
                      <w:sz w:val="21"/>
                      <w:szCs w:val="21"/>
                      <w:highlight w:val="none"/>
                    </w:rPr>
                    <w:t>（m）</w:t>
                  </w:r>
                </w:p>
              </w:tc>
              <w:tc>
                <w:tcPr>
                  <w:tcW w:w="716" w:type="pct"/>
                  <w:tcBorders>
                    <w:tl2br w:val="nil"/>
                    <w:tr2bl w:val="nil"/>
                  </w:tcBorders>
                  <w:noWrap w:val="0"/>
                  <w:vAlign w:val="center"/>
                </w:tcPr>
                <w:p>
                  <w:pPr>
                    <w:widowControl/>
                    <w:spacing w:line="276" w:lineRule="auto"/>
                    <w:jc w:val="center"/>
                    <w:rPr>
                      <w:rFonts w:hint="eastAsia" w:hAnsi="宋体"/>
                      <w:b/>
                      <w:bCs/>
                      <w:color w:val="auto"/>
                      <w:kern w:val="0"/>
                      <w:sz w:val="21"/>
                      <w:szCs w:val="21"/>
                      <w:highlight w:val="none"/>
                    </w:rPr>
                  </w:pPr>
                  <w:r>
                    <w:rPr>
                      <w:rFonts w:hAnsi="宋体"/>
                      <w:b/>
                      <w:bCs/>
                      <w:color w:val="auto"/>
                      <w:kern w:val="0"/>
                      <w:sz w:val="21"/>
                      <w:szCs w:val="21"/>
                      <w:highlight w:val="none"/>
                    </w:rPr>
                    <w:t>水位</w:t>
                  </w:r>
                </w:p>
                <w:p>
                  <w:pPr>
                    <w:widowControl/>
                    <w:spacing w:line="276" w:lineRule="auto"/>
                    <w:jc w:val="center"/>
                    <w:rPr>
                      <w:rFonts w:hAnsi="宋体"/>
                      <w:b/>
                      <w:bCs/>
                      <w:color w:val="auto"/>
                      <w:kern w:val="0"/>
                      <w:sz w:val="21"/>
                      <w:szCs w:val="21"/>
                      <w:highlight w:val="none"/>
                    </w:rPr>
                  </w:pPr>
                  <w:r>
                    <w:rPr>
                      <w:rFonts w:hint="eastAsia" w:hAnsi="宋体"/>
                      <w:b/>
                      <w:bCs/>
                      <w:color w:val="auto"/>
                      <w:kern w:val="0"/>
                      <w:sz w:val="21"/>
                      <w:szCs w:val="21"/>
                      <w:highlight w:val="none"/>
                    </w:rPr>
                    <w:t>（m）</w:t>
                  </w:r>
                </w:p>
              </w:tc>
              <w:tc>
                <w:tcPr>
                  <w:tcW w:w="553" w:type="pct"/>
                  <w:tcBorders>
                    <w:tl2br w:val="nil"/>
                    <w:tr2bl w:val="nil"/>
                  </w:tcBorders>
                  <w:noWrap w:val="0"/>
                  <w:vAlign w:val="center"/>
                </w:tcPr>
                <w:p>
                  <w:pPr>
                    <w:widowControl/>
                    <w:spacing w:line="276" w:lineRule="auto"/>
                    <w:jc w:val="center"/>
                    <w:rPr>
                      <w:b/>
                      <w:bCs/>
                      <w:color w:val="auto"/>
                      <w:kern w:val="0"/>
                      <w:sz w:val="21"/>
                      <w:szCs w:val="21"/>
                      <w:highlight w:val="none"/>
                    </w:rPr>
                  </w:pPr>
                  <w:r>
                    <w:rPr>
                      <w:rFonts w:hAnsi="宋体"/>
                      <w:b/>
                      <w:bCs/>
                      <w:color w:val="auto"/>
                      <w:kern w:val="0"/>
                      <w:sz w:val="21"/>
                      <w:szCs w:val="21"/>
                      <w:highlight w:val="none"/>
                    </w:rPr>
                    <w:t>功能</w:t>
                  </w:r>
                </w:p>
              </w:tc>
              <w:tc>
                <w:tcPr>
                  <w:tcW w:w="696" w:type="pct"/>
                  <w:tcBorders>
                    <w:tl2br w:val="nil"/>
                    <w:tr2bl w:val="nil"/>
                  </w:tcBorders>
                  <w:noWrap w:val="0"/>
                  <w:vAlign w:val="center"/>
                </w:tcPr>
                <w:p>
                  <w:pPr>
                    <w:widowControl/>
                    <w:spacing w:line="276" w:lineRule="auto"/>
                    <w:jc w:val="center"/>
                    <w:rPr>
                      <w:rFonts w:hint="eastAsia" w:hAnsi="宋体" w:eastAsia="宋体"/>
                      <w:b/>
                      <w:bCs/>
                      <w:color w:val="auto"/>
                      <w:kern w:val="0"/>
                      <w:sz w:val="21"/>
                      <w:szCs w:val="21"/>
                      <w:highlight w:val="none"/>
                      <w:lang w:eastAsia="zh-CN"/>
                    </w:rPr>
                  </w:pPr>
                  <w:r>
                    <w:rPr>
                      <w:rFonts w:hint="eastAsia" w:hAnsi="宋体"/>
                      <w:b/>
                      <w:bCs/>
                      <w:color w:val="auto"/>
                      <w:kern w:val="0"/>
                      <w:sz w:val="21"/>
                      <w:szCs w:val="21"/>
                      <w:highlight w:val="none"/>
                      <w:lang w:eastAsia="zh-CN"/>
                    </w:rPr>
                    <w:t>方位</w:t>
                  </w:r>
                </w:p>
              </w:tc>
              <w:tc>
                <w:tcPr>
                  <w:tcW w:w="697" w:type="pct"/>
                  <w:tcBorders>
                    <w:tl2br w:val="nil"/>
                    <w:tr2bl w:val="nil"/>
                  </w:tcBorders>
                  <w:noWrap w:val="0"/>
                  <w:vAlign w:val="center"/>
                </w:tcPr>
                <w:p>
                  <w:pPr>
                    <w:widowControl/>
                    <w:spacing w:line="276" w:lineRule="auto"/>
                    <w:jc w:val="center"/>
                    <w:rPr>
                      <w:rFonts w:hint="eastAsia" w:hAnsi="宋体" w:eastAsia="宋体"/>
                      <w:b/>
                      <w:bCs/>
                      <w:color w:val="auto"/>
                      <w:kern w:val="0"/>
                      <w:sz w:val="21"/>
                      <w:szCs w:val="21"/>
                      <w:highlight w:val="none"/>
                      <w:lang w:eastAsia="zh-CN"/>
                    </w:rPr>
                  </w:pPr>
                  <w:r>
                    <w:rPr>
                      <w:rFonts w:hint="eastAsia" w:hAnsi="宋体"/>
                      <w:b/>
                      <w:bCs/>
                      <w:color w:val="auto"/>
                      <w:kern w:val="0"/>
                      <w:sz w:val="21"/>
                      <w:szCs w:val="21"/>
                      <w:highlight w:val="none"/>
                      <w:lang w:eastAsia="zh-CN"/>
                    </w:rPr>
                    <w:t>距离（</w:t>
                  </w:r>
                  <w:r>
                    <w:rPr>
                      <w:rFonts w:hint="eastAsia" w:hAnsi="宋体"/>
                      <w:b/>
                      <w:bCs/>
                      <w:color w:val="auto"/>
                      <w:kern w:val="0"/>
                      <w:sz w:val="21"/>
                      <w:szCs w:val="21"/>
                      <w:highlight w:val="none"/>
                      <w:lang w:val="en-US" w:eastAsia="zh-CN"/>
                    </w:rPr>
                    <w:t>km</w:t>
                  </w:r>
                  <w:r>
                    <w:rPr>
                      <w:rFonts w:hint="eastAsia" w:hAnsi="宋体"/>
                      <w:b/>
                      <w:bCs/>
                      <w:color w:val="auto"/>
                      <w:kern w:val="0"/>
                      <w:sz w:val="21"/>
                      <w:szCs w:val="21"/>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36" w:type="pct"/>
                  <w:tcBorders>
                    <w:tl2br w:val="nil"/>
                    <w:tr2bl w:val="nil"/>
                  </w:tcBorders>
                  <w:noWrap w:val="0"/>
                  <w:vAlign w:val="center"/>
                </w:tcPr>
                <w:p>
                  <w:pPr>
                    <w:widowControl/>
                    <w:spacing w:line="276" w:lineRule="auto"/>
                    <w:jc w:val="center"/>
                    <w:rPr>
                      <w:rFonts w:hint="eastAsia"/>
                      <w:color w:val="auto"/>
                      <w:kern w:val="0"/>
                      <w:sz w:val="21"/>
                      <w:szCs w:val="21"/>
                      <w:highlight w:val="none"/>
                    </w:rPr>
                  </w:pPr>
                  <w:r>
                    <w:rPr>
                      <w:rFonts w:hint="eastAsia"/>
                      <w:color w:val="auto"/>
                      <w:kern w:val="0"/>
                      <w:sz w:val="21"/>
                      <w:szCs w:val="21"/>
                      <w:highlight w:val="none"/>
                    </w:rPr>
                    <w:t>1</w:t>
                  </w:r>
                </w:p>
              </w:tc>
              <w:tc>
                <w:tcPr>
                  <w:tcW w:w="1424"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杏园村水井</w:t>
                  </w:r>
                </w:p>
              </w:tc>
              <w:tc>
                <w:tcPr>
                  <w:tcW w:w="574" w:type="pct"/>
                  <w:tcBorders>
                    <w:tl2br w:val="nil"/>
                    <w:tr2bl w:val="nil"/>
                  </w:tcBorders>
                  <w:noWrap w:val="0"/>
                  <w:vAlign w:val="center"/>
                </w:tcPr>
                <w:p>
                  <w:pPr>
                    <w:pStyle w:val="66"/>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520</w:t>
                  </w:r>
                </w:p>
              </w:tc>
              <w:tc>
                <w:tcPr>
                  <w:tcW w:w="716" w:type="pct"/>
                  <w:tcBorders>
                    <w:tl2br w:val="nil"/>
                    <w:tr2bl w:val="nil"/>
                  </w:tcBorders>
                  <w:noWrap w:val="0"/>
                  <w:vAlign w:val="center"/>
                </w:tcPr>
                <w:p>
                  <w:pPr>
                    <w:pStyle w:val="66"/>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175</w:t>
                  </w:r>
                </w:p>
              </w:tc>
              <w:tc>
                <w:tcPr>
                  <w:tcW w:w="553" w:type="pct"/>
                  <w:vMerge w:val="restart"/>
                  <w:tcBorders>
                    <w:tl2br w:val="nil"/>
                    <w:tr2bl w:val="nil"/>
                  </w:tcBorders>
                  <w:noWrap w:val="0"/>
                  <w:vAlign w:val="center"/>
                </w:tcPr>
                <w:p>
                  <w:pPr>
                    <w:widowControl/>
                    <w:snapToGrid w:val="0"/>
                    <w:spacing w:line="276" w:lineRule="auto"/>
                    <w:jc w:val="center"/>
                    <w:rPr>
                      <w:color w:val="auto"/>
                      <w:kern w:val="0"/>
                      <w:sz w:val="21"/>
                      <w:szCs w:val="21"/>
                      <w:highlight w:val="none"/>
                    </w:rPr>
                  </w:pPr>
                  <w:r>
                    <w:rPr>
                      <w:color w:val="auto"/>
                      <w:kern w:val="0"/>
                      <w:sz w:val="21"/>
                      <w:szCs w:val="21"/>
                      <w:highlight w:val="none"/>
                    </w:rPr>
                    <w:t>生活饮用</w:t>
                  </w:r>
                </w:p>
              </w:tc>
              <w:tc>
                <w:tcPr>
                  <w:tcW w:w="696" w:type="pct"/>
                  <w:tcBorders>
                    <w:tl2br w:val="nil"/>
                    <w:tr2bl w:val="nil"/>
                  </w:tcBorders>
                  <w:noWrap w:val="0"/>
                  <w:vAlign w:val="center"/>
                </w:tcPr>
                <w:p>
                  <w:pPr>
                    <w:pStyle w:val="66"/>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cs="Times New Roman"/>
                      <w:sz w:val="21"/>
                      <w:szCs w:val="21"/>
                      <w:highlight w:val="none"/>
                      <w:lang w:val="en-US" w:eastAsia="zh-CN"/>
                    </w:rPr>
                    <w:t>N</w:t>
                  </w:r>
                  <w:r>
                    <w:rPr>
                      <w:rFonts w:hint="default" w:ascii="Times New Roman" w:hAnsi="Times New Roman" w:cs="Times New Roman"/>
                      <w:sz w:val="21"/>
                      <w:szCs w:val="21"/>
                      <w:highlight w:val="none"/>
                      <w:lang w:val="en-US" w:eastAsia="zh-CN"/>
                    </w:rPr>
                    <w:t>W</w:t>
                  </w:r>
                </w:p>
              </w:tc>
              <w:tc>
                <w:tcPr>
                  <w:tcW w:w="697" w:type="pct"/>
                  <w:tcBorders>
                    <w:tl2br w:val="nil"/>
                    <w:tr2bl w:val="nil"/>
                  </w:tcBorders>
                  <w:noWrap w:val="0"/>
                  <w:vAlign w:val="center"/>
                </w:tcPr>
                <w:p>
                  <w:pPr>
                    <w:pStyle w:val="66"/>
                    <w:ind w:left="-120" w:leftChars="-50" w:right="-120" w:rightChars="-50"/>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lang w:val="en-US" w:eastAsia="zh-CN"/>
                    </w:rPr>
                    <w:t>0.</w:t>
                  </w:r>
                  <w:r>
                    <w:rPr>
                      <w:rFonts w:hint="eastAsia" w:ascii="Times New Roman" w:hAnsi="Times New Roman" w:cs="Times New Roman"/>
                      <w:sz w:val="21"/>
                      <w:szCs w:val="21"/>
                      <w:highlight w:val="none"/>
                      <w:lang w:val="en-US" w:eastAsia="zh-CN"/>
                    </w:rPr>
                    <w:t>82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36" w:type="pct"/>
                  <w:tcBorders>
                    <w:tl2br w:val="nil"/>
                    <w:tr2bl w:val="nil"/>
                  </w:tcBorders>
                  <w:noWrap w:val="0"/>
                  <w:vAlign w:val="center"/>
                </w:tcPr>
                <w:p>
                  <w:pPr>
                    <w:widowControl/>
                    <w:spacing w:line="276" w:lineRule="auto"/>
                    <w:jc w:val="center"/>
                    <w:rPr>
                      <w:rFonts w:hint="eastAsia"/>
                      <w:color w:val="auto"/>
                      <w:kern w:val="0"/>
                      <w:sz w:val="21"/>
                      <w:szCs w:val="21"/>
                      <w:highlight w:val="none"/>
                    </w:rPr>
                  </w:pPr>
                  <w:r>
                    <w:rPr>
                      <w:rFonts w:hint="eastAsia"/>
                      <w:color w:val="auto"/>
                      <w:kern w:val="0"/>
                      <w:sz w:val="21"/>
                      <w:szCs w:val="21"/>
                      <w:highlight w:val="none"/>
                    </w:rPr>
                    <w:t>2</w:t>
                  </w:r>
                </w:p>
              </w:tc>
              <w:tc>
                <w:tcPr>
                  <w:tcW w:w="1424"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华美奥冯西矿水井</w:t>
                  </w:r>
                </w:p>
              </w:tc>
              <w:tc>
                <w:tcPr>
                  <w:tcW w:w="574" w:type="pct"/>
                  <w:tcBorders>
                    <w:tl2br w:val="nil"/>
                    <w:tr2bl w:val="nil"/>
                  </w:tcBorders>
                  <w:noWrap w:val="0"/>
                  <w:vAlign w:val="center"/>
                </w:tcPr>
                <w:p>
                  <w:pPr>
                    <w:pStyle w:val="66"/>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245</w:t>
                  </w:r>
                </w:p>
              </w:tc>
              <w:tc>
                <w:tcPr>
                  <w:tcW w:w="716" w:type="pct"/>
                  <w:tcBorders>
                    <w:tl2br w:val="nil"/>
                    <w:tr2bl w:val="nil"/>
                  </w:tcBorders>
                  <w:noWrap w:val="0"/>
                  <w:vAlign w:val="center"/>
                </w:tcPr>
                <w:p>
                  <w:pPr>
                    <w:pStyle w:val="66"/>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80</w:t>
                  </w:r>
                </w:p>
              </w:tc>
              <w:tc>
                <w:tcPr>
                  <w:tcW w:w="553" w:type="pct"/>
                  <w:vMerge w:val="continue"/>
                  <w:tcBorders>
                    <w:tl2br w:val="nil"/>
                    <w:tr2bl w:val="nil"/>
                  </w:tcBorders>
                  <w:noWrap w:val="0"/>
                  <w:vAlign w:val="center"/>
                </w:tcPr>
                <w:p>
                  <w:pPr>
                    <w:widowControl/>
                    <w:snapToGrid w:val="0"/>
                    <w:spacing w:line="276" w:lineRule="auto"/>
                    <w:jc w:val="center"/>
                    <w:rPr>
                      <w:color w:val="auto"/>
                      <w:kern w:val="0"/>
                      <w:sz w:val="21"/>
                      <w:szCs w:val="21"/>
                      <w:highlight w:val="none"/>
                    </w:rPr>
                  </w:pPr>
                </w:p>
              </w:tc>
              <w:tc>
                <w:tcPr>
                  <w:tcW w:w="696" w:type="pct"/>
                  <w:tcBorders>
                    <w:tl2br w:val="nil"/>
                    <w:tr2bl w:val="nil"/>
                  </w:tcBorders>
                  <w:noWrap w:val="0"/>
                  <w:vAlign w:val="center"/>
                </w:tcPr>
                <w:p>
                  <w:pPr>
                    <w:pStyle w:val="66"/>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lang w:val="en-US" w:eastAsia="zh-CN"/>
                    </w:rPr>
                    <w:t>E</w:t>
                  </w:r>
                </w:p>
              </w:tc>
              <w:tc>
                <w:tcPr>
                  <w:tcW w:w="697" w:type="pct"/>
                  <w:tcBorders>
                    <w:tl2br w:val="nil"/>
                    <w:tr2bl w:val="nil"/>
                  </w:tcBorders>
                  <w:noWrap w:val="0"/>
                  <w:vAlign w:val="center"/>
                </w:tcPr>
                <w:p>
                  <w:pPr>
                    <w:pStyle w:val="66"/>
                    <w:ind w:left="-120" w:leftChars="-50" w:right="-120" w:rightChars="-50"/>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cs="Times New Roman"/>
                      <w:snapToGrid w:val="0"/>
                      <w:kern w:val="0"/>
                      <w:sz w:val="21"/>
                      <w:szCs w:val="21"/>
                      <w:highlight w:val="none"/>
                      <w:lang w:val="en-US" w:eastAsia="zh-CN" w:bidi="ar-SA"/>
                    </w:rPr>
                    <w:t>0.58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36" w:type="pct"/>
                  <w:tcBorders>
                    <w:tl2br w:val="nil"/>
                    <w:tr2bl w:val="nil"/>
                  </w:tcBorders>
                  <w:noWrap w:val="0"/>
                  <w:vAlign w:val="center"/>
                </w:tcPr>
                <w:p>
                  <w:pPr>
                    <w:widowControl/>
                    <w:spacing w:line="276"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1424"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上韩左沟</w:t>
                  </w:r>
                  <w:r>
                    <w:rPr>
                      <w:rFonts w:hint="default" w:ascii="Times New Roman" w:hAnsi="Times New Roman" w:cs="Times New Roman"/>
                      <w:sz w:val="21"/>
                      <w:szCs w:val="21"/>
                      <w:highlight w:val="none"/>
                      <w:lang w:val="zh-CN"/>
                    </w:rPr>
                    <w:t>村</w:t>
                  </w:r>
                  <w:r>
                    <w:rPr>
                      <w:rFonts w:hint="default" w:ascii="Times New Roman" w:hAnsi="Times New Roman" w:cs="Times New Roman"/>
                      <w:sz w:val="21"/>
                      <w:szCs w:val="21"/>
                      <w:highlight w:val="none"/>
                    </w:rPr>
                    <w:t>水井</w:t>
                  </w:r>
                </w:p>
              </w:tc>
              <w:tc>
                <w:tcPr>
                  <w:tcW w:w="574"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230</w:t>
                  </w:r>
                </w:p>
              </w:tc>
              <w:tc>
                <w:tcPr>
                  <w:tcW w:w="716"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80</w:t>
                  </w:r>
                </w:p>
              </w:tc>
              <w:tc>
                <w:tcPr>
                  <w:tcW w:w="553" w:type="pct"/>
                  <w:vMerge w:val="continue"/>
                  <w:tcBorders>
                    <w:tl2br w:val="nil"/>
                    <w:tr2bl w:val="nil"/>
                  </w:tcBorders>
                  <w:noWrap w:val="0"/>
                  <w:vAlign w:val="center"/>
                </w:tcPr>
                <w:p>
                  <w:pPr>
                    <w:widowControl/>
                    <w:snapToGrid w:val="0"/>
                    <w:spacing w:line="276" w:lineRule="auto"/>
                    <w:jc w:val="center"/>
                    <w:rPr>
                      <w:color w:val="auto"/>
                      <w:kern w:val="0"/>
                      <w:sz w:val="21"/>
                      <w:szCs w:val="21"/>
                      <w:highlight w:val="none"/>
                    </w:rPr>
                  </w:pPr>
                </w:p>
              </w:tc>
              <w:tc>
                <w:tcPr>
                  <w:tcW w:w="696"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lang w:val="en-US" w:eastAsia="zh-CN"/>
                    </w:rPr>
                    <w:t>SE</w:t>
                  </w:r>
                </w:p>
              </w:tc>
              <w:tc>
                <w:tcPr>
                  <w:tcW w:w="697" w:type="pct"/>
                  <w:tcBorders>
                    <w:tl2br w:val="nil"/>
                    <w:tr2bl w:val="nil"/>
                  </w:tcBorders>
                  <w:noWrap w:val="0"/>
                  <w:vAlign w:val="center"/>
                </w:tcPr>
                <w:p>
                  <w:pPr>
                    <w:pStyle w:val="66"/>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cs="Times New Roman"/>
                      <w:sz w:val="21"/>
                      <w:szCs w:val="21"/>
                      <w:highlight w:val="none"/>
                      <w:lang w:val="en-US" w:eastAsia="zh-CN"/>
                    </w:rPr>
                    <w:t>1.80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36" w:type="pct"/>
                  <w:tcBorders>
                    <w:tl2br w:val="nil"/>
                    <w:tr2bl w:val="nil"/>
                  </w:tcBorders>
                  <w:noWrap w:val="0"/>
                  <w:vAlign w:val="center"/>
                </w:tcPr>
                <w:p>
                  <w:pPr>
                    <w:widowControl/>
                    <w:spacing w:line="276"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4</w:t>
                  </w:r>
                </w:p>
              </w:tc>
              <w:tc>
                <w:tcPr>
                  <w:tcW w:w="1424"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一半岭村水井</w:t>
                  </w:r>
                </w:p>
              </w:tc>
              <w:tc>
                <w:tcPr>
                  <w:tcW w:w="574"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250</w:t>
                  </w:r>
                </w:p>
              </w:tc>
              <w:tc>
                <w:tcPr>
                  <w:tcW w:w="716"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70</w:t>
                  </w:r>
                </w:p>
              </w:tc>
              <w:tc>
                <w:tcPr>
                  <w:tcW w:w="553" w:type="pct"/>
                  <w:vMerge w:val="continue"/>
                  <w:tcBorders>
                    <w:tl2br w:val="nil"/>
                    <w:tr2bl w:val="nil"/>
                  </w:tcBorders>
                  <w:noWrap w:val="0"/>
                  <w:vAlign w:val="center"/>
                </w:tcPr>
                <w:p>
                  <w:pPr>
                    <w:widowControl/>
                    <w:snapToGrid w:val="0"/>
                    <w:spacing w:line="276" w:lineRule="auto"/>
                    <w:jc w:val="center"/>
                    <w:rPr>
                      <w:color w:val="auto"/>
                      <w:kern w:val="0"/>
                      <w:sz w:val="21"/>
                      <w:szCs w:val="21"/>
                      <w:highlight w:val="none"/>
                    </w:rPr>
                  </w:pPr>
                </w:p>
              </w:tc>
              <w:tc>
                <w:tcPr>
                  <w:tcW w:w="696"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lang w:val="en-US" w:eastAsia="zh-CN"/>
                    </w:rPr>
                    <w:t>SW</w:t>
                  </w:r>
                </w:p>
              </w:tc>
              <w:tc>
                <w:tcPr>
                  <w:tcW w:w="697" w:type="pct"/>
                  <w:tcBorders>
                    <w:tl2br w:val="nil"/>
                    <w:tr2bl w:val="nil"/>
                  </w:tcBorders>
                  <w:noWrap w:val="0"/>
                  <w:vAlign w:val="center"/>
                </w:tcPr>
                <w:p>
                  <w:pPr>
                    <w:pStyle w:val="66"/>
                    <w:rPr>
                      <w:rFonts w:hint="default" w:ascii="Times New Roman" w:hAnsi="Times New Roman" w:eastAsia="宋体" w:cs="Times New Roman"/>
                      <w:snapToGrid w:val="0"/>
                      <w:kern w:val="0"/>
                      <w:sz w:val="21"/>
                      <w:szCs w:val="21"/>
                      <w:highlight w:val="none"/>
                      <w:lang w:val="en-US" w:eastAsia="zh-CN" w:bidi="ar-SA"/>
                    </w:rPr>
                  </w:pPr>
                  <w:r>
                    <w:rPr>
                      <w:rFonts w:hint="eastAsia" w:cs="Times New Roman"/>
                      <w:sz w:val="21"/>
                      <w:szCs w:val="21"/>
                      <w:highlight w:val="none"/>
                      <w:lang w:val="en-US" w:eastAsia="zh-CN"/>
                    </w:rPr>
                    <w:t>1.41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36" w:type="pct"/>
                  <w:tcBorders>
                    <w:tl2br w:val="nil"/>
                    <w:tr2bl w:val="nil"/>
                  </w:tcBorders>
                  <w:noWrap w:val="0"/>
                  <w:vAlign w:val="center"/>
                </w:tcPr>
                <w:p>
                  <w:pPr>
                    <w:widowControl/>
                    <w:spacing w:line="276" w:lineRule="auto"/>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5</w:t>
                  </w:r>
                </w:p>
              </w:tc>
              <w:tc>
                <w:tcPr>
                  <w:tcW w:w="1424"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西孙庄村水井</w:t>
                  </w:r>
                </w:p>
              </w:tc>
              <w:tc>
                <w:tcPr>
                  <w:tcW w:w="574"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270</w:t>
                  </w:r>
                </w:p>
              </w:tc>
              <w:tc>
                <w:tcPr>
                  <w:tcW w:w="716"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rPr>
                    <w:t>70</w:t>
                  </w:r>
                </w:p>
              </w:tc>
              <w:tc>
                <w:tcPr>
                  <w:tcW w:w="553" w:type="pct"/>
                  <w:vMerge w:val="continue"/>
                  <w:tcBorders>
                    <w:tl2br w:val="nil"/>
                    <w:tr2bl w:val="nil"/>
                  </w:tcBorders>
                  <w:noWrap w:val="0"/>
                  <w:vAlign w:val="center"/>
                </w:tcPr>
                <w:p>
                  <w:pPr>
                    <w:widowControl/>
                    <w:snapToGrid w:val="0"/>
                    <w:spacing w:line="276" w:lineRule="auto"/>
                    <w:jc w:val="center"/>
                    <w:rPr>
                      <w:color w:val="auto"/>
                      <w:kern w:val="0"/>
                      <w:sz w:val="21"/>
                      <w:szCs w:val="21"/>
                      <w:highlight w:val="none"/>
                    </w:rPr>
                  </w:pPr>
                </w:p>
              </w:tc>
              <w:tc>
                <w:tcPr>
                  <w:tcW w:w="696" w:type="pct"/>
                  <w:tcBorders>
                    <w:tl2br w:val="nil"/>
                    <w:tr2bl w:val="nil"/>
                  </w:tcBorders>
                  <w:noWrap w:val="0"/>
                  <w:vAlign w:val="center"/>
                </w:tcPr>
                <w:p>
                  <w:pPr>
                    <w:pStyle w:val="66"/>
                    <w:rPr>
                      <w:rFonts w:hint="eastAsia" w:ascii="Times New Roman" w:hAnsi="Times New Roman" w:eastAsia="宋体" w:cs="Times New Roman"/>
                      <w:snapToGrid w:val="0"/>
                      <w:kern w:val="0"/>
                      <w:sz w:val="21"/>
                      <w:szCs w:val="21"/>
                      <w:highlight w:val="none"/>
                      <w:lang w:val="en-US" w:eastAsia="zh-CN" w:bidi="ar-SA"/>
                    </w:rPr>
                  </w:pPr>
                  <w:r>
                    <w:rPr>
                      <w:rFonts w:hint="default" w:ascii="Times New Roman" w:hAnsi="Times New Roman" w:cs="Times New Roman"/>
                      <w:sz w:val="21"/>
                      <w:szCs w:val="21"/>
                      <w:highlight w:val="none"/>
                      <w:lang w:val="en-US" w:eastAsia="zh-CN"/>
                    </w:rPr>
                    <w:t>S</w:t>
                  </w:r>
                </w:p>
              </w:tc>
              <w:tc>
                <w:tcPr>
                  <w:tcW w:w="697" w:type="pct"/>
                  <w:tcBorders>
                    <w:tl2br w:val="nil"/>
                    <w:tr2bl w:val="nil"/>
                  </w:tcBorders>
                  <w:noWrap w:val="0"/>
                  <w:vAlign w:val="center"/>
                </w:tcPr>
                <w:p>
                  <w:pPr>
                    <w:pStyle w:val="66"/>
                    <w:rPr>
                      <w:rFonts w:hint="default" w:ascii="Times New Roman" w:hAnsi="Times New Roman" w:eastAsia="宋体" w:cs="Times New Roman"/>
                      <w:snapToGrid w:val="0"/>
                      <w:kern w:val="0"/>
                      <w:sz w:val="21"/>
                      <w:szCs w:val="21"/>
                      <w:highlight w:val="none"/>
                      <w:lang w:val="en-US" w:eastAsia="zh-CN" w:bidi="ar-SA"/>
                    </w:rPr>
                  </w:pPr>
                  <w:r>
                    <w:rPr>
                      <w:rFonts w:hint="eastAsia" w:cs="Times New Roman"/>
                      <w:sz w:val="21"/>
                      <w:szCs w:val="21"/>
                      <w:highlight w:val="none"/>
                      <w:lang w:val="en-US" w:eastAsia="zh-CN"/>
                    </w:rPr>
                    <w:t>2.46</w:t>
                  </w:r>
                </w:p>
              </w:tc>
            </w:tr>
          </w:tbl>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b w:val="0"/>
                <w:bCs w:val="0"/>
                <w:color w:val="auto"/>
                <w:sz w:val="24"/>
                <w:szCs w:val="24"/>
                <w:highlight w:val="red"/>
                <w:lang w:val="en-US" w:eastAsia="zh-CN"/>
              </w:rPr>
            </w:pPr>
            <w:r>
              <w:rPr>
                <w:rFonts w:hint="eastAsia"/>
                <w:b w:val="0"/>
                <w:bCs w:val="0"/>
                <w:color w:val="auto"/>
                <w:sz w:val="24"/>
                <w:szCs w:val="24"/>
                <w:highlight w:val="none"/>
                <w:lang w:val="en-US" w:eastAsia="zh-CN"/>
              </w:rPr>
              <w:t>距离项目最近的分散式饮用水源为华美奥冯西矿水井，距离本项目约580m。本项目洗车废水</w:t>
            </w:r>
            <w:r>
              <w:rPr>
                <w:rFonts w:hint="default" w:ascii="Times New Roman" w:hAnsi="Times New Roman" w:eastAsia="宋体" w:cs="Times New Roman"/>
                <w:color w:val="auto"/>
                <w:sz w:val="24"/>
                <w:szCs w:val="24"/>
                <w:highlight w:val="none"/>
                <w:lang w:eastAsia="zh-CN"/>
              </w:rPr>
              <w:t>三级</w:t>
            </w:r>
            <w:r>
              <w:rPr>
                <w:rFonts w:hint="default" w:ascii="Times New Roman" w:hAnsi="Times New Roman" w:eastAsia="宋体" w:cs="Times New Roman"/>
                <w:color w:val="auto"/>
                <w:sz w:val="24"/>
                <w:szCs w:val="24"/>
                <w:highlight w:val="none"/>
              </w:rPr>
              <w:t>沉淀后循环使用</w:t>
            </w:r>
            <w:r>
              <w:rPr>
                <w:rFonts w:hint="eastAsia"/>
                <w:b w:val="0"/>
                <w:bCs w:val="0"/>
                <w:color w:val="auto"/>
                <w:sz w:val="24"/>
                <w:szCs w:val="24"/>
                <w:highlight w:val="none"/>
                <w:lang w:val="en-US" w:eastAsia="zh-CN"/>
              </w:rPr>
              <w:t>；</w:t>
            </w:r>
            <w:r>
              <w:rPr>
                <w:rFonts w:hint="eastAsia" w:ascii="Times New Roman" w:hAnsi="Times New Roman" w:cs="Times New Roman"/>
                <w:color w:val="auto"/>
                <w:spacing w:val="4"/>
                <w:sz w:val="24"/>
                <w:szCs w:val="24"/>
                <w:highlight w:val="none"/>
                <w:lang w:eastAsia="zh-CN"/>
              </w:rPr>
              <w:t>生活污水主要为洗漱废水，</w:t>
            </w:r>
            <w:r>
              <w:rPr>
                <w:rFonts w:hint="eastAsia" w:ascii="Times New Roman" w:hAnsi="Times New Roman" w:eastAsia="宋体" w:cs="Times New Roman"/>
                <w:color w:val="auto"/>
                <w:sz w:val="24"/>
                <w:szCs w:val="24"/>
                <w:highlight w:val="none"/>
                <w:lang w:eastAsia="zh-CN"/>
              </w:rPr>
              <w:t>经收集沉淀后</w:t>
            </w:r>
            <w:r>
              <w:rPr>
                <w:rFonts w:hint="default" w:ascii="Times New Roman" w:hAnsi="Times New Roman" w:eastAsia="宋体" w:cs="Times New Roman"/>
                <w:color w:val="auto"/>
                <w:sz w:val="24"/>
                <w:szCs w:val="24"/>
                <w:highlight w:val="none"/>
              </w:rPr>
              <w:t>用于厂区洒水抑尘</w:t>
            </w:r>
            <w:r>
              <w:rPr>
                <w:rFonts w:hint="eastAsia" w:ascii="Times New Roman" w:hAnsi="Times New Roman" w:eastAsia="宋体" w:cs="Times New Roman"/>
                <w:color w:val="auto"/>
                <w:sz w:val="24"/>
                <w:szCs w:val="24"/>
                <w:highlight w:val="none"/>
                <w:lang w:eastAsia="zh-CN"/>
              </w:rPr>
              <w:t>；废水均不外排，不会对周边饮用水源造成影响</w:t>
            </w:r>
            <w:r>
              <w:rPr>
                <w:rFonts w:hint="eastAsia"/>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7、选址符合性分析</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根据朔州市生态环境局平鲁分局《关于推进全区煤泥规范加工利用的建议》文件精神，坚持减量化、资源化和无害化的原则，不断处理不规范的煤泥烘干项目，朔州市鸿通源运输有限公司按照文件精神消纳本公司洗煤厂自产的煤泥，</w:t>
            </w:r>
            <w:r>
              <w:rPr>
                <w:rFonts w:hint="eastAsia" w:cs="Times New Roman"/>
                <w:b w:val="0"/>
                <w:bCs w:val="0"/>
                <w:color w:val="auto"/>
                <w:sz w:val="24"/>
                <w:szCs w:val="24"/>
                <w:highlight w:val="none"/>
                <w:lang w:val="en-US" w:eastAsia="zh-CN"/>
              </w:rPr>
              <w:t>但是由于</w:t>
            </w:r>
            <w:r>
              <w:rPr>
                <w:rFonts w:hint="eastAsia"/>
                <w:lang w:val="en-US" w:eastAsia="zh-CN"/>
              </w:rPr>
              <w:t>厂区目前无多余地方进行煤泥烘干线的建设，同时距离本厂区最近的园区直线距离13.6km，且项目建设不符合园区规划，而</w:t>
            </w:r>
            <w:r>
              <w:rPr>
                <w:rFonts w:hint="eastAsia"/>
                <w:lang w:eastAsia="zh-CN"/>
              </w:rPr>
              <w:t>朔州市鸿通源运输有限公司的法人在本项目</w:t>
            </w:r>
            <w:r>
              <w:rPr>
                <w:rFonts w:hint="eastAsia"/>
                <w:lang w:val="en-US" w:eastAsia="zh-CN"/>
              </w:rPr>
              <w:t>西侧</w:t>
            </w:r>
            <w:r>
              <w:rPr>
                <w:rFonts w:hint="eastAsia" w:cs="Times New Roman"/>
                <w:color w:val="auto"/>
                <w:sz w:val="24"/>
                <w:szCs w:val="24"/>
                <w:highlight w:val="none"/>
                <w:lang w:val="en-US" w:eastAsia="zh-CN"/>
              </w:rPr>
              <w:t>700m处的山西中源拓森煤炭销售有限公司目前有足够的空地够本项目的建设，且山西中源拓森煤炭销售有限公司有完善的供水、供电、供暖基础设施，现成的办公区、洗车平台、初期雨水收集池、危废暂存间可以利用，因此最终</w:t>
            </w:r>
            <w:r>
              <w:rPr>
                <w:rFonts w:hint="eastAsia"/>
                <w:lang w:eastAsia="zh-CN"/>
              </w:rPr>
              <w:t>朔州市鸿通源运输有限公司决定利用</w:t>
            </w:r>
            <w:r>
              <w:rPr>
                <w:rFonts w:hint="eastAsia" w:cs="Times New Roman"/>
                <w:color w:val="auto"/>
                <w:sz w:val="24"/>
                <w:szCs w:val="24"/>
                <w:highlight w:val="none"/>
                <w:lang w:val="en-US" w:eastAsia="zh-CN"/>
              </w:rPr>
              <w:t>山西中源拓森煤炭销售有限公司储煤场的空地建设煤泥烘干厂项目。</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cs="Times New Roman"/>
                <w:b w:val="0"/>
                <w:bCs w:val="0"/>
                <w:color w:val="auto"/>
                <w:sz w:val="24"/>
                <w:szCs w:val="24"/>
                <w:highlight w:val="none"/>
                <w:lang w:val="en-US" w:eastAsia="zh-CN"/>
              </w:rPr>
            </w:pPr>
            <w:r>
              <w:rPr>
                <w:rFonts w:hint="eastAsia"/>
                <w:b w:val="0"/>
                <w:bCs w:val="0"/>
                <w:color w:val="auto"/>
                <w:sz w:val="24"/>
                <w:szCs w:val="24"/>
                <w:highlight w:val="none"/>
                <w:lang w:val="en-US" w:eastAsia="zh-CN"/>
              </w:rPr>
              <w:t>本项目位于山西省朔州市平鲁区山西中源拓森煤炭销售有限公司储煤场内，</w:t>
            </w:r>
            <w:r>
              <w:rPr>
                <w:rFonts w:hint="eastAsia" w:ascii="Times New Roman" w:hAnsi="Times New Roman" w:cs="Times New Roman"/>
                <w:b w:val="0"/>
                <w:bCs w:val="0"/>
                <w:color w:val="auto"/>
                <w:sz w:val="24"/>
                <w:szCs w:val="24"/>
                <w:highlight w:val="none"/>
                <w:lang w:val="en-US" w:eastAsia="zh-CN"/>
              </w:rPr>
              <w:t>项目不在平鲁区禁煤区范围内，周围无自然保护区、风景名胜区、基本农田保护区，</w:t>
            </w:r>
            <w:r>
              <w:rPr>
                <w:rFonts w:hint="eastAsia"/>
                <w:b w:val="0"/>
                <w:bCs w:val="0"/>
                <w:color w:val="auto"/>
                <w:sz w:val="24"/>
                <w:szCs w:val="24"/>
                <w:highlight w:val="none"/>
                <w:lang w:val="en-US" w:eastAsia="zh-CN"/>
              </w:rPr>
              <w:t>项目占用建设用地、选址处无相关土地利用规划，且</w:t>
            </w:r>
            <w:r>
              <w:rPr>
                <w:rFonts w:hint="eastAsia" w:ascii="Times New Roman" w:hAnsi="Times New Roman" w:cs="Times New Roman"/>
                <w:b w:val="0"/>
                <w:bCs w:val="0"/>
                <w:color w:val="auto"/>
                <w:sz w:val="24"/>
                <w:szCs w:val="24"/>
                <w:highlight w:val="none"/>
                <w:lang w:val="en-US" w:eastAsia="zh-CN"/>
              </w:rPr>
              <w:t>所在地地形平坦、开阔，原料来源于朔州市鸿通源运输有限公司洗煤厂，原料来源充足可靠且便于物料运输，</w:t>
            </w:r>
            <w:r>
              <w:rPr>
                <w:rFonts w:hint="eastAsia" w:cs="Times New Roman"/>
                <w:b w:val="0"/>
                <w:bCs w:val="0"/>
                <w:color w:val="auto"/>
                <w:sz w:val="24"/>
                <w:szCs w:val="24"/>
                <w:highlight w:val="none"/>
                <w:lang w:val="en-US" w:eastAsia="zh-CN"/>
              </w:rPr>
              <w:t>且</w:t>
            </w:r>
            <w:r>
              <w:rPr>
                <w:rFonts w:hint="eastAsia" w:ascii="Times New Roman" w:hAnsi="Times New Roman" w:cs="Times New Roman"/>
                <w:b w:val="0"/>
                <w:bCs w:val="0"/>
                <w:color w:val="auto"/>
                <w:sz w:val="24"/>
                <w:szCs w:val="24"/>
                <w:highlight w:val="none"/>
                <w:lang w:val="en-US" w:eastAsia="zh-CN"/>
              </w:rPr>
              <w:t>落实了煤泥规范化处置的要求，因此本项目选址合理。</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eastAsia="宋体"/>
                <w:color w:val="auto"/>
                <w:sz w:val="24"/>
                <w:szCs w:val="24"/>
                <w:highlight w:val="red"/>
                <w:lang w:val="en-US" w:eastAsia="zh-CN"/>
              </w:rPr>
            </w:pPr>
          </w:p>
        </w:tc>
      </w:tr>
    </w:tbl>
    <w:p>
      <w:pPr>
        <w:rPr>
          <w:color w:val="auto"/>
          <w:highlight w:val="red"/>
        </w:rPr>
        <w:sectPr>
          <w:footerReference r:id="rId7" w:type="default"/>
          <w:pgSz w:w="11906" w:h="16838"/>
          <w:pgMar w:top="1417" w:right="1418"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rPr>
          <w:rFonts w:hint="eastAsia" w:ascii="黑体" w:hAnsi="黑体" w:eastAsia="黑体" w:cs="黑体"/>
          <w:b/>
          <w:bCs/>
          <w:color w:val="auto"/>
          <w:kern w:val="44"/>
          <w:sz w:val="30"/>
          <w:szCs w:val="30"/>
          <w:highlight w:val="none"/>
          <w:lang w:val="en-US" w:eastAsia="zh-CN" w:bidi="ar-SA"/>
        </w:rPr>
      </w:pPr>
      <w:r>
        <w:rPr>
          <w:rFonts w:hint="eastAsia" w:ascii="黑体" w:hAnsi="黑体" w:eastAsia="黑体" w:cs="黑体"/>
          <w:b/>
          <w:bCs/>
          <w:color w:val="auto"/>
          <w:kern w:val="44"/>
          <w:sz w:val="30"/>
          <w:szCs w:val="30"/>
          <w:highlight w:val="none"/>
          <w:lang w:val="en-US" w:eastAsia="zh-CN" w:bidi="ar-SA"/>
        </w:rPr>
        <w:t>二、建设项目工程分析</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8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noWrap w:val="0"/>
            <w:vAlign w:val="center"/>
          </w:tcPr>
          <w:p>
            <w:pPr>
              <w:pStyle w:val="19"/>
              <w:adjustRightInd w:val="0"/>
              <w:snapToGrid w:val="0"/>
              <w:spacing w:before="0" w:beforeAutospacing="0" w:after="0" w:afterAutospacing="0"/>
              <w:jc w:val="center"/>
              <w:rPr>
                <w:rFonts w:cs="宋体"/>
                <w:color w:val="auto"/>
                <w:sz w:val="24"/>
                <w:szCs w:val="24"/>
                <w:highlight w:val="red"/>
              </w:rPr>
            </w:pPr>
            <w:r>
              <w:rPr>
                <w:rFonts w:hint="eastAsia" w:cs="宋体"/>
                <w:color w:val="auto"/>
                <w:sz w:val="24"/>
                <w:szCs w:val="24"/>
                <w:highlight w:val="none"/>
              </w:rPr>
              <w:t>建设内容</w:t>
            </w:r>
          </w:p>
        </w:tc>
        <w:tc>
          <w:tcPr>
            <w:tcW w:w="4668" w:type="pct"/>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0"/>
              <w:jc w:val="both"/>
              <w:textAlignment w:val="auto"/>
              <w:rPr>
                <w:rFonts w:hint="eastAsia"/>
                <w:b/>
                <w:color w:val="auto"/>
                <w:kern w:val="0"/>
                <w:sz w:val="24"/>
                <w:szCs w:val="24"/>
                <w:highlight w:val="none"/>
                <w:lang w:val="en-US" w:eastAsia="zh-CN"/>
              </w:rPr>
            </w:pPr>
            <w:r>
              <w:rPr>
                <w:rFonts w:hint="eastAsia"/>
                <w:b/>
                <w:color w:val="auto"/>
                <w:kern w:val="0"/>
                <w:sz w:val="24"/>
                <w:szCs w:val="24"/>
                <w:highlight w:val="none"/>
                <w:lang w:val="en-US" w:eastAsia="zh-CN"/>
              </w:rPr>
              <w:t>项目情况简介</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textAlignment w:val="auto"/>
              <w:rPr>
                <w:rFonts w:hint="eastAsia" w:cs="Times New Roman"/>
                <w:color w:val="auto"/>
                <w:sz w:val="24"/>
                <w:szCs w:val="24"/>
                <w:highlight w:val="none"/>
                <w:lang w:val="en-US" w:eastAsia="zh-CN"/>
              </w:rPr>
            </w:pPr>
            <w:r>
              <w:rPr>
                <w:rFonts w:hint="eastAsia"/>
                <w:lang w:val="en-US" w:eastAsia="zh-CN"/>
              </w:rPr>
              <w:t>本项目仅为</w:t>
            </w:r>
            <w:r>
              <w:rPr>
                <w:rFonts w:hint="eastAsia"/>
                <w:lang w:eastAsia="zh-CN"/>
              </w:rPr>
              <w:t>朔州市鸿通源运输有限公司洗煤厂年产</w:t>
            </w:r>
            <w:r>
              <w:rPr>
                <w:rFonts w:hint="eastAsia"/>
                <w:lang w:val="en-US" w:eastAsia="zh-CN"/>
              </w:rPr>
              <w:t>的15万吨湿煤泥（含水率25%）进行烘干服务，项目占用</w:t>
            </w:r>
            <w:r>
              <w:rPr>
                <w:rFonts w:hint="eastAsia" w:cs="Times New Roman"/>
                <w:color w:val="auto"/>
                <w:sz w:val="24"/>
                <w:szCs w:val="24"/>
                <w:highlight w:val="none"/>
                <w:lang w:val="en-US" w:eastAsia="zh-CN"/>
              </w:rPr>
              <w:t>山西中源拓森煤炭销售有限公司储煤场空地，占地面积8750m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山西中源拓森煤炭销售有限公司储煤场目前已有完善的供水、供电、供暖基础设施、现成的办公区和初期雨水收集池可以直接依托，洗车平台和危废暂存间还未建设，但目前储煤场环评手续已经在办理中（危险废物暂存间大小设计时已将本项目的危废储存情况考虑在内），由于两个单位法人均为同一人，因此洗车平台和危废暂存间均可依托使用，同时为了保证依托可行性，本次评价要求在洗车平台和危废暂存间建成且通过验收后，本项目才可投产</w:t>
            </w:r>
            <w:r>
              <w:rPr>
                <w:rFonts w:hint="eastAsia"/>
                <w:lang w:val="en-US" w:eastAsia="zh-CN"/>
              </w:rPr>
              <w:t>，此外，由于距离较近，因此采用汽车运输的方式，沿洗煤厂进厂道路向西行驶0.74km后向北进入G241呼北线行驶1.20km进入本项目厂区。</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420" w:leftChars="0"/>
              <w:jc w:val="both"/>
              <w:textAlignment w:val="auto"/>
              <w:rPr>
                <w:rFonts w:hint="eastAsia" w:ascii="Times New Roman" w:hAnsi="Times New Roman" w:eastAsia="宋体"/>
                <w:b/>
                <w:color w:val="auto"/>
                <w:kern w:val="0"/>
                <w:sz w:val="24"/>
                <w:szCs w:val="24"/>
                <w:highlight w:val="none"/>
                <w:lang w:val="en-US" w:eastAsia="zh-CN"/>
              </w:rPr>
            </w:pPr>
            <w:r>
              <w:rPr>
                <w:rFonts w:hint="eastAsia"/>
                <w:b/>
                <w:color w:val="auto"/>
                <w:kern w:val="0"/>
                <w:sz w:val="24"/>
                <w:szCs w:val="24"/>
                <w:highlight w:val="none"/>
                <w:lang w:val="en-US" w:eastAsia="zh-CN"/>
              </w:rPr>
              <w:t>1、建设</w:t>
            </w:r>
            <w:r>
              <w:rPr>
                <w:rFonts w:hint="eastAsia" w:ascii="Times New Roman" w:hAnsi="Times New Roman" w:eastAsia="宋体"/>
                <w:b/>
                <w:color w:val="auto"/>
                <w:kern w:val="0"/>
                <w:sz w:val="24"/>
                <w:szCs w:val="24"/>
                <w:highlight w:val="none"/>
                <w:lang w:val="en-US" w:eastAsia="zh-CN"/>
              </w:rPr>
              <w:t>内容</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ascii="Times New Roman" w:hAnsi="Times New Roman"/>
                <w:color w:val="auto"/>
                <w:sz w:val="24"/>
                <w:szCs w:val="24"/>
                <w:highlight w:val="none"/>
              </w:rPr>
            </w:pPr>
            <w:r>
              <w:rPr>
                <w:rFonts w:hint="eastAsia" w:ascii="Times New Roman" w:hAnsi="Times New Roman"/>
                <w:bCs/>
                <w:color w:val="auto"/>
                <w:sz w:val="24"/>
                <w:szCs w:val="24"/>
                <w:highlight w:val="none"/>
                <w:lang w:bidi="ar"/>
              </w:rPr>
              <w:t>建设1条</w:t>
            </w:r>
            <w:r>
              <w:rPr>
                <w:rFonts w:hint="eastAsia" w:ascii="Times New Roman" w:hAnsi="Times New Roman"/>
                <w:bCs/>
                <w:color w:val="auto"/>
                <w:sz w:val="24"/>
                <w:szCs w:val="24"/>
                <w:highlight w:val="none"/>
                <w:lang w:eastAsia="zh-CN" w:bidi="ar"/>
              </w:rPr>
              <w:t>年处理</w:t>
            </w:r>
            <w:r>
              <w:rPr>
                <w:rFonts w:hint="eastAsia"/>
                <w:bCs/>
                <w:color w:val="auto"/>
                <w:sz w:val="24"/>
                <w:szCs w:val="24"/>
                <w:highlight w:val="none"/>
                <w:lang w:val="en-US" w:eastAsia="zh-CN" w:bidi="ar"/>
              </w:rPr>
              <w:t>15</w:t>
            </w:r>
            <w:r>
              <w:rPr>
                <w:rFonts w:hint="eastAsia" w:ascii="Times New Roman" w:hAnsi="Times New Roman"/>
                <w:bCs/>
                <w:color w:val="auto"/>
                <w:sz w:val="24"/>
                <w:szCs w:val="24"/>
                <w:highlight w:val="none"/>
                <w:lang w:bidi="ar"/>
              </w:rPr>
              <w:t>万吨煤泥干燥生产线，建设煤泥烘干车间</w:t>
            </w:r>
            <w:r>
              <w:rPr>
                <w:rFonts w:hint="eastAsia"/>
                <w:bCs/>
                <w:color w:val="auto"/>
                <w:sz w:val="24"/>
                <w:szCs w:val="24"/>
                <w:highlight w:val="none"/>
                <w:lang w:eastAsia="zh-CN" w:bidi="ar"/>
              </w:rPr>
              <w:t>、</w:t>
            </w:r>
            <w:r>
              <w:rPr>
                <w:rFonts w:hint="eastAsia" w:ascii="Times New Roman" w:hAnsi="Times New Roman"/>
                <w:bCs/>
                <w:color w:val="auto"/>
                <w:sz w:val="24"/>
                <w:szCs w:val="24"/>
                <w:highlight w:val="none"/>
                <w:lang w:bidi="ar"/>
              </w:rPr>
              <w:t>干煤泥</w:t>
            </w:r>
            <w:r>
              <w:rPr>
                <w:rFonts w:hint="eastAsia"/>
                <w:bCs/>
                <w:color w:val="auto"/>
                <w:sz w:val="24"/>
                <w:szCs w:val="24"/>
                <w:highlight w:val="none"/>
                <w:lang w:eastAsia="zh-CN" w:bidi="ar"/>
              </w:rPr>
              <w:t>库、湿煤泥库及其配套设施</w:t>
            </w:r>
            <w:r>
              <w:rPr>
                <w:rFonts w:hint="eastAsia" w:ascii="Times New Roman" w:hAnsi="Times New Roman"/>
                <w:bCs/>
                <w:color w:val="auto"/>
                <w:sz w:val="24"/>
                <w:szCs w:val="24"/>
                <w:highlight w:val="none"/>
                <w:lang w:bidi="ar"/>
              </w:rPr>
              <w:t>等</w:t>
            </w:r>
            <w:r>
              <w:rPr>
                <w:rFonts w:ascii="Times New Roman" w:hAnsi="Times New Roman"/>
                <w:color w:val="auto"/>
                <w:sz w:val="24"/>
                <w:szCs w:val="24"/>
                <w:highlight w:val="none"/>
              </w:rPr>
              <w:t>。</w:t>
            </w:r>
            <w:r>
              <w:rPr>
                <w:rFonts w:hint="eastAsia"/>
                <w:color w:val="auto"/>
                <w:sz w:val="24"/>
                <w:szCs w:val="24"/>
                <w:highlight w:val="none"/>
                <w:lang w:eastAsia="zh-CN"/>
              </w:rPr>
              <w:t>由于场地地形等因素，导致实际勘察后设计的车间大小与备案证有出入，</w:t>
            </w:r>
            <w:r>
              <w:rPr>
                <w:rFonts w:ascii="Times New Roman" w:hAnsi="Times New Roman"/>
                <w:color w:val="auto"/>
                <w:sz w:val="24"/>
                <w:szCs w:val="24"/>
                <w:highlight w:val="none"/>
                <w:lang w:bidi="ar"/>
              </w:rPr>
              <w:t>项目</w:t>
            </w:r>
            <w:r>
              <w:rPr>
                <w:rFonts w:hint="eastAsia"/>
                <w:color w:val="auto"/>
                <w:sz w:val="24"/>
                <w:szCs w:val="24"/>
                <w:highlight w:val="none"/>
                <w:lang w:eastAsia="zh-CN"/>
              </w:rPr>
              <w:t>实际勘察后设计的</w:t>
            </w:r>
            <w:r>
              <w:rPr>
                <w:rFonts w:ascii="Times New Roman" w:hAnsi="Times New Roman"/>
                <w:color w:val="auto"/>
                <w:sz w:val="24"/>
                <w:szCs w:val="24"/>
                <w:highlight w:val="none"/>
                <w:lang w:bidi="ar"/>
              </w:rPr>
              <w:t>主要建设内容见</w:t>
            </w:r>
            <w:r>
              <w:rPr>
                <w:rFonts w:hint="eastAsia"/>
                <w:color w:val="auto"/>
                <w:sz w:val="24"/>
                <w:szCs w:val="24"/>
                <w:highlight w:val="none"/>
                <w:lang w:eastAsia="zh-CN" w:bidi="ar"/>
              </w:rPr>
              <w:t>下</w:t>
            </w:r>
            <w:r>
              <w:rPr>
                <w:rFonts w:ascii="Times New Roman" w:hAnsi="Times New Roman"/>
                <w:color w:val="auto"/>
                <w:sz w:val="24"/>
                <w:szCs w:val="24"/>
                <w:highlight w:val="none"/>
                <w:lang w:bidi="ar"/>
              </w:rPr>
              <w:t>表。</w:t>
            </w:r>
          </w:p>
          <w:p>
            <w:pPr>
              <w:pStyle w:val="39"/>
              <w:bidi w:val="0"/>
              <w:rPr>
                <w:rFonts w:ascii="Times New Roman" w:hAnsi="Times New Roman"/>
                <w:b/>
                <w:color w:val="auto"/>
                <w:sz w:val="24"/>
                <w:szCs w:val="24"/>
                <w:highlight w:val="none"/>
              </w:rPr>
            </w:pPr>
            <w:r>
              <w:rPr>
                <w:rFonts w:ascii="Times New Roman" w:hAnsi="Times New Roman"/>
                <w:b/>
                <w:color w:val="auto"/>
                <w:sz w:val="24"/>
                <w:szCs w:val="24"/>
                <w:highlight w:val="none"/>
              </w:rPr>
              <w:t>表</w:t>
            </w:r>
            <w:r>
              <w:rPr>
                <w:rFonts w:hint="eastAsia"/>
                <w:b/>
                <w:color w:val="auto"/>
                <w:sz w:val="24"/>
                <w:szCs w:val="24"/>
                <w:highlight w:val="none"/>
                <w:lang w:val="en-US" w:eastAsia="zh-CN"/>
              </w:rPr>
              <w:t>2-1</w:t>
            </w:r>
            <w:r>
              <w:rPr>
                <w:rFonts w:ascii="Times New Roman" w:hAnsi="Times New Roman"/>
                <w:b/>
                <w:color w:val="auto"/>
                <w:sz w:val="24"/>
                <w:szCs w:val="24"/>
                <w:highlight w:val="none"/>
              </w:rPr>
              <w:t xml:space="preserve">    工程主要建设内容一览表</w:t>
            </w:r>
          </w:p>
          <w:tbl>
            <w:tblPr>
              <w:tblStyle w:val="22"/>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18"/>
              <w:gridCol w:w="939"/>
              <w:gridCol w:w="1302"/>
              <w:gridCol w:w="55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名称</w:t>
                  </w:r>
                </w:p>
              </w:tc>
              <w:tc>
                <w:tcPr>
                  <w:tcW w:w="1315" w:type="pct"/>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内容</w:t>
                  </w:r>
                </w:p>
              </w:tc>
              <w:tc>
                <w:tcPr>
                  <w:tcW w:w="3261"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规模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w:t>
                  </w:r>
                  <w:r>
                    <w:rPr>
                      <w:rFonts w:hint="default" w:ascii="Times New Roman" w:hAnsi="Times New Roman" w:cs="Times New Roman"/>
                      <w:color w:val="auto"/>
                      <w:sz w:val="21"/>
                      <w:szCs w:val="21"/>
                      <w:highlight w:val="none"/>
                      <w:lang w:val="en-US" w:eastAsia="zh-CN"/>
                    </w:rPr>
                    <w:t>体</w:t>
                  </w:r>
                  <w:r>
                    <w:rPr>
                      <w:rFonts w:hint="default" w:ascii="Times New Roman" w:hAnsi="Times New Roman" w:cs="Times New Roman"/>
                      <w:color w:val="auto"/>
                      <w:sz w:val="21"/>
                      <w:szCs w:val="21"/>
                      <w:highlight w:val="none"/>
                    </w:rPr>
                    <w:cr/>
                  </w:r>
                  <w:r>
                    <w:rPr>
                      <w:rFonts w:hint="default" w:ascii="Times New Roman" w:hAnsi="Times New Roman" w:cs="Times New Roman"/>
                      <w:color w:val="auto"/>
                      <w:sz w:val="21"/>
                      <w:szCs w:val="21"/>
                      <w:highlight w:val="none"/>
                    </w:rPr>
                    <w:t>工程</w:t>
                  </w:r>
                </w:p>
              </w:tc>
              <w:tc>
                <w:tcPr>
                  <w:tcW w:w="1315" w:type="pct"/>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煤泥烘干车间</w:t>
                  </w:r>
                </w:p>
              </w:tc>
              <w:tc>
                <w:tcPr>
                  <w:tcW w:w="3261"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320" w:lineRule="exac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bidi="ar"/>
                    </w:rPr>
                    <w:t>建筑面积</w:t>
                  </w:r>
                  <w:r>
                    <w:rPr>
                      <w:rFonts w:hint="eastAsia"/>
                      <w:color w:val="auto"/>
                      <w:sz w:val="21"/>
                      <w:szCs w:val="21"/>
                      <w:highlight w:val="none"/>
                      <w:lang w:val="en-US" w:eastAsia="zh-CN" w:bidi="ar"/>
                    </w:rPr>
                    <w:t>135</w:t>
                  </w:r>
                  <w:r>
                    <w:rPr>
                      <w:rFonts w:hint="eastAsia" w:ascii="Times New Roman" w:hAnsi="Times New Roman"/>
                      <w:color w:val="auto"/>
                      <w:sz w:val="21"/>
                      <w:szCs w:val="21"/>
                      <w:highlight w:val="none"/>
                      <w:lang w:bidi="ar"/>
                    </w:rPr>
                    <w:t>0m</w:t>
                  </w:r>
                  <w:r>
                    <w:rPr>
                      <w:rFonts w:hint="eastAsia" w:ascii="Times New Roman" w:hAnsi="Times New Roman"/>
                      <w:color w:val="auto"/>
                      <w:sz w:val="21"/>
                      <w:szCs w:val="21"/>
                      <w:highlight w:val="none"/>
                      <w:vertAlign w:val="superscript"/>
                      <w:lang w:bidi="ar"/>
                    </w:rPr>
                    <w:t>2</w:t>
                  </w:r>
                  <w:r>
                    <w:rPr>
                      <w:rFonts w:hint="eastAsia" w:ascii="Times New Roman" w:hAnsi="Times New Roman"/>
                      <w:color w:val="auto"/>
                      <w:sz w:val="21"/>
                      <w:szCs w:val="21"/>
                      <w:highlight w:val="none"/>
                      <w:lang w:bidi="ar"/>
                    </w:rPr>
                    <w:t>，</w:t>
                  </w:r>
                  <w:r>
                    <w:rPr>
                      <w:rFonts w:hint="eastAsia" w:cs="Times New Roman"/>
                      <w:color w:val="auto"/>
                      <w:sz w:val="21"/>
                      <w:szCs w:val="21"/>
                      <w:highlight w:val="none"/>
                      <w:lang w:eastAsia="zh-CN"/>
                    </w:rPr>
                    <w:t>全封闭彩钢</w:t>
                  </w:r>
                  <w:r>
                    <w:rPr>
                      <w:rFonts w:hint="default" w:ascii="Times New Roman" w:hAnsi="Times New Roman" w:cs="Times New Roman"/>
                      <w:color w:val="auto"/>
                      <w:sz w:val="21"/>
                      <w:szCs w:val="21"/>
                      <w:highlight w:val="none"/>
                    </w:rPr>
                    <w:t>结构</w:t>
                  </w:r>
                  <w:r>
                    <w:rPr>
                      <w:rFonts w:hint="eastAsia" w:ascii="Times New Roman" w:hAnsi="Times New Roman"/>
                      <w:color w:val="auto"/>
                      <w:sz w:val="21"/>
                      <w:szCs w:val="21"/>
                      <w:highlight w:val="none"/>
                      <w:lang w:bidi="ar"/>
                    </w:rPr>
                    <w:t>，</w:t>
                  </w:r>
                  <w:r>
                    <w:rPr>
                      <w:rFonts w:hint="eastAsia"/>
                      <w:color w:val="auto"/>
                      <w:sz w:val="21"/>
                      <w:szCs w:val="21"/>
                      <w:highlight w:val="none"/>
                      <w:lang w:eastAsia="zh-CN" w:bidi="ar"/>
                    </w:rPr>
                    <w:t>地面防渗硬化处理，</w:t>
                  </w:r>
                  <w:r>
                    <w:rPr>
                      <w:rFonts w:hint="eastAsia" w:ascii="Times New Roman" w:hAnsi="Times New Roman"/>
                      <w:color w:val="auto"/>
                      <w:sz w:val="21"/>
                      <w:szCs w:val="21"/>
                      <w:highlight w:val="none"/>
                      <w:lang w:bidi="ar"/>
                    </w:rPr>
                    <w:t>内设滚筒式煤泥烘干机1</w:t>
                  </w:r>
                  <w:r>
                    <w:rPr>
                      <w:rFonts w:hint="eastAsia" w:ascii="Times New Roman" w:hAnsi="Times New Roman"/>
                      <w:color w:val="auto"/>
                      <w:sz w:val="21"/>
                      <w:szCs w:val="21"/>
                      <w:highlight w:val="none"/>
                      <w:lang w:eastAsia="zh-CN" w:bidi="ar"/>
                    </w:rPr>
                    <w:t>套，</w:t>
                  </w:r>
                  <w:r>
                    <w:rPr>
                      <w:rFonts w:hint="eastAsia"/>
                      <w:color w:val="auto"/>
                      <w:sz w:val="21"/>
                      <w:szCs w:val="21"/>
                      <w:highlight w:val="none"/>
                      <w:lang w:eastAsia="zh-CN" w:bidi="ar"/>
                    </w:rPr>
                    <w:t>烘干热源为燃生物质成型颗粒燃料热风炉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tcBorders>
                    <w:bottom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w:t>
                  </w:r>
                  <w:r>
                    <w:rPr>
                      <w:rFonts w:hint="default" w:ascii="Times New Roman" w:hAnsi="Times New Roman" w:cs="Times New Roman"/>
                      <w:color w:val="auto"/>
                      <w:sz w:val="21"/>
                      <w:szCs w:val="21"/>
                      <w:highlight w:val="none"/>
                      <w:lang w:val="en-US" w:eastAsia="zh-CN"/>
                    </w:rPr>
                    <w:t>程</w:t>
                  </w:r>
                  <w:r>
                    <w:rPr>
                      <w:rFonts w:hint="default" w:ascii="Times New Roman" w:hAnsi="Times New Roman" w:cs="Times New Roman"/>
                      <w:color w:val="auto"/>
                      <w:sz w:val="21"/>
                      <w:szCs w:val="21"/>
                      <w:highlight w:val="none"/>
                    </w:rPr>
                    <w:cr/>
                  </w:r>
                </w:p>
              </w:tc>
              <w:tc>
                <w:tcPr>
                  <w:tcW w:w="1315" w:type="pct"/>
                  <w:gridSpan w:val="2"/>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办公</w:t>
                  </w:r>
                  <w:r>
                    <w:rPr>
                      <w:rFonts w:hint="default" w:ascii="Times New Roman" w:hAnsi="Times New Roman" w:eastAsia="宋体" w:cs="Times New Roman"/>
                      <w:color w:val="auto"/>
                      <w:sz w:val="21"/>
                      <w:szCs w:val="21"/>
                      <w:highlight w:val="none"/>
                      <w:lang w:eastAsia="zh-CN"/>
                    </w:rPr>
                    <w:t>生活区</w:t>
                  </w:r>
                </w:p>
              </w:tc>
              <w:tc>
                <w:tcPr>
                  <w:tcW w:w="3261"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leftChars="0" w:right="0" w:rightChars="0"/>
                    <w:textAlignment w:val="auto"/>
                    <w:rPr>
                      <w:rFonts w:hint="eastAsia" w:ascii="Times New Roman" w:hAnsi="Times New Roman" w:eastAsia="宋体" w:cs="Times New Roman"/>
                      <w:color w:val="auto"/>
                      <w:sz w:val="21"/>
                      <w:szCs w:val="21"/>
                      <w:highlight w:val="red"/>
                      <w:lang w:eastAsia="zh-CN"/>
                    </w:rPr>
                  </w:pPr>
                  <w:r>
                    <w:rPr>
                      <w:rFonts w:hint="default" w:ascii="Times New Roman" w:hAnsi="Times New Roman" w:eastAsia="宋体" w:cs="Times New Roman"/>
                      <w:color w:val="auto"/>
                      <w:sz w:val="21"/>
                      <w:szCs w:val="21"/>
                      <w:lang w:val="en-US" w:eastAsia="zh-CN"/>
                    </w:rPr>
                    <w:t>依托</w:t>
                  </w:r>
                  <w:r>
                    <w:rPr>
                      <w:rFonts w:hint="eastAsia" w:cs="Times New Roman"/>
                      <w:color w:val="auto"/>
                      <w:sz w:val="21"/>
                      <w:szCs w:val="21"/>
                      <w:lang w:val="en-US" w:eastAsia="zh-CN"/>
                    </w:rPr>
                    <w:t>山西中源拓森煤炭销售有限公司</w:t>
                  </w:r>
                  <w:r>
                    <w:rPr>
                      <w:rFonts w:hint="default" w:ascii="Times New Roman" w:hAnsi="Times New Roman" w:eastAsia="宋体" w:cs="Times New Roman"/>
                      <w:color w:val="auto"/>
                      <w:sz w:val="21"/>
                      <w:szCs w:val="21"/>
                      <w:lang w:val="en-US" w:eastAsia="zh-CN"/>
                    </w:rPr>
                    <w:t>储煤场现有设施，面积不变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储运工程</w:t>
                  </w:r>
                </w:p>
              </w:tc>
              <w:tc>
                <w:tcPr>
                  <w:tcW w:w="1315" w:type="pct"/>
                  <w:gridSpan w:val="2"/>
                  <w:tcBorders>
                    <w:bottom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湿煤泥库</w:t>
                  </w:r>
                </w:p>
              </w:tc>
              <w:tc>
                <w:tcPr>
                  <w:tcW w:w="3261"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olor w:val="auto"/>
                      <w:sz w:val="21"/>
                      <w:szCs w:val="21"/>
                      <w:highlight w:val="none"/>
                      <w:lang w:bidi="ar"/>
                    </w:rPr>
                    <w:t>建筑面积</w:t>
                  </w:r>
                  <w:r>
                    <w:rPr>
                      <w:rFonts w:hint="eastAsia"/>
                      <w:color w:val="auto"/>
                      <w:sz w:val="21"/>
                      <w:szCs w:val="21"/>
                      <w:highlight w:val="none"/>
                      <w:lang w:val="en-US" w:eastAsia="zh-CN" w:bidi="ar"/>
                    </w:rPr>
                    <w:t>500</w:t>
                  </w:r>
                  <w:r>
                    <w:rPr>
                      <w:rFonts w:hint="eastAsia" w:ascii="Times New Roman" w:hAnsi="Times New Roman"/>
                      <w:color w:val="auto"/>
                      <w:sz w:val="21"/>
                      <w:szCs w:val="21"/>
                      <w:highlight w:val="none"/>
                      <w:lang w:bidi="ar"/>
                    </w:rPr>
                    <w:t>m</w:t>
                  </w:r>
                  <w:r>
                    <w:rPr>
                      <w:rFonts w:hint="eastAsia" w:ascii="Times New Roman" w:hAnsi="Times New Roman"/>
                      <w:color w:val="auto"/>
                      <w:sz w:val="21"/>
                      <w:szCs w:val="21"/>
                      <w:highlight w:val="none"/>
                      <w:vertAlign w:val="superscript"/>
                      <w:lang w:bidi="ar"/>
                    </w:rPr>
                    <w:t>2</w:t>
                  </w:r>
                  <w:r>
                    <w:rPr>
                      <w:rFonts w:hint="eastAsia" w:ascii="Times New Roman" w:hAnsi="Times New Roman"/>
                      <w:color w:val="auto"/>
                      <w:sz w:val="21"/>
                      <w:szCs w:val="21"/>
                      <w:highlight w:val="none"/>
                      <w:lang w:bidi="ar"/>
                    </w:rPr>
                    <w:t>，</w:t>
                  </w:r>
                  <w:r>
                    <w:rPr>
                      <w:rFonts w:hint="eastAsia" w:cs="Times New Roman"/>
                      <w:color w:val="auto"/>
                      <w:sz w:val="21"/>
                      <w:szCs w:val="21"/>
                      <w:highlight w:val="none"/>
                      <w:lang w:eastAsia="zh-CN"/>
                    </w:rPr>
                    <w:t>全封闭彩钢</w:t>
                  </w:r>
                  <w:r>
                    <w:rPr>
                      <w:rFonts w:hint="default" w:ascii="Times New Roman" w:hAnsi="Times New Roman" w:cs="Times New Roman"/>
                      <w:color w:val="auto"/>
                      <w:sz w:val="21"/>
                      <w:szCs w:val="21"/>
                      <w:highlight w:val="none"/>
                    </w:rPr>
                    <w:t>结构</w:t>
                  </w:r>
                  <w:r>
                    <w:rPr>
                      <w:rFonts w:hint="eastAsia" w:ascii="Times New Roman" w:hAnsi="Times New Roman"/>
                      <w:color w:val="auto"/>
                      <w:sz w:val="21"/>
                      <w:szCs w:val="21"/>
                      <w:highlight w:val="none"/>
                      <w:lang w:bidi="ar"/>
                    </w:rPr>
                    <w:t>，</w:t>
                  </w:r>
                  <w:r>
                    <w:rPr>
                      <w:rFonts w:hint="eastAsia" w:ascii="Times New Roman" w:hAnsi="Times New Roman"/>
                      <w:color w:val="auto"/>
                      <w:sz w:val="21"/>
                      <w:szCs w:val="21"/>
                      <w:highlight w:val="none"/>
                      <w:lang w:eastAsia="zh-CN" w:bidi="ar"/>
                    </w:rPr>
                    <w:t>堆存湿煤泥，地面防渗硬化处理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p>
              </w:tc>
              <w:tc>
                <w:tcPr>
                  <w:tcW w:w="1315" w:type="pct"/>
                  <w:gridSpan w:val="2"/>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干煤泥库</w:t>
                  </w:r>
                </w:p>
              </w:tc>
              <w:tc>
                <w:tcPr>
                  <w:tcW w:w="3261" w:type="pct"/>
                  <w:tcBorders>
                    <w:bottom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textAlignment w:val="auto"/>
                    <w:rPr>
                      <w:rFonts w:hint="eastAsia" w:ascii="Times New Roman" w:hAnsi="Times New Roman"/>
                      <w:color w:val="auto"/>
                      <w:sz w:val="21"/>
                      <w:szCs w:val="21"/>
                      <w:highlight w:val="none"/>
                      <w:lang w:bidi="ar"/>
                    </w:rPr>
                  </w:pPr>
                  <w:r>
                    <w:rPr>
                      <w:rFonts w:hint="eastAsia" w:ascii="Times New Roman" w:hAnsi="Times New Roman"/>
                      <w:color w:val="auto"/>
                      <w:sz w:val="21"/>
                      <w:szCs w:val="21"/>
                      <w:highlight w:val="none"/>
                      <w:lang w:bidi="ar"/>
                    </w:rPr>
                    <w:t>建筑面积</w:t>
                  </w:r>
                  <w:r>
                    <w:rPr>
                      <w:rFonts w:hint="eastAsia"/>
                      <w:color w:val="auto"/>
                      <w:sz w:val="21"/>
                      <w:szCs w:val="21"/>
                      <w:highlight w:val="none"/>
                      <w:lang w:val="en-US" w:eastAsia="zh-CN" w:bidi="ar"/>
                    </w:rPr>
                    <w:t>33</w:t>
                  </w:r>
                  <w:r>
                    <w:rPr>
                      <w:rFonts w:hint="eastAsia" w:ascii="Times New Roman" w:hAnsi="Times New Roman"/>
                      <w:color w:val="auto"/>
                      <w:sz w:val="21"/>
                      <w:szCs w:val="21"/>
                      <w:highlight w:val="none"/>
                      <w:lang w:bidi="ar"/>
                    </w:rPr>
                    <w:t>00m</w:t>
                  </w:r>
                  <w:r>
                    <w:rPr>
                      <w:rFonts w:hint="eastAsia" w:ascii="Times New Roman" w:hAnsi="Times New Roman"/>
                      <w:color w:val="auto"/>
                      <w:sz w:val="21"/>
                      <w:szCs w:val="21"/>
                      <w:highlight w:val="none"/>
                      <w:vertAlign w:val="superscript"/>
                      <w:lang w:bidi="ar"/>
                    </w:rPr>
                    <w:t>2</w:t>
                  </w:r>
                  <w:r>
                    <w:rPr>
                      <w:rFonts w:hint="eastAsia" w:ascii="Times New Roman" w:hAnsi="Times New Roman"/>
                      <w:color w:val="auto"/>
                      <w:sz w:val="21"/>
                      <w:szCs w:val="21"/>
                      <w:highlight w:val="none"/>
                      <w:lang w:bidi="ar"/>
                    </w:rPr>
                    <w:t>，</w:t>
                  </w:r>
                  <w:r>
                    <w:rPr>
                      <w:rFonts w:hint="eastAsia" w:cs="Times New Roman"/>
                      <w:color w:val="auto"/>
                      <w:sz w:val="21"/>
                      <w:szCs w:val="21"/>
                      <w:highlight w:val="none"/>
                      <w:lang w:eastAsia="zh-CN"/>
                    </w:rPr>
                    <w:t>全封闭彩钢</w:t>
                  </w:r>
                  <w:r>
                    <w:rPr>
                      <w:rFonts w:hint="default" w:ascii="Times New Roman" w:hAnsi="Times New Roman" w:cs="Times New Roman"/>
                      <w:color w:val="auto"/>
                      <w:sz w:val="21"/>
                      <w:szCs w:val="21"/>
                      <w:highlight w:val="none"/>
                    </w:rPr>
                    <w:t>结构</w:t>
                  </w:r>
                  <w:r>
                    <w:rPr>
                      <w:rFonts w:hint="eastAsia" w:ascii="Times New Roman" w:hAnsi="Times New Roman"/>
                      <w:color w:val="auto"/>
                      <w:sz w:val="21"/>
                      <w:szCs w:val="21"/>
                      <w:highlight w:val="none"/>
                      <w:lang w:bidi="ar"/>
                    </w:rPr>
                    <w:t>，</w:t>
                  </w:r>
                  <w:r>
                    <w:rPr>
                      <w:rFonts w:hint="eastAsia" w:ascii="Times New Roman" w:hAnsi="Times New Roman"/>
                      <w:color w:val="auto"/>
                      <w:sz w:val="21"/>
                      <w:szCs w:val="21"/>
                      <w:highlight w:val="none"/>
                      <w:lang w:eastAsia="zh-CN" w:bidi="ar"/>
                    </w:rPr>
                    <w:t>堆存干煤泥，地面防渗硬化处理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p>
              </w:tc>
              <w:tc>
                <w:tcPr>
                  <w:tcW w:w="1315" w:type="pct"/>
                  <w:gridSpan w:val="2"/>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生物质燃料库</w:t>
                  </w:r>
                </w:p>
              </w:tc>
              <w:tc>
                <w:tcPr>
                  <w:tcW w:w="326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textAlignment w:val="auto"/>
                    <w:rPr>
                      <w:rFonts w:hint="default" w:ascii="Times New Roman" w:hAnsi="Times New Roman" w:eastAsia="宋体"/>
                      <w:color w:val="auto"/>
                      <w:sz w:val="21"/>
                      <w:szCs w:val="21"/>
                      <w:highlight w:val="none"/>
                      <w:lang w:val="en-US" w:eastAsia="zh-CN" w:bidi="ar"/>
                    </w:rPr>
                  </w:pPr>
                  <w:r>
                    <w:rPr>
                      <w:rFonts w:hint="eastAsia"/>
                      <w:color w:val="auto"/>
                      <w:sz w:val="21"/>
                      <w:szCs w:val="21"/>
                      <w:highlight w:val="none"/>
                      <w:lang w:eastAsia="zh-CN" w:bidi="ar"/>
                    </w:rPr>
                    <w:t>位于煤泥烘干车间，占地</w:t>
                  </w:r>
                  <w:r>
                    <w:rPr>
                      <w:rFonts w:hint="eastAsia"/>
                      <w:color w:val="auto"/>
                      <w:sz w:val="21"/>
                      <w:szCs w:val="21"/>
                      <w:highlight w:val="none"/>
                      <w:lang w:val="en-US" w:eastAsia="zh-CN" w:bidi="ar"/>
                    </w:rPr>
                    <w:t>40</w:t>
                  </w:r>
                  <w:r>
                    <w:rPr>
                      <w:rFonts w:hint="eastAsia" w:ascii="Times New Roman" w:hAnsi="Times New Roman"/>
                      <w:color w:val="auto"/>
                      <w:sz w:val="21"/>
                      <w:szCs w:val="21"/>
                      <w:highlight w:val="none"/>
                      <w:lang w:bidi="ar"/>
                    </w:rPr>
                    <w:t>m</w:t>
                  </w:r>
                  <w:r>
                    <w:rPr>
                      <w:rFonts w:hint="eastAsia" w:ascii="Times New Roman" w:hAnsi="Times New Roman"/>
                      <w:color w:val="auto"/>
                      <w:sz w:val="21"/>
                      <w:szCs w:val="21"/>
                      <w:highlight w:val="none"/>
                      <w:vertAlign w:val="superscript"/>
                      <w:lang w:bidi="ar"/>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cs="Times New Roman"/>
                      <w:color w:val="auto"/>
                      <w:sz w:val="21"/>
                      <w:szCs w:val="21"/>
                      <w:highlight w:val="red"/>
                      <w:lang w:eastAsia="zh-CN"/>
                    </w:rPr>
                  </w:pPr>
                </w:p>
              </w:tc>
              <w:tc>
                <w:tcPr>
                  <w:tcW w:w="1315" w:type="pct"/>
                  <w:gridSpan w:val="2"/>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color w:val="auto"/>
                      <w:sz w:val="21"/>
                      <w:szCs w:val="21"/>
                      <w:highlight w:val="none"/>
                      <w:lang w:eastAsia="zh-CN"/>
                    </w:rPr>
                  </w:pPr>
                  <w:r>
                    <w:rPr>
                      <w:rFonts w:hint="eastAsia"/>
                      <w:color w:val="000000"/>
                      <w:sz w:val="21"/>
                      <w:szCs w:val="21"/>
                      <w:highlight w:val="none"/>
                      <w:lang w:val="en-US" w:eastAsia="zh-CN"/>
                    </w:rPr>
                    <w:t>运输</w:t>
                  </w:r>
                </w:p>
              </w:tc>
              <w:tc>
                <w:tcPr>
                  <w:tcW w:w="3261" w:type="pct"/>
                  <w:tcBorders>
                    <w:top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textAlignment w:val="auto"/>
                    <w:rPr>
                      <w:rFonts w:hint="eastAsia" w:ascii="Times New Roman" w:hAnsi="Times New Roman"/>
                      <w:color w:val="auto"/>
                      <w:sz w:val="21"/>
                      <w:szCs w:val="21"/>
                      <w:highlight w:val="none"/>
                      <w:lang w:bidi="ar"/>
                    </w:rPr>
                  </w:pPr>
                  <w:r>
                    <w:rPr>
                      <w:rFonts w:hint="eastAsia"/>
                      <w:color w:val="000000"/>
                      <w:sz w:val="21"/>
                      <w:szCs w:val="21"/>
                      <w:highlight w:val="none"/>
                      <w:lang w:val="en-US" w:eastAsia="zh-CN"/>
                    </w:rPr>
                    <w:t>生产线</w:t>
                  </w:r>
                  <w:r>
                    <w:rPr>
                      <w:rFonts w:hint="eastAsia" w:ascii="Times New Roman" w:hAnsi="Times New Roman"/>
                      <w:color w:val="000000"/>
                      <w:sz w:val="21"/>
                      <w:szCs w:val="21"/>
                      <w:highlight w:val="none"/>
                      <w:lang w:eastAsia="zh-CN"/>
                    </w:rPr>
                    <w:t>采用全封闭</w:t>
                  </w:r>
                  <w:r>
                    <w:rPr>
                      <w:rFonts w:hint="eastAsia" w:ascii="Times New Roman" w:hAnsi="Times New Roman" w:cs="Times New Roman"/>
                      <w:color w:val="auto"/>
                      <w:sz w:val="21"/>
                      <w:szCs w:val="21"/>
                      <w:highlight w:val="none"/>
                      <w:lang w:eastAsia="zh-CN"/>
                    </w:rPr>
                    <w:t>皮带</w:t>
                  </w:r>
                  <w:r>
                    <w:rPr>
                      <w:rFonts w:hint="eastAsia" w:ascii="Times New Roman" w:hAnsi="Times New Roman"/>
                      <w:color w:val="000000"/>
                      <w:sz w:val="21"/>
                      <w:szCs w:val="21"/>
                      <w:highlight w:val="none"/>
                      <w:lang w:eastAsia="zh-CN"/>
                    </w:rPr>
                    <w:t>输送</w:t>
                  </w:r>
                  <w:r>
                    <w:rPr>
                      <w:rFonts w:hint="eastAsia"/>
                      <w:color w:val="000000"/>
                      <w:sz w:val="21"/>
                      <w:szCs w:val="21"/>
                      <w:highlight w:val="none"/>
                      <w:lang w:eastAsia="zh-CN"/>
                    </w:rPr>
                    <w:t>；</w:t>
                  </w:r>
                  <w:r>
                    <w:rPr>
                      <w:rFonts w:hint="eastAsia"/>
                      <w:color w:val="000000"/>
                      <w:sz w:val="21"/>
                      <w:szCs w:val="21"/>
                      <w:highlight w:val="none"/>
                      <w:lang w:val="en-US" w:eastAsia="zh-CN"/>
                    </w:rPr>
                    <w:t>进出场煤泥采用汽车运输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1315" w:type="pct"/>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3261"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接</w:t>
                  </w:r>
                  <w:r>
                    <w:rPr>
                      <w:rFonts w:hint="eastAsia" w:cs="Times New Roman"/>
                      <w:color w:val="auto"/>
                      <w:sz w:val="21"/>
                      <w:szCs w:val="21"/>
                      <w:highlight w:val="none"/>
                      <w:lang w:val="en-US" w:eastAsia="zh-CN"/>
                    </w:rPr>
                    <w:t>山西中源拓森煤炭销售有限公司</w:t>
                  </w:r>
                  <w:r>
                    <w:rPr>
                      <w:rFonts w:hint="eastAsia" w:ascii="Times New Roman" w:hAnsi="Times New Roman" w:eastAsia="宋体" w:cs="Times New Roman"/>
                      <w:color w:val="auto"/>
                      <w:sz w:val="21"/>
                      <w:szCs w:val="21"/>
                      <w:highlight w:val="none"/>
                      <w:lang w:val="en-US" w:eastAsia="zh-CN"/>
                    </w:rPr>
                    <w:t>储煤场现有供</w:t>
                  </w:r>
                  <w:r>
                    <w:rPr>
                      <w:rFonts w:hint="eastAsia" w:cs="Times New Roman"/>
                      <w:color w:val="auto"/>
                      <w:sz w:val="21"/>
                      <w:szCs w:val="21"/>
                      <w:highlight w:val="none"/>
                      <w:lang w:val="en-US" w:eastAsia="zh-CN"/>
                    </w:rPr>
                    <w:t>电</w:t>
                  </w:r>
                  <w:r>
                    <w:rPr>
                      <w:rFonts w:hint="eastAsia" w:ascii="Times New Roman" w:hAnsi="Times New Roman" w:eastAsia="宋体" w:cs="Times New Roman"/>
                      <w:color w:val="auto"/>
                      <w:sz w:val="21"/>
                      <w:szCs w:val="21"/>
                      <w:highlight w:val="none"/>
                      <w:lang w:val="en-US" w:eastAsia="zh-CN"/>
                    </w:rPr>
                    <w:t>管线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1315" w:type="pct"/>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w:t>
                  </w:r>
                </w:p>
              </w:tc>
              <w:tc>
                <w:tcPr>
                  <w:tcW w:w="3261"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接</w:t>
                  </w:r>
                  <w:r>
                    <w:rPr>
                      <w:rFonts w:hint="eastAsia" w:cs="Times New Roman"/>
                      <w:color w:val="auto"/>
                      <w:sz w:val="21"/>
                      <w:szCs w:val="21"/>
                      <w:highlight w:val="none"/>
                      <w:lang w:val="en-US" w:eastAsia="zh-CN"/>
                    </w:rPr>
                    <w:t>山西中源拓森煤炭销售有限公司</w:t>
                  </w:r>
                  <w:r>
                    <w:rPr>
                      <w:rFonts w:hint="eastAsia" w:ascii="Times New Roman" w:hAnsi="Times New Roman" w:eastAsia="宋体" w:cs="Times New Roman"/>
                      <w:color w:val="auto"/>
                      <w:sz w:val="21"/>
                      <w:szCs w:val="21"/>
                      <w:highlight w:val="none"/>
                      <w:lang w:val="en-US" w:eastAsia="zh-CN"/>
                    </w:rPr>
                    <w:t>储煤场现有供</w:t>
                  </w:r>
                  <w:r>
                    <w:rPr>
                      <w:rFonts w:hint="eastAsia" w:ascii="Times New Roman" w:hAnsi="Times New Roman" w:cs="Times New Roman"/>
                      <w:color w:val="auto"/>
                      <w:sz w:val="21"/>
                      <w:szCs w:val="21"/>
                      <w:highlight w:val="none"/>
                      <w:lang w:val="en-US" w:eastAsia="zh-CN"/>
                    </w:rPr>
                    <w:t>水</w:t>
                  </w:r>
                  <w:r>
                    <w:rPr>
                      <w:rFonts w:hint="eastAsia" w:ascii="Times New Roman" w:hAnsi="Times New Roman" w:eastAsia="宋体" w:cs="Times New Roman"/>
                      <w:color w:val="auto"/>
                      <w:sz w:val="21"/>
                      <w:szCs w:val="21"/>
                      <w:highlight w:val="none"/>
                      <w:lang w:val="en-US" w:eastAsia="zh-CN"/>
                    </w:rPr>
                    <w:t>管线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1315" w:type="pct"/>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供暖</w:t>
                  </w:r>
                </w:p>
              </w:tc>
              <w:tc>
                <w:tcPr>
                  <w:tcW w:w="3261"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冬季生产区</w:t>
                  </w:r>
                  <w:r>
                    <w:rPr>
                      <w:rFonts w:hint="default" w:ascii="Times New Roman" w:hAnsi="Times New Roman" w:cs="Times New Roman"/>
                      <w:color w:val="auto"/>
                      <w:sz w:val="21"/>
                      <w:szCs w:val="21"/>
                      <w:highlight w:val="none"/>
                    </w:rPr>
                    <w:t>不采暖，办公区采暖使用电采暖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55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废气处理措施</w:t>
                  </w:r>
                </w:p>
              </w:tc>
              <w:tc>
                <w:tcPr>
                  <w:tcW w:w="7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olor w:val="auto"/>
                      <w:sz w:val="21"/>
                      <w:szCs w:val="21"/>
                      <w:highlight w:val="none"/>
                    </w:rPr>
                    <w:t>煤泥烘干</w:t>
                  </w:r>
                  <w:r>
                    <w:rPr>
                      <w:rFonts w:hint="eastAsia"/>
                      <w:color w:val="auto"/>
                      <w:sz w:val="21"/>
                      <w:szCs w:val="21"/>
                      <w:highlight w:val="none"/>
                      <w:lang w:eastAsia="zh-CN"/>
                    </w:rPr>
                    <w:t>及落料口废气</w:t>
                  </w:r>
                </w:p>
              </w:tc>
              <w:tc>
                <w:tcPr>
                  <w:tcW w:w="32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由引风机（</w:t>
                  </w:r>
                  <w:r>
                    <w:rPr>
                      <w:rFonts w:hint="eastAsia" w:cs="Times New Roman"/>
                      <w:color w:val="auto"/>
                      <w:sz w:val="21"/>
                      <w:szCs w:val="21"/>
                      <w:highlight w:val="none"/>
                      <w:lang w:val="en-US" w:eastAsia="zh-CN"/>
                    </w:rPr>
                    <w:t>26500N</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cs="Times New Roman"/>
                      <w:color w:val="auto"/>
                      <w:sz w:val="21"/>
                      <w:szCs w:val="21"/>
                      <w:highlight w:val="none"/>
                      <w:lang w:val="zh-CN"/>
                    </w:rPr>
                    <w:t>/h</w:t>
                  </w:r>
                  <w:r>
                    <w:rPr>
                      <w:rFonts w:hint="default" w:ascii="Times New Roman" w:hAnsi="Times New Roman" w:eastAsia="宋体" w:cs="Times New Roman"/>
                      <w:color w:val="auto"/>
                      <w:sz w:val="21"/>
                      <w:szCs w:val="21"/>
                      <w:highlight w:val="none"/>
                      <w:lang w:val="en-US" w:eastAsia="zh-CN"/>
                    </w:rPr>
                    <w:t>）将废气引入</w:t>
                  </w:r>
                  <w:r>
                    <w:rPr>
                      <w:rFonts w:hint="eastAsia"/>
                      <w:color w:val="auto"/>
                      <w:sz w:val="21"/>
                      <w:szCs w:val="21"/>
                      <w:highlight w:val="none"/>
                      <w:lang w:val="en-US" w:eastAsia="zh-CN"/>
                    </w:rPr>
                    <w:t>1套SNCR脱硝+旋风除尘+布袋除尘</w:t>
                  </w:r>
                  <w:r>
                    <w:rPr>
                      <w:rFonts w:hint="eastAsia"/>
                      <w:color w:val="auto"/>
                      <w:sz w:val="21"/>
                      <w:szCs w:val="21"/>
                      <w:highlight w:val="none"/>
                      <w:lang w:eastAsia="zh-CN"/>
                    </w:rPr>
                    <w:t>设施</w:t>
                  </w:r>
                  <w:r>
                    <w:rPr>
                      <w:rFonts w:hint="eastAsia" w:ascii="Times New Roman" w:hAnsi="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，除尘效率≥99.5%，</w:t>
                  </w:r>
                  <w:r>
                    <w:rPr>
                      <w:rFonts w:hint="eastAsia" w:cs="Times New Roman"/>
                      <w:color w:val="auto"/>
                      <w:sz w:val="21"/>
                      <w:szCs w:val="21"/>
                      <w:highlight w:val="none"/>
                      <w:lang w:val="en-US" w:eastAsia="zh-CN"/>
                    </w:rPr>
                    <w:t>脱硝效率30%，</w:t>
                  </w:r>
                  <w:r>
                    <w:rPr>
                      <w:rFonts w:hint="default" w:ascii="Times New Roman" w:hAnsi="Times New Roman" w:eastAsia="宋体" w:cs="Times New Roman"/>
                      <w:color w:val="auto"/>
                      <w:sz w:val="21"/>
                      <w:szCs w:val="21"/>
                      <w:highlight w:val="none"/>
                      <w:lang w:val="en-US" w:eastAsia="zh-CN"/>
                    </w:rPr>
                    <w:t>排气筒高度15m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55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运输扬尘</w:t>
                  </w:r>
                </w:p>
              </w:tc>
              <w:tc>
                <w:tcPr>
                  <w:tcW w:w="326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厂区</w:t>
                  </w:r>
                  <w:r>
                    <w:rPr>
                      <w:rFonts w:hint="eastAsia" w:ascii="Times New Roman" w:hAnsi="Times New Roman" w:eastAsia="宋体" w:cs="Times New Roman"/>
                      <w:color w:val="auto"/>
                      <w:sz w:val="21"/>
                      <w:szCs w:val="21"/>
                      <w:highlight w:val="none"/>
                      <w:lang w:val="en-US" w:eastAsia="zh-CN"/>
                    </w:rPr>
                    <w:t>道路</w:t>
                  </w:r>
                  <w:r>
                    <w:rPr>
                      <w:rFonts w:hint="default" w:ascii="Times New Roman" w:hAnsi="Times New Roman" w:eastAsia="宋体" w:cs="Times New Roman"/>
                      <w:color w:val="auto"/>
                      <w:sz w:val="21"/>
                      <w:szCs w:val="21"/>
                      <w:highlight w:val="none"/>
                    </w:rPr>
                    <w:t>硬化，</w:t>
                  </w:r>
                  <w:r>
                    <w:rPr>
                      <w:rFonts w:hint="eastAsia" w:ascii="Times New Roman" w:hAnsi="Times New Roman" w:eastAsia="宋体" w:cs="Times New Roman"/>
                      <w:color w:val="auto"/>
                      <w:sz w:val="21"/>
                      <w:szCs w:val="21"/>
                      <w:highlight w:val="none"/>
                      <w:lang w:eastAsia="zh-CN"/>
                    </w:rPr>
                    <w:t>洒水车</w:t>
                  </w:r>
                  <w:r>
                    <w:rPr>
                      <w:rFonts w:hint="default" w:ascii="Times New Roman" w:hAnsi="Times New Roman" w:eastAsia="宋体" w:cs="Times New Roman"/>
                      <w:color w:val="auto"/>
                      <w:sz w:val="21"/>
                      <w:szCs w:val="21"/>
                      <w:highlight w:val="none"/>
                    </w:rPr>
                    <w:t>定期洒水</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运输</w:t>
                  </w:r>
                  <w:r>
                    <w:rPr>
                      <w:rFonts w:hint="eastAsia" w:cs="Times New Roman"/>
                      <w:color w:val="auto"/>
                      <w:sz w:val="21"/>
                      <w:szCs w:val="21"/>
                      <w:highlight w:val="none"/>
                      <w:lang w:val="en-US" w:eastAsia="zh-CN"/>
                    </w:rPr>
                    <w:t>车辆</w:t>
                  </w:r>
                  <w:r>
                    <w:rPr>
                      <w:rFonts w:hint="default" w:ascii="Times New Roman" w:hAnsi="Times New Roman" w:eastAsia="宋体" w:cs="Times New Roman"/>
                      <w:color w:val="auto"/>
                      <w:sz w:val="21"/>
                      <w:szCs w:val="21"/>
                      <w:highlight w:val="none"/>
                      <w:lang w:val="en-US" w:eastAsia="zh-CN"/>
                    </w:rPr>
                    <w:t>采用</w:t>
                  </w:r>
                  <w:r>
                    <w:rPr>
                      <w:rFonts w:hint="eastAsia" w:ascii="Times New Roman" w:hAnsi="Times New Roman" w:eastAsia="宋体" w:cs="Times New Roman"/>
                      <w:color w:val="auto"/>
                      <w:sz w:val="21"/>
                      <w:szCs w:val="21"/>
                      <w:highlight w:val="none"/>
                      <w:lang w:val="en-US" w:eastAsia="zh-CN"/>
                    </w:rPr>
                    <w:t>篷布苫盖</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出口处设洗车</w:t>
                  </w:r>
                  <w:r>
                    <w:rPr>
                      <w:rFonts w:hint="default" w:ascii="Times New Roman" w:hAnsi="Times New Roman" w:eastAsia="宋体" w:cs="Times New Roman"/>
                      <w:color w:val="auto"/>
                      <w:sz w:val="21"/>
                      <w:szCs w:val="21"/>
                      <w:highlight w:val="none"/>
                    </w:rPr>
                    <w:t>平台，对车辆轮胎</w:t>
                  </w:r>
                  <w:r>
                    <w:rPr>
                      <w:rFonts w:hint="default" w:ascii="Times New Roman" w:hAnsi="Times New Roman" w:eastAsia="宋体" w:cs="Times New Roman"/>
                      <w:color w:val="auto"/>
                      <w:sz w:val="21"/>
                      <w:szCs w:val="21"/>
                      <w:highlight w:val="none"/>
                      <w:lang w:eastAsia="zh-CN"/>
                    </w:rPr>
                    <w:t>和车身</w:t>
                  </w:r>
                  <w:r>
                    <w:rPr>
                      <w:rFonts w:hint="default" w:ascii="Times New Roman" w:hAnsi="Times New Roman" w:eastAsia="宋体" w:cs="Times New Roman"/>
                      <w:color w:val="auto"/>
                      <w:sz w:val="21"/>
                      <w:szCs w:val="21"/>
                      <w:highlight w:val="none"/>
                    </w:rPr>
                    <w:t>进行清洗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55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eastAsia="zh-CN"/>
                    </w:rPr>
                    <w:t>煤泥堆放、装卸</w:t>
                  </w:r>
                  <w:r>
                    <w:rPr>
                      <w:rFonts w:hint="eastAsia" w:cs="Times New Roman"/>
                      <w:color w:val="auto"/>
                      <w:sz w:val="21"/>
                      <w:szCs w:val="21"/>
                      <w:highlight w:val="none"/>
                      <w:lang w:eastAsia="zh-CN"/>
                    </w:rPr>
                    <w:t>、转载</w:t>
                  </w:r>
                </w:p>
              </w:tc>
              <w:tc>
                <w:tcPr>
                  <w:tcW w:w="3261" w:type="pct"/>
                  <w:tcBorders>
                    <w:tl2br w:val="nil"/>
                    <w:tr2bl w:val="nil"/>
                  </w:tcBorders>
                  <w:noWrap w:val="0"/>
                  <w:vAlign w:val="center"/>
                </w:tcPr>
                <w:p>
                  <w:pPr>
                    <w:keepNext w:val="0"/>
                    <w:keepLines w:val="0"/>
                    <w:pageBreakBefore w:val="0"/>
                    <w:tabs>
                      <w:tab w:val="left" w:pos="720"/>
                    </w:tabs>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eastAsia="zh-CN"/>
                    </w:rPr>
                    <w:t>建设全封闭轻钢结构干煤泥库和湿煤泥库各一座，地面防渗硬化处理</w:t>
                  </w:r>
                  <w:r>
                    <w:rPr>
                      <w:rFonts w:hint="eastAsia" w:cs="Times New Roman"/>
                      <w:color w:val="auto"/>
                      <w:sz w:val="21"/>
                      <w:szCs w:val="21"/>
                      <w:highlight w:val="none"/>
                      <w:lang w:eastAsia="zh-CN"/>
                    </w:rPr>
                    <w:t>，</w:t>
                  </w:r>
                  <w:r>
                    <w:rPr>
                      <w:rFonts w:hint="eastAsia" w:cs="Times New Roman"/>
                      <w:color w:val="auto"/>
                      <w:sz w:val="21"/>
                      <w:szCs w:val="21"/>
                      <w:highlight w:val="none"/>
                      <w:lang w:val="zh-CN" w:eastAsia="zh-CN"/>
                    </w:rPr>
                    <w:t>转载采用全封闭输送带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55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废水处理</w:t>
                  </w:r>
                  <w:r>
                    <w:rPr>
                      <w:rFonts w:hint="eastAsia" w:ascii="Times New Roman" w:hAnsi="Times New Roman" w:cs="Times New Roman"/>
                      <w:color w:val="auto"/>
                      <w:sz w:val="21"/>
                      <w:szCs w:val="21"/>
                      <w:highlight w:val="none"/>
                      <w:lang w:eastAsia="zh-CN"/>
                    </w:rPr>
                    <w:t>措施</w:t>
                  </w:r>
                  <w:r>
                    <w:rPr>
                      <w:rFonts w:hint="default" w:ascii="Times New Roman" w:hAnsi="Times New Roman" w:cs="Times New Roman"/>
                      <w:color w:val="auto"/>
                      <w:sz w:val="21"/>
                      <w:szCs w:val="21"/>
                      <w:highlight w:val="none"/>
                    </w:rPr>
                    <w:cr/>
                  </w: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326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4"/>
                      <w:sz w:val="21"/>
                      <w:szCs w:val="21"/>
                      <w:highlight w:val="none"/>
                      <w:lang w:eastAsia="zh-CN"/>
                    </w:rPr>
                    <w:t>生活污水主要为洗漱废水</w:t>
                  </w:r>
                  <w:r>
                    <w:rPr>
                      <w:rFonts w:hint="default" w:ascii="Times New Roman" w:hAnsi="Times New Roman" w:cs="Times New Roman"/>
                      <w:color w:val="auto"/>
                      <w:spacing w:val="4"/>
                      <w:sz w:val="21"/>
                      <w:szCs w:val="21"/>
                      <w:highlight w:val="none"/>
                    </w:rPr>
                    <w:t>，经收集</w:t>
                  </w:r>
                  <w:r>
                    <w:rPr>
                      <w:rFonts w:hint="eastAsia" w:ascii="Times New Roman" w:hAnsi="Times New Roman" w:cs="Times New Roman"/>
                      <w:color w:val="auto"/>
                      <w:spacing w:val="4"/>
                      <w:sz w:val="21"/>
                      <w:szCs w:val="21"/>
                      <w:highlight w:val="none"/>
                      <w:lang w:eastAsia="zh-CN"/>
                    </w:rPr>
                    <w:t>沉淀</w:t>
                  </w:r>
                  <w:r>
                    <w:rPr>
                      <w:rFonts w:hint="default" w:ascii="Times New Roman" w:hAnsi="Times New Roman" w:cs="Times New Roman"/>
                      <w:color w:val="auto"/>
                      <w:spacing w:val="4"/>
                      <w:sz w:val="21"/>
                      <w:szCs w:val="21"/>
                      <w:highlight w:val="none"/>
                    </w:rPr>
                    <w:t>后用于厂区洒水抑尘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55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洗车废水</w:t>
                  </w:r>
                </w:p>
              </w:tc>
              <w:tc>
                <w:tcPr>
                  <w:tcW w:w="326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color w:val="auto"/>
                      <w:sz w:val="21"/>
                      <w:szCs w:val="21"/>
                      <w:highlight w:val="none"/>
                    </w:rPr>
                  </w:pPr>
                  <w:r>
                    <w:rPr>
                      <w:rFonts w:hint="eastAsia" w:ascii="宋体" w:hAnsi="宋体" w:cs="Times New Roman"/>
                      <w:color w:val="auto"/>
                      <w:sz w:val="21"/>
                      <w:szCs w:val="21"/>
                      <w:highlight w:val="none"/>
                      <w:lang w:val="en-US" w:eastAsia="zh-CN" w:bidi="ar"/>
                    </w:rPr>
                    <w:t>利用</w:t>
                  </w:r>
                  <w:r>
                    <w:rPr>
                      <w:rFonts w:hint="eastAsia" w:cs="Times New Roman"/>
                      <w:color w:val="auto"/>
                      <w:sz w:val="21"/>
                      <w:szCs w:val="21"/>
                      <w:highlight w:val="none"/>
                      <w:lang w:val="en-US" w:eastAsia="zh-CN"/>
                    </w:rPr>
                    <w:t>山西中源拓森煤炭销售有限公司</w:t>
                  </w:r>
                  <w:r>
                    <w:rPr>
                      <w:rFonts w:hint="eastAsia" w:ascii="Times New Roman" w:hAnsi="Times New Roman" w:eastAsia="宋体" w:cs="Times New Roman"/>
                      <w:color w:val="auto"/>
                      <w:sz w:val="21"/>
                      <w:szCs w:val="21"/>
                      <w:highlight w:val="none"/>
                      <w:lang w:val="en-US" w:eastAsia="zh-CN"/>
                    </w:rPr>
                    <w:t>储煤场</w:t>
                  </w:r>
                  <w:r>
                    <w:rPr>
                      <w:rFonts w:hint="eastAsia" w:ascii="宋体" w:hAnsi="宋体" w:eastAsia="宋体" w:cs="Times New Roman"/>
                      <w:color w:val="auto"/>
                      <w:sz w:val="21"/>
                      <w:szCs w:val="21"/>
                      <w:highlight w:val="none"/>
                      <w:lang w:val="en-US" w:eastAsia="zh-CN" w:bidi="ar"/>
                    </w:rPr>
                    <w:t>建设</w:t>
                  </w:r>
                  <w:r>
                    <w:rPr>
                      <w:rFonts w:hint="eastAsia" w:ascii="宋体" w:hAnsi="宋体" w:cs="Times New Roman"/>
                      <w:color w:val="auto"/>
                      <w:sz w:val="21"/>
                      <w:szCs w:val="21"/>
                      <w:highlight w:val="none"/>
                      <w:lang w:val="en-US" w:eastAsia="zh-CN" w:bidi="ar"/>
                    </w:rPr>
                    <w:t>的</w:t>
                  </w:r>
                  <w:r>
                    <w:rPr>
                      <w:rFonts w:hint="eastAsia" w:ascii="宋体" w:hAnsi="宋体" w:eastAsia="宋体" w:cs="Times New Roman"/>
                      <w:color w:val="auto"/>
                      <w:sz w:val="21"/>
                      <w:szCs w:val="21"/>
                      <w:highlight w:val="none"/>
                      <w:lang w:val="en-US" w:eastAsia="zh-CN" w:bidi="ar"/>
                    </w:rPr>
                    <w:t>洗车平台，经沉淀后</w:t>
                  </w:r>
                  <w:r>
                    <w:rPr>
                      <w:rFonts w:hint="eastAsia" w:ascii="宋体" w:hAnsi="宋体" w:cs="Times New Roman"/>
                      <w:color w:val="auto"/>
                      <w:sz w:val="21"/>
                      <w:szCs w:val="21"/>
                      <w:highlight w:val="none"/>
                      <w:lang w:val="en-US" w:eastAsia="zh-CN" w:bidi="ar"/>
                    </w:rPr>
                    <w:t>回用于洗车，循环使用</w:t>
                  </w:r>
                  <w:r>
                    <w:rPr>
                      <w:rFonts w:hint="eastAsia" w:ascii="宋体" w:hAnsi="宋体" w:eastAsia="宋体" w:cs="Times New Roman"/>
                      <w:color w:val="auto"/>
                      <w:sz w:val="21"/>
                      <w:szCs w:val="21"/>
                      <w:highlight w:val="none"/>
                      <w:lang w:val="en-US" w:eastAsia="zh-CN" w:bidi="ar"/>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55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764" w:type="pct"/>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初期雨水</w:t>
                  </w:r>
                </w:p>
              </w:tc>
              <w:tc>
                <w:tcPr>
                  <w:tcW w:w="3261" w:type="pct"/>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Cs/>
                      <w:color w:val="auto"/>
                      <w:sz w:val="21"/>
                      <w:szCs w:val="21"/>
                      <w:highlight w:val="none"/>
                    </w:rPr>
                  </w:pPr>
                  <w:r>
                    <w:rPr>
                      <w:rFonts w:hint="eastAsia" w:cs="Times New Roman"/>
                      <w:color w:val="auto"/>
                      <w:kern w:val="2"/>
                      <w:sz w:val="21"/>
                      <w:szCs w:val="21"/>
                      <w:highlight w:val="none"/>
                      <w:lang w:val="en-US" w:eastAsia="zh-CN" w:bidi="ar-SA"/>
                    </w:rPr>
                    <w:t>依托现有的雨水收集池，现有雨水池位于厂区西北侧容积1座550m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初期雨水收集池，收集的初期雨水全部回用于</w:t>
                  </w:r>
                  <w:r>
                    <w:rPr>
                      <w:rFonts w:hint="eastAsia" w:cs="Times New Roman"/>
                      <w:color w:val="auto"/>
                      <w:sz w:val="21"/>
                      <w:szCs w:val="21"/>
                      <w:highlight w:val="none"/>
                      <w:lang w:val="en-US" w:eastAsia="zh-CN"/>
                    </w:rPr>
                    <w:t>山西中源拓森煤炭销售有限公司</w:t>
                  </w:r>
                  <w:r>
                    <w:rPr>
                      <w:rFonts w:hint="eastAsia" w:ascii="Times New Roman" w:hAnsi="Times New Roman" w:eastAsia="宋体" w:cs="Times New Roman"/>
                      <w:color w:val="auto"/>
                      <w:sz w:val="21"/>
                      <w:szCs w:val="21"/>
                      <w:highlight w:val="none"/>
                      <w:lang w:val="en-US" w:eastAsia="zh-CN"/>
                    </w:rPr>
                    <w:t>储煤场</w:t>
                  </w:r>
                  <w:r>
                    <w:rPr>
                      <w:rFonts w:hint="eastAsia" w:cs="Times New Roman"/>
                      <w:color w:val="auto"/>
                      <w:kern w:val="2"/>
                      <w:sz w:val="21"/>
                      <w:szCs w:val="21"/>
                      <w:highlight w:val="none"/>
                      <w:lang w:val="en-US" w:eastAsia="zh-CN" w:bidi="ar-SA"/>
                    </w:rPr>
                    <w:t>洒水抑尘，不外排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55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764"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淋控水</w:t>
                  </w:r>
                </w:p>
              </w:tc>
              <w:tc>
                <w:tcPr>
                  <w:tcW w:w="326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color w:val="auto"/>
                      <w:spacing w:val="4"/>
                      <w:sz w:val="21"/>
                      <w:szCs w:val="21"/>
                      <w:highlight w:val="none"/>
                    </w:rPr>
                  </w:pPr>
                  <w:r>
                    <w:rPr>
                      <w:rFonts w:hint="eastAsia" w:cs="Times New Roman"/>
                      <w:color w:val="auto"/>
                      <w:spacing w:val="4"/>
                      <w:sz w:val="21"/>
                      <w:szCs w:val="21"/>
                      <w:highlight w:val="none"/>
                      <w:lang w:eastAsia="zh-CN"/>
                    </w:rPr>
                    <w:t>在湿煤泥库</w:t>
                  </w:r>
                  <w:r>
                    <w:rPr>
                      <w:rFonts w:hint="default" w:ascii="Times New Roman" w:hAnsi="Times New Roman" w:cs="Times New Roman"/>
                      <w:color w:val="auto"/>
                      <w:spacing w:val="4"/>
                      <w:sz w:val="21"/>
                      <w:szCs w:val="21"/>
                      <w:highlight w:val="none"/>
                    </w:rPr>
                    <w:t>建设1座淋控水池（</w:t>
                  </w:r>
                  <w:r>
                    <w:rPr>
                      <w:rFonts w:hint="eastAsia" w:cs="Times New Roman"/>
                      <w:color w:val="auto"/>
                      <w:spacing w:val="4"/>
                      <w:sz w:val="21"/>
                      <w:szCs w:val="21"/>
                      <w:highlight w:val="none"/>
                      <w:lang w:eastAsia="zh-CN"/>
                    </w:rPr>
                    <w:t>三格，</w:t>
                  </w:r>
                  <w:r>
                    <w:rPr>
                      <w:rFonts w:hint="eastAsia" w:cs="Times New Roman"/>
                      <w:color w:val="auto"/>
                      <w:spacing w:val="4"/>
                      <w:sz w:val="21"/>
                      <w:szCs w:val="21"/>
                      <w:highlight w:val="none"/>
                      <w:lang w:val="en-US" w:eastAsia="zh-CN"/>
                    </w:rPr>
                    <w:t>9</w:t>
                  </w:r>
                  <w:r>
                    <w:rPr>
                      <w:rFonts w:hint="default" w:ascii="Times New Roman" w:hAnsi="Times New Roman" w:cs="Times New Roman"/>
                      <w:color w:val="auto"/>
                      <w:spacing w:val="4"/>
                      <w:sz w:val="21"/>
                      <w:szCs w:val="21"/>
                      <w:highlight w:val="none"/>
                    </w:rPr>
                    <w:t>m</w:t>
                  </w:r>
                  <w:r>
                    <w:rPr>
                      <w:rFonts w:hint="default" w:ascii="Times New Roman" w:hAnsi="Times New Roman" w:cs="Times New Roman"/>
                      <w:color w:val="auto"/>
                      <w:spacing w:val="4"/>
                      <w:sz w:val="21"/>
                      <w:szCs w:val="21"/>
                      <w:highlight w:val="none"/>
                      <w:vertAlign w:val="superscript"/>
                    </w:rPr>
                    <w:t>3</w:t>
                  </w:r>
                  <w:r>
                    <w:rPr>
                      <w:rFonts w:hint="default" w:ascii="Times New Roman" w:hAnsi="Times New Roman" w:cs="Times New Roman"/>
                      <w:color w:val="auto"/>
                      <w:spacing w:val="4"/>
                      <w:sz w:val="21"/>
                      <w:szCs w:val="21"/>
                      <w:highlight w:val="none"/>
                    </w:rPr>
                    <w:t>），经沉淀后洒水抑尘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red"/>
                    </w:rPr>
                  </w:pPr>
                </w:p>
              </w:tc>
              <w:tc>
                <w:tcPr>
                  <w:tcW w:w="55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r>
                    <w:rPr>
                      <w:rFonts w:hint="eastAsia" w:cs="Times New Roman"/>
                      <w:color w:val="auto"/>
                      <w:sz w:val="21"/>
                      <w:szCs w:val="21"/>
                      <w:highlight w:val="none"/>
                      <w:lang w:eastAsia="zh-CN"/>
                    </w:rPr>
                    <w:t>治</w:t>
                  </w:r>
                  <w:r>
                    <w:rPr>
                      <w:rFonts w:hint="default" w:ascii="Times New Roman" w:hAnsi="Times New Roman" w:cs="Times New Roman"/>
                      <w:color w:val="auto"/>
                      <w:sz w:val="21"/>
                      <w:szCs w:val="21"/>
                      <w:highlight w:val="none"/>
                    </w:rPr>
                    <w:t>理措施</w:t>
                  </w: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设备噪声</w:t>
                  </w:r>
                </w:p>
              </w:tc>
              <w:tc>
                <w:tcPr>
                  <w:tcW w:w="3261" w:type="pct"/>
                  <w:tcBorders>
                    <w:tl2br w:val="nil"/>
                    <w:tr2bl w:val="nil"/>
                  </w:tcBorders>
                  <w:noWrap w:val="0"/>
                  <w:vAlign w:val="center"/>
                </w:tcPr>
                <w:p>
                  <w:pPr>
                    <w:pStyle w:val="8"/>
                    <w:keepNext w:val="0"/>
                    <w:keepLines w:val="0"/>
                    <w:pageBreakBefore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选用低噪声设备，隔声、基础减振，定期维护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red"/>
                    </w:rPr>
                  </w:pPr>
                </w:p>
              </w:tc>
              <w:tc>
                <w:tcPr>
                  <w:tcW w:w="55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固废处理</w:t>
                  </w:r>
                  <w:r>
                    <w:rPr>
                      <w:rFonts w:hint="eastAsia" w:ascii="Times New Roman" w:hAnsi="Times New Roman" w:cs="Times New Roman"/>
                      <w:color w:val="auto"/>
                      <w:sz w:val="21"/>
                      <w:szCs w:val="21"/>
                      <w:highlight w:val="none"/>
                      <w:lang w:eastAsia="zh-CN"/>
                    </w:rPr>
                    <w:t>措施</w:t>
                  </w: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生活</w:t>
                  </w:r>
                  <w:r>
                    <w:rPr>
                      <w:rFonts w:hint="eastAsia" w:cs="Times New Roman"/>
                      <w:color w:val="auto"/>
                      <w:sz w:val="21"/>
                      <w:szCs w:val="21"/>
                      <w:highlight w:val="none"/>
                      <w:lang w:eastAsia="zh-CN"/>
                    </w:rPr>
                    <w:t>垃圾</w:t>
                  </w:r>
                </w:p>
              </w:tc>
              <w:tc>
                <w:tcPr>
                  <w:tcW w:w="326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厂区设垃圾箱，</w:t>
                  </w:r>
                  <w:r>
                    <w:rPr>
                      <w:rFonts w:hint="default" w:ascii="Times New Roman" w:hAnsi="Times New Roman" w:cs="Times New Roman"/>
                      <w:color w:val="auto"/>
                      <w:sz w:val="21"/>
                      <w:szCs w:val="21"/>
                      <w:highlight w:val="none"/>
                    </w:rPr>
                    <w:t>集中收集，由环卫部门统一清运处置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bottom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red"/>
                    </w:rPr>
                  </w:pPr>
                </w:p>
              </w:tc>
              <w:tc>
                <w:tcPr>
                  <w:tcW w:w="551" w:type="pct"/>
                  <w:vMerge w:val="continue"/>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764" w:type="pct"/>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废机油</w:t>
                  </w:r>
                  <w:r>
                    <w:rPr>
                      <w:rFonts w:hint="eastAsia" w:ascii="Times New Roman" w:hAnsi="Times New Roman" w:cs="Times New Roman"/>
                      <w:color w:val="auto"/>
                      <w:sz w:val="21"/>
                      <w:szCs w:val="21"/>
                      <w:highlight w:val="none"/>
                      <w:lang w:eastAsia="zh-CN"/>
                    </w:rPr>
                    <w:t>、废机油桶</w:t>
                  </w:r>
                </w:p>
              </w:tc>
              <w:tc>
                <w:tcPr>
                  <w:tcW w:w="3261" w:type="pct"/>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依托</w:t>
                  </w:r>
                  <w:r>
                    <w:rPr>
                      <w:rFonts w:hint="eastAsia" w:cs="Times New Roman"/>
                      <w:color w:val="auto"/>
                      <w:sz w:val="21"/>
                      <w:szCs w:val="21"/>
                      <w:highlight w:val="none"/>
                      <w:lang w:val="en-US" w:eastAsia="zh-CN"/>
                    </w:rPr>
                    <w:t>山西中源拓森煤炭销售有限公司</w:t>
                  </w:r>
                  <w:r>
                    <w:rPr>
                      <w:rFonts w:hint="eastAsia" w:ascii="Times New Roman" w:hAnsi="Times New Roman" w:eastAsia="宋体" w:cs="Times New Roman"/>
                      <w:color w:val="auto"/>
                      <w:sz w:val="21"/>
                      <w:szCs w:val="21"/>
                      <w:highlight w:val="none"/>
                      <w:lang w:val="en-US" w:eastAsia="zh-CN"/>
                    </w:rPr>
                    <w:t>储煤场</w:t>
                  </w:r>
                  <w:r>
                    <w:rPr>
                      <w:rFonts w:hint="eastAsia" w:cs="Times New Roman"/>
                      <w:color w:val="auto"/>
                      <w:sz w:val="21"/>
                      <w:szCs w:val="21"/>
                      <w:highlight w:val="none"/>
                      <w:lang w:eastAsia="zh-CN"/>
                    </w:rPr>
                    <w:t>的</w:t>
                  </w:r>
                  <w:r>
                    <w:rPr>
                      <w:rFonts w:hint="eastAsia" w:ascii="Times New Roman" w:hAnsi="Times New Roman" w:cs="Times New Roman"/>
                      <w:color w:val="auto"/>
                      <w:sz w:val="21"/>
                      <w:szCs w:val="21"/>
                      <w:highlight w:val="none"/>
                      <w:lang w:eastAsia="zh-CN"/>
                    </w:rPr>
                    <w:t>一座</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lang w:eastAsia="zh-CN"/>
                    </w:rPr>
                    <w:t>的</w:t>
                  </w:r>
                  <w:r>
                    <w:rPr>
                      <w:rFonts w:hint="default" w:ascii="Times New Roman" w:hAnsi="Times New Roman" w:cs="Times New Roman"/>
                      <w:color w:val="auto"/>
                      <w:sz w:val="21"/>
                      <w:szCs w:val="21"/>
                      <w:highlight w:val="none"/>
                    </w:rPr>
                    <w:t>危废暂存间</w:t>
                  </w:r>
                  <w:r>
                    <w:rPr>
                      <w:rFonts w:hint="eastAsia" w:ascii="Times New Roman" w:hAnsi="Times New Roman" w:cs="Times New Roman"/>
                      <w:color w:val="auto"/>
                      <w:sz w:val="21"/>
                      <w:szCs w:val="21"/>
                      <w:highlight w:val="none"/>
                      <w:lang w:eastAsia="zh-CN"/>
                    </w:rPr>
                    <w:t>，用于收集废机油桶、废机油</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危险废物</w:t>
                  </w:r>
                  <w:r>
                    <w:rPr>
                      <w:rFonts w:hint="default" w:ascii="Times New Roman" w:hAnsi="Times New Roman" w:cs="Times New Roman"/>
                      <w:color w:val="auto"/>
                      <w:sz w:val="21"/>
                      <w:szCs w:val="21"/>
                      <w:highlight w:val="none"/>
                    </w:rPr>
                    <w:t>定期</w:t>
                  </w:r>
                  <w:r>
                    <w:rPr>
                      <w:rFonts w:hint="eastAsia" w:ascii="Times New Roman" w:hAnsi="Times New Roman" w:cs="Times New Roman"/>
                      <w:color w:val="auto"/>
                      <w:sz w:val="21"/>
                      <w:szCs w:val="21"/>
                      <w:highlight w:val="none"/>
                      <w:lang w:eastAsia="zh-CN"/>
                    </w:rPr>
                    <w:t>交</w:t>
                  </w:r>
                  <w:r>
                    <w:rPr>
                      <w:rFonts w:hint="default" w:ascii="Times New Roman" w:hAnsi="Times New Roman" w:cs="Times New Roman"/>
                      <w:color w:val="auto"/>
                      <w:sz w:val="21"/>
                      <w:szCs w:val="21"/>
                      <w:highlight w:val="none"/>
                    </w:rPr>
                    <w:t>由有资质的单位</w:t>
                  </w:r>
                  <w:r>
                    <w:rPr>
                      <w:rFonts w:hint="default" w:ascii="Times New Roman" w:hAnsi="Times New Roman" w:cs="Times New Roman"/>
                      <w:color w:val="auto"/>
                      <w:sz w:val="21"/>
                      <w:szCs w:val="21"/>
                      <w:highlight w:val="none"/>
                      <w:lang w:eastAsia="zh-CN"/>
                    </w:rPr>
                    <w:t>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bottom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red"/>
                    </w:rPr>
                  </w:pPr>
                </w:p>
              </w:tc>
              <w:tc>
                <w:tcPr>
                  <w:tcW w:w="551" w:type="pct"/>
                  <w:vMerge w:val="continue"/>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p>
              </w:tc>
              <w:tc>
                <w:tcPr>
                  <w:tcW w:w="764"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热风炉炉渣</w:t>
                  </w:r>
                </w:p>
              </w:tc>
              <w:tc>
                <w:tcPr>
                  <w:tcW w:w="326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暂存一般固废间</w:t>
                  </w:r>
                  <w:r>
                    <w:rPr>
                      <w:rFonts w:hint="eastAsia" w:cs="Times New Roman"/>
                      <w:color w:val="auto"/>
                      <w:sz w:val="21"/>
                      <w:szCs w:val="21"/>
                      <w:highlight w:val="none"/>
                      <w:lang w:eastAsia="zh-CN"/>
                    </w:rPr>
                    <w:t>（位于</w:t>
                  </w:r>
                  <w:r>
                    <w:rPr>
                      <w:rFonts w:hint="eastAsia"/>
                      <w:color w:val="auto"/>
                      <w:sz w:val="21"/>
                      <w:szCs w:val="21"/>
                      <w:highlight w:val="none"/>
                      <w:lang w:eastAsia="zh-CN" w:bidi="ar"/>
                    </w:rPr>
                    <w:t>煤泥烘干车间，占地</w:t>
                  </w:r>
                  <w:r>
                    <w:rPr>
                      <w:rFonts w:hint="eastAsia"/>
                      <w:color w:val="auto"/>
                      <w:sz w:val="21"/>
                      <w:szCs w:val="21"/>
                      <w:highlight w:val="none"/>
                      <w:lang w:val="en-US" w:eastAsia="zh-CN" w:bidi="ar"/>
                    </w:rPr>
                    <w:t>40</w:t>
                  </w:r>
                  <w:r>
                    <w:rPr>
                      <w:rFonts w:hint="eastAsia" w:ascii="Times New Roman" w:hAnsi="Times New Roman"/>
                      <w:color w:val="auto"/>
                      <w:sz w:val="21"/>
                      <w:szCs w:val="21"/>
                      <w:highlight w:val="none"/>
                      <w:lang w:bidi="ar"/>
                    </w:rPr>
                    <w:t>m</w:t>
                  </w:r>
                  <w:r>
                    <w:rPr>
                      <w:rFonts w:hint="eastAsia" w:ascii="Times New Roman" w:hAnsi="Times New Roman"/>
                      <w:color w:val="auto"/>
                      <w:sz w:val="21"/>
                      <w:szCs w:val="21"/>
                      <w:highlight w:val="none"/>
                      <w:vertAlign w:val="superscript"/>
                      <w:lang w:bidi="ar"/>
                    </w:rPr>
                    <w:t>2</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，定期外售综合利用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bottom w:val="single" w:color="auto" w:sz="4" w:space="0"/>
                    <w:tl2br w:val="nil"/>
                    <w:tr2bl w:val="nil"/>
                  </w:tcBorders>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z w:val="21"/>
                      <w:szCs w:val="21"/>
                      <w:highlight w:val="red"/>
                    </w:rPr>
                  </w:pPr>
                </w:p>
              </w:tc>
              <w:tc>
                <w:tcPr>
                  <w:tcW w:w="55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清洁运输管理措施</w:t>
                  </w:r>
                </w:p>
              </w:tc>
              <w:tc>
                <w:tcPr>
                  <w:tcW w:w="4026" w:type="pct"/>
                  <w:gridSpan w:val="2"/>
                  <w:tcBorders>
                    <w:top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eastAsia="zh-CN"/>
                    </w:rPr>
                    <w:t>进出车辆必须进行洗车除尘，不</w:t>
                  </w:r>
                  <w:r>
                    <w:rPr>
                      <w:rFonts w:hint="eastAsia" w:cs="Times New Roman"/>
                      <w:color w:val="auto"/>
                      <w:sz w:val="21"/>
                      <w:szCs w:val="21"/>
                      <w:highlight w:val="none"/>
                      <w:lang w:eastAsia="zh-CN"/>
                    </w:rPr>
                    <w:t>得</w:t>
                  </w:r>
                  <w:r>
                    <w:rPr>
                      <w:rFonts w:hint="eastAsia" w:ascii="Times New Roman" w:hAnsi="Times New Roman" w:cs="Times New Roman"/>
                      <w:color w:val="auto"/>
                      <w:sz w:val="21"/>
                      <w:szCs w:val="21"/>
                      <w:highlight w:val="none"/>
                      <w:lang w:eastAsia="zh-CN"/>
                    </w:rPr>
                    <w:t>带泥上路</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eastAsia="zh-CN"/>
                    </w:rPr>
                    <w:t>运输车辆必须为执行国六及以上排放标准车辆或者新能源汽车</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eastAsia="zh-CN"/>
                    </w:rPr>
                    <w:t>厂内装载机必须为执行国四及以上排放标准车辆或者新能源汽车</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eastAsia="zh-CN"/>
                    </w:rPr>
                    <w:t>运输车辆必须苫盖，无遗撒</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eastAsia="zh-CN"/>
                    </w:rPr>
                    <w:t>厂内及进厂道路</w:t>
                  </w:r>
                  <w:r>
                    <w:rPr>
                      <w:rFonts w:hint="eastAsia" w:cs="Times New Roman"/>
                      <w:color w:val="auto"/>
                      <w:sz w:val="21"/>
                      <w:szCs w:val="21"/>
                      <w:highlight w:val="none"/>
                      <w:lang w:eastAsia="zh-CN"/>
                    </w:rPr>
                    <w:t>全部硬化，</w:t>
                  </w:r>
                  <w:r>
                    <w:rPr>
                      <w:rFonts w:hint="eastAsia" w:ascii="Times New Roman" w:hAnsi="Times New Roman" w:cs="Times New Roman"/>
                      <w:color w:val="auto"/>
                      <w:sz w:val="21"/>
                      <w:szCs w:val="21"/>
                      <w:highlight w:val="none"/>
                      <w:lang w:eastAsia="zh-CN"/>
                    </w:rPr>
                    <w:t>及时清扫、定期洒水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restart"/>
                  <w:tcBorders>
                    <w:top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依托工程</w:t>
                  </w:r>
                </w:p>
              </w:tc>
              <w:tc>
                <w:tcPr>
                  <w:tcW w:w="1315" w:type="pct"/>
                  <w:gridSpan w:val="2"/>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eastAsia="zh-CN"/>
                    </w:rPr>
                  </w:pPr>
                  <w:r>
                    <w:rPr>
                      <w:rFonts w:hint="default" w:cs="Times New Roman"/>
                      <w:color w:val="auto"/>
                      <w:sz w:val="21"/>
                      <w:szCs w:val="21"/>
                      <w:highlight w:val="none"/>
                      <w:lang w:eastAsia="zh-CN"/>
                    </w:rPr>
                    <w:t>供电</w:t>
                  </w:r>
                </w:p>
              </w:tc>
              <w:tc>
                <w:tcPr>
                  <w:tcW w:w="326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依托山西中源拓森煤炭销售有限公司储煤场现有供电管线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eastAsia="zh-CN"/>
                    </w:rPr>
                  </w:pPr>
                </w:p>
              </w:tc>
              <w:tc>
                <w:tcPr>
                  <w:tcW w:w="1315" w:type="pct"/>
                  <w:gridSpan w:val="2"/>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eastAsia="zh-CN"/>
                    </w:rPr>
                  </w:pPr>
                  <w:r>
                    <w:rPr>
                      <w:rFonts w:hint="default" w:cs="Times New Roman"/>
                      <w:color w:val="auto"/>
                      <w:sz w:val="21"/>
                      <w:szCs w:val="21"/>
                      <w:highlight w:val="none"/>
                      <w:lang w:eastAsia="zh-CN"/>
                    </w:rPr>
                    <w:t>供水</w:t>
                  </w:r>
                </w:p>
              </w:tc>
              <w:tc>
                <w:tcPr>
                  <w:tcW w:w="326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依托山西中源拓森煤炭销售有限公司储煤场现有供水管线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eastAsia="zh-CN"/>
                    </w:rPr>
                  </w:pPr>
                </w:p>
              </w:tc>
              <w:tc>
                <w:tcPr>
                  <w:tcW w:w="1315" w:type="pct"/>
                  <w:gridSpan w:val="2"/>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eastAsia="zh-CN"/>
                    </w:rPr>
                    <w:t>办公生活区</w:t>
                  </w:r>
                </w:p>
              </w:tc>
              <w:tc>
                <w:tcPr>
                  <w:tcW w:w="326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依托</w:t>
                  </w:r>
                  <w:r>
                    <w:rPr>
                      <w:rFonts w:hint="eastAsia" w:cs="Times New Roman"/>
                      <w:color w:val="auto"/>
                      <w:sz w:val="21"/>
                      <w:szCs w:val="21"/>
                      <w:highlight w:val="none"/>
                      <w:lang w:val="en-US" w:eastAsia="zh-CN"/>
                    </w:rPr>
                    <w:t>山西中源拓森煤炭销售有限公司储煤场</w:t>
                  </w:r>
                  <w:r>
                    <w:rPr>
                      <w:rFonts w:hint="default" w:cs="Times New Roman"/>
                      <w:color w:val="auto"/>
                      <w:sz w:val="21"/>
                      <w:szCs w:val="21"/>
                      <w:highlight w:val="none"/>
                      <w:lang w:val="en-US" w:eastAsia="zh-CN"/>
                    </w:rPr>
                    <w:t>现有设施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eastAsia="zh-CN"/>
                    </w:rPr>
                  </w:pPr>
                </w:p>
              </w:tc>
              <w:tc>
                <w:tcPr>
                  <w:tcW w:w="1315" w:type="pct"/>
                  <w:gridSpan w:val="2"/>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cs="Times New Roman"/>
                      <w:color w:val="auto"/>
                      <w:sz w:val="21"/>
                      <w:szCs w:val="21"/>
                      <w:highlight w:val="none"/>
                      <w:lang w:eastAsia="zh-CN"/>
                    </w:rPr>
                  </w:pPr>
                  <w:r>
                    <w:rPr>
                      <w:rFonts w:hint="eastAsia" w:cs="Times New Roman"/>
                      <w:color w:val="auto"/>
                      <w:sz w:val="21"/>
                      <w:szCs w:val="21"/>
                      <w:highlight w:val="none"/>
                      <w:lang w:eastAsia="zh-CN"/>
                    </w:rPr>
                    <w:t>危废暂存间</w:t>
                  </w:r>
                </w:p>
              </w:tc>
              <w:tc>
                <w:tcPr>
                  <w:tcW w:w="326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eastAsia="zh-CN"/>
                    </w:rPr>
                    <w:t>依托</w:t>
                  </w:r>
                  <w:r>
                    <w:rPr>
                      <w:rFonts w:hint="eastAsia" w:cs="Times New Roman"/>
                      <w:color w:val="auto"/>
                      <w:sz w:val="21"/>
                      <w:szCs w:val="21"/>
                      <w:highlight w:val="none"/>
                      <w:lang w:val="en-US" w:eastAsia="zh-CN"/>
                    </w:rPr>
                    <w:t>山西中源拓森煤炭销售有限公司</w:t>
                  </w:r>
                  <w:r>
                    <w:rPr>
                      <w:rFonts w:hint="eastAsia" w:ascii="Times New Roman" w:hAnsi="Times New Roman" w:eastAsia="宋体" w:cs="Times New Roman"/>
                      <w:color w:val="auto"/>
                      <w:sz w:val="21"/>
                      <w:szCs w:val="21"/>
                      <w:highlight w:val="none"/>
                      <w:lang w:val="en-US" w:eastAsia="zh-CN"/>
                    </w:rPr>
                    <w:t>储煤场</w:t>
                  </w:r>
                  <w:r>
                    <w:rPr>
                      <w:rFonts w:hint="eastAsia" w:cs="Times New Roman"/>
                      <w:color w:val="auto"/>
                      <w:sz w:val="21"/>
                      <w:szCs w:val="21"/>
                      <w:highlight w:val="none"/>
                      <w:lang w:eastAsia="zh-CN"/>
                    </w:rPr>
                    <w:t>的</w:t>
                  </w:r>
                  <w:r>
                    <w:rPr>
                      <w:rFonts w:hint="eastAsia" w:ascii="Times New Roman" w:hAnsi="Times New Roman" w:cs="Times New Roman"/>
                      <w:color w:val="auto"/>
                      <w:sz w:val="21"/>
                      <w:szCs w:val="21"/>
                      <w:highlight w:val="none"/>
                      <w:lang w:eastAsia="zh-CN"/>
                    </w:rPr>
                    <w:t>一座</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lang w:eastAsia="zh-CN"/>
                    </w:rPr>
                    <w:t>的</w:t>
                  </w:r>
                  <w:r>
                    <w:rPr>
                      <w:rFonts w:hint="default" w:ascii="Times New Roman" w:hAnsi="Times New Roman" w:cs="Times New Roman"/>
                      <w:color w:val="auto"/>
                      <w:sz w:val="21"/>
                      <w:szCs w:val="21"/>
                      <w:highlight w:val="none"/>
                    </w:rPr>
                    <w:t>危废暂存间</w:t>
                  </w:r>
                  <w:r>
                    <w:rPr>
                      <w:rFonts w:hint="eastAsia" w:ascii="Times New Roman" w:hAnsi="Times New Roman" w:cs="Times New Roman"/>
                      <w:color w:val="auto"/>
                      <w:sz w:val="21"/>
                      <w:szCs w:val="21"/>
                      <w:highlight w:val="none"/>
                      <w:lang w:eastAsia="zh-CN"/>
                    </w:rPr>
                    <w:t>，用于收集废机油桶、废机油</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危险废物</w:t>
                  </w:r>
                  <w:r>
                    <w:rPr>
                      <w:rFonts w:hint="default" w:ascii="Times New Roman" w:hAnsi="Times New Roman" w:cs="Times New Roman"/>
                      <w:color w:val="auto"/>
                      <w:sz w:val="21"/>
                      <w:szCs w:val="21"/>
                      <w:highlight w:val="none"/>
                    </w:rPr>
                    <w:t>定期</w:t>
                  </w:r>
                  <w:r>
                    <w:rPr>
                      <w:rFonts w:hint="eastAsia" w:ascii="Times New Roman" w:hAnsi="Times New Roman" w:cs="Times New Roman"/>
                      <w:color w:val="auto"/>
                      <w:sz w:val="21"/>
                      <w:szCs w:val="21"/>
                      <w:highlight w:val="none"/>
                      <w:lang w:eastAsia="zh-CN"/>
                    </w:rPr>
                    <w:t>交</w:t>
                  </w:r>
                  <w:r>
                    <w:rPr>
                      <w:rFonts w:hint="default" w:ascii="Times New Roman" w:hAnsi="Times New Roman" w:cs="Times New Roman"/>
                      <w:color w:val="auto"/>
                      <w:sz w:val="21"/>
                      <w:szCs w:val="21"/>
                      <w:highlight w:val="none"/>
                    </w:rPr>
                    <w:t>由有资质的单位</w:t>
                  </w:r>
                  <w:r>
                    <w:rPr>
                      <w:rFonts w:hint="default" w:ascii="Times New Roman" w:hAnsi="Times New Roman" w:cs="Times New Roman"/>
                      <w:color w:val="auto"/>
                      <w:sz w:val="21"/>
                      <w:szCs w:val="21"/>
                      <w:highlight w:val="none"/>
                      <w:lang w:eastAsia="zh-CN"/>
                    </w:rPr>
                    <w:t>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eastAsia="zh-CN"/>
                    </w:rPr>
                  </w:pPr>
                </w:p>
              </w:tc>
              <w:tc>
                <w:tcPr>
                  <w:tcW w:w="1315" w:type="pct"/>
                  <w:gridSpan w:val="2"/>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cs="Times New Roman"/>
                      <w:color w:val="auto"/>
                      <w:sz w:val="21"/>
                      <w:szCs w:val="21"/>
                      <w:highlight w:val="none"/>
                      <w:lang w:eastAsia="zh-CN"/>
                    </w:rPr>
                  </w:pPr>
                  <w:r>
                    <w:rPr>
                      <w:rFonts w:hint="eastAsia" w:cs="Times New Roman"/>
                      <w:color w:val="auto"/>
                      <w:sz w:val="21"/>
                      <w:szCs w:val="21"/>
                      <w:highlight w:val="none"/>
                      <w:lang w:eastAsia="zh-CN"/>
                    </w:rPr>
                    <w:t>初期雨水收集池</w:t>
                  </w:r>
                </w:p>
              </w:tc>
              <w:tc>
                <w:tcPr>
                  <w:tcW w:w="326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依托现有的雨水收集池，现有雨水池位于厂区西北侧容积1座550m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初期雨水收集池，收集的初期雨水全部回用于</w:t>
                  </w:r>
                  <w:r>
                    <w:rPr>
                      <w:rFonts w:hint="eastAsia" w:cs="Times New Roman"/>
                      <w:color w:val="auto"/>
                      <w:sz w:val="21"/>
                      <w:szCs w:val="21"/>
                      <w:highlight w:val="none"/>
                      <w:lang w:val="en-US" w:eastAsia="zh-CN"/>
                    </w:rPr>
                    <w:t>山西中源拓森煤炭销售有限公司</w:t>
                  </w:r>
                  <w:r>
                    <w:rPr>
                      <w:rFonts w:hint="eastAsia" w:ascii="Times New Roman" w:hAnsi="Times New Roman" w:eastAsia="宋体" w:cs="Times New Roman"/>
                      <w:color w:val="auto"/>
                      <w:sz w:val="21"/>
                      <w:szCs w:val="21"/>
                      <w:highlight w:val="none"/>
                      <w:lang w:val="en-US" w:eastAsia="zh-CN"/>
                    </w:rPr>
                    <w:t>储煤场</w:t>
                  </w:r>
                  <w:r>
                    <w:rPr>
                      <w:rFonts w:hint="eastAsia" w:cs="Times New Roman"/>
                      <w:color w:val="auto"/>
                      <w:kern w:val="2"/>
                      <w:sz w:val="21"/>
                      <w:szCs w:val="21"/>
                      <w:highlight w:val="none"/>
                      <w:lang w:val="en-US" w:eastAsia="zh-CN" w:bidi="ar-SA"/>
                    </w:rPr>
                    <w:t>洒水抑尘，不外排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2" w:type="pct"/>
                  <w:vMerge w:val="continue"/>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eastAsia="zh-CN"/>
                    </w:rPr>
                  </w:pPr>
                </w:p>
              </w:tc>
              <w:tc>
                <w:tcPr>
                  <w:tcW w:w="1315" w:type="pct"/>
                  <w:gridSpan w:val="2"/>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cs="Times New Roman"/>
                      <w:color w:val="auto"/>
                      <w:sz w:val="21"/>
                      <w:szCs w:val="21"/>
                      <w:highlight w:val="none"/>
                      <w:lang w:eastAsia="zh-CN"/>
                    </w:rPr>
                  </w:pPr>
                  <w:r>
                    <w:rPr>
                      <w:rFonts w:hint="eastAsia" w:cs="Times New Roman"/>
                      <w:color w:val="auto"/>
                      <w:sz w:val="21"/>
                      <w:szCs w:val="21"/>
                      <w:highlight w:val="none"/>
                      <w:lang w:eastAsia="zh-CN"/>
                    </w:rPr>
                    <w:t>洗车平台</w:t>
                  </w:r>
                </w:p>
              </w:tc>
              <w:tc>
                <w:tcPr>
                  <w:tcW w:w="3261"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bidi="ar"/>
                    </w:rPr>
                    <w:t>利用</w:t>
                  </w:r>
                  <w:r>
                    <w:rPr>
                      <w:rFonts w:hint="eastAsia" w:cs="Times New Roman"/>
                      <w:color w:val="auto"/>
                      <w:sz w:val="21"/>
                      <w:szCs w:val="21"/>
                      <w:highlight w:val="none"/>
                      <w:lang w:val="en-US" w:eastAsia="zh-CN"/>
                    </w:rPr>
                    <w:t>山西中源拓森煤炭销售有限公司</w:t>
                  </w:r>
                  <w:r>
                    <w:rPr>
                      <w:rFonts w:hint="eastAsia" w:ascii="Times New Roman" w:hAnsi="Times New Roman" w:eastAsia="宋体" w:cs="Times New Roman"/>
                      <w:color w:val="auto"/>
                      <w:sz w:val="21"/>
                      <w:szCs w:val="21"/>
                      <w:highlight w:val="none"/>
                      <w:lang w:val="en-US" w:eastAsia="zh-CN"/>
                    </w:rPr>
                    <w:t>储煤场</w:t>
                  </w:r>
                  <w:r>
                    <w:rPr>
                      <w:rFonts w:hint="eastAsia" w:ascii="宋体" w:hAnsi="宋体" w:eastAsia="宋体" w:cs="Times New Roman"/>
                      <w:color w:val="auto"/>
                      <w:sz w:val="21"/>
                      <w:szCs w:val="21"/>
                      <w:highlight w:val="none"/>
                      <w:lang w:val="en-US" w:eastAsia="zh-CN" w:bidi="ar"/>
                    </w:rPr>
                    <w:t>建设</w:t>
                  </w:r>
                  <w:r>
                    <w:rPr>
                      <w:rFonts w:hint="eastAsia" w:ascii="宋体" w:hAnsi="宋体" w:cs="Times New Roman"/>
                      <w:color w:val="auto"/>
                      <w:sz w:val="21"/>
                      <w:szCs w:val="21"/>
                      <w:highlight w:val="none"/>
                      <w:lang w:val="en-US" w:eastAsia="zh-CN" w:bidi="ar"/>
                    </w:rPr>
                    <w:t>的</w:t>
                  </w:r>
                  <w:r>
                    <w:rPr>
                      <w:rFonts w:hint="eastAsia" w:ascii="宋体" w:hAnsi="宋体" w:eastAsia="宋体" w:cs="Times New Roman"/>
                      <w:color w:val="auto"/>
                      <w:sz w:val="21"/>
                      <w:szCs w:val="21"/>
                      <w:highlight w:val="none"/>
                      <w:lang w:val="en-US" w:eastAsia="zh-CN" w:bidi="ar"/>
                    </w:rPr>
                    <w:t>洗车平台，经沉淀后</w:t>
                  </w:r>
                  <w:r>
                    <w:rPr>
                      <w:rFonts w:hint="eastAsia" w:ascii="宋体" w:hAnsi="宋体" w:cs="Times New Roman"/>
                      <w:color w:val="auto"/>
                      <w:sz w:val="21"/>
                      <w:szCs w:val="21"/>
                      <w:highlight w:val="none"/>
                      <w:lang w:val="en-US" w:eastAsia="zh-CN" w:bidi="ar"/>
                    </w:rPr>
                    <w:t>回用于洗车，循环使用</w:t>
                  </w:r>
                  <w:r>
                    <w:rPr>
                      <w:rFonts w:hint="eastAsia" w:ascii="宋体" w:hAnsi="宋体" w:eastAsia="宋体" w:cs="Times New Roman"/>
                      <w:color w:val="auto"/>
                      <w:sz w:val="21"/>
                      <w:szCs w:val="21"/>
                      <w:highlight w:val="none"/>
                      <w:lang w:val="en-US" w:eastAsia="zh-CN" w:bidi="ar"/>
                    </w:rPr>
                    <w:t>，不外排</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both"/>
              <w:textAlignment w:val="auto"/>
              <w:rPr>
                <w:rFonts w:hint="eastAsia" w:eastAsia="宋体"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2</w:t>
            </w:r>
            <w:r>
              <w:rPr>
                <w:rFonts w:hint="eastAsia" w:eastAsia="宋体" w:cs="Times New Roman"/>
                <w:b/>
                <w:color w:val="auto"/>
                <w:kern w:val="0"/>
                <w:sz w:val="24"/>
                <w:szCs w:val="24"/>
                <w:highlight w:val="none"/>
                <w:lang w:val="en-US" w:eastAsia="zh-CN"/>
              </w:rPr>
              <w:t>、主要生产设备</w:t>
            </w:r>
          </w:p>
          <w:p>
            <w:pPr>
              <w:pStyle w:val="6"/>
              <w:spacing w:line="480" w:lineRule="exact"/>
              <w:ind w:left="0" w:leftChars="0" w:firstLine="480" w:firstLineChars="200"/>
              <w:jc w:val="left"/>
              <w:rPr>
                <w:rFonts w:hint="default" w:ascii="Times New Roman" w:hAnsi="Times New Roman" w:eastAsia="宋体" w:cs="Times New Roman"/>
                <w:b/>
                <w:bCs/>
                <w:color w:val="auto"/>
                <w:sz w:val="24"/>
                <w:szCs w:val="24"/>
                <w:highlight w:val="none"/>
              </w:rPr>
            </w:pPr>
            <w:r>
              <w:rPr>
                <w:rFonts w:hint="eastAsia" w:ascii="宋体" w:hAnsi="宋体"/>
                <w:color w:val="auto"/>
                <w:sz w:val="24"/>
                <w:szCs w:val="24"/>
                <w:highlight w:val="none"/>
              </w:rPr>
              <w:t>本项目主要生产</w:t>
            </w:r>
            <w:r>
              <w:rPr>
                <w:rFonts w:ascii="Times New Roman" w:hAnsi="Times New Roman"/>
                <w:color w:val="auto"/>
                <w:sz w:val="24"/>
                <w:szCs w:val="24"/>
                <w:highlight w:val="none"/>
              </w:rPr>
              <w:t>设备见</w:t>
            </w:r>
            <w:r>
              <w:rPr>
                <w:rFonts w:hint="eastAsia"/>
                <w:color w:val="auto"/>
                <w:sz w:val="24"/>
                <w:szCs w:val="24"/>
                <w:highlight w:val="none"/>
                <w:lang w:eastAsia="zh-CN"/>
              </w:rPr>
              <w:t>下</w:t>
            </w:r>
            <w:r>
              <w:rPr>
                <w:rFonts w:ascii="Times New Roman" w:hAnsi="Times New Roman"/>
                <w:color w:val="auto"/>
                <w:sz w:val="24"/>
                <w:szCs w:val="24"/>
                <w:highlight w:val="none"/>
              </w:rPr>
              <w:t>表。</w:t>
            </w:r>
          </w:p>
          <w:p>
            <w:pPr>
              <w:pStyle w:val="39"/>
              <w:bidi w:val="0"/>
              <w:rPr>
                <w:rFonts w:hint="default" w:ascii="Times New Roman" w:hAnsi="Times New Roman" w:cs="Times New Roman"/>
                <w:b/>
                <w:color w:val="auto"/>
                <w:kern w:val="10"/>
                <w:sz w:val="24"/>
                <w:szCs w:val="24"/>
                <w:highlight w:val="none"/>
              </w:rPr>
            </w:pPr>
            <w:r>
              <w:rPr>
                <w:rFonts w:hint="default" w:ascii="Times New Roman" w:hAnsi="Times New Roman" w:cs="Times New Roman"/>
                <w:b/>
                <w:color w:val="auto"/>
                <w:kern w:val="10"/>
                <w:sz w:val="24"/>
                <w:szCs w:val="24"/>
                <w:highlight w:val="none"/>
              </w:rPr>
              <w:t>表</w:t>
            </w:r>
            <w:r>
              <w:rPr>
                <w:rFonts w:hint="eastAsia"/>
                <w:b/>
                <w:color w:val="auto"/>
                <w:sz w:val="24"/>
                <w:szCs w:val="24"/>
                <w:highlight w:val="none"/>
                <w:lang w:val="en-US" w:eastAsia="zh-CN"/>
              </w:rPr>
              <w:t>2-2</w:t>
            </w:r>
            <w:r>
              <w:rPr>
                <w:rFonts w:hint="default" w:ascii="Times New Roman" w:hAnsi="Times New Roman" w:cs="Times New Roman"/>
                <w:b/>
                <w:color w:val="auto"/>
                <w:kern w:val="10"/>
                <w:sz w:val="24"/>
                <w:szCs w:val="24"/>
                <w:highlight w:val="none"/>
              </w:rPr>
              <w:t xml:space="preserve">  </w:t>
            </w:r>
            <w:r>
              <w:rPr>
                <w:rFonts w:hint="eastAsia" w:ascii="Times New Roman" w:hAnsi="Times New Roman" w:cs="Times New Roman"/>
                <w:b/>
                <w:color w:val="auto"/>
                <w:kern w:val="10"/>
                <w:sz w:val="24"/>
                <w:szCs w:val="24"/>
                <w:highlight w:val="none"/>
                <w:lang w:val="en-US" w:eastAsia="zh-CN"/>
              </w:rPr>
              <w:t xml:space="preserve">   </w:t>
            </w:r>
            <w:r>
              <w:rPr>
                <w:rFonts w:hint="default" w:ascii="Times New Roman" w:hAnsi="Times New Roman" w:cs="Times New Roman"/>
                <w:b/>
                <w:color w:val="auto"/>
                <w:kern w:val="10"/>
                <w:sz w:val="24"/>
                <w:szCs w:val="24"/>
                <w:highlight w:val="none"/>
              </w:rPr>
              <w:t xml:space="preserve"> 主要生产设备一览表</w:t>
            </w:r>
          </w:p>
          <w:tbl>
            <w:tblPr>
              <w:tblStyle w:val="22"/>
              <w:tblW w:w="486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206"/>
              <w:gridCol w:w="1971"/>
              <w:gridCol w:w="2870"/>
              <w:gridCol w:w="793"/>
              <w:gridCol w:w="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191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设备名称</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eastAsia="宋体" w:cs="Times New Roman"/>
                      <w:b/>
                      <w:color w:val="auto"/>
                      <w:sz w:val="21"/>
                      <w:szCs w:val="21"/>
                      <w:highlight w:val="none"/>
                      <w:lang w:eastAsia="zh-CN"/>
                    </w:rPr>
                  </w:pPr>
                  <w:r>
                    <w:rPr>
                      <w:rFonts w:hint="eastAsia" w:ascii="Times New Roman" w:hAnsi="Times New Roman" w:cs="Times New Roman"/>
                      <w:b/>
                      <w:color w:val="auto"/>
                      <w:sz w:val="21"/>
                      <w:szCs w:val="21"/>
                      <w:highlight w:val="none"/>
                      <w:lang w:eastAsia="zh-CN"/>
                    </w:rPr>
                    <w:t>主要型号参数</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单位</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宋体"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供热工段</w:t>
                  </w: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宋体" w:cs="宋体"/>
                      <w:bCs/>
                      <w:color w:val="auto"/>
                      <w:sz w:val="21"/>
                      <w:szCs w:val="21"/>
                      <w:highlight w:val="none"/>
                      <w:lang w:eastAsia="zh-CN" w:bidi="ar"/>
                    </w:rPr>
                  </w:pPr>
                  <w:r>
                    <w:rPr>
                      <w:rFonts w:hint="eastAsia" w:cs="宋体"/>
                      <w:bCs/>
                      <w:color w:val="auto"/>
                      <w:sz w:val="21"/>
                      <w:szCs w:val="21"/>
                      <w:highlight w:val="none"/>
                      <w:lang w:eastAsia="zh-CN" w:bidi="ar"/>
                    </w:rPr>
                    <w:t>热风炉</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宋体"/>
                      <w:bCs/>
                      <w:color w:val="auto"/>
                      <w:sz w:val="21"/>
                      <w:szCs w:val="21"/>
                      <w:highlight w:val="none"/>
                      <w:lang w:val="en-US" w:eastAsia="zh-CN" w:bidi="ar"/>
                    </w:rPr>
                  </w:pPr>
                  <w:r>
                    <w:rPr>
                      <w:rFonts w:hint="eastAsia" w:cs="宋体"/>
                      <w:bCs/>
                      <w:color w:val="auto"/>
                      <w:sz w:val="21"/>
                      <w:szCs w:val="21"/>
                      <w:highlight w:val="none"/>
                      <w:lang w:val="en-US" w:eastAsia="zh-CN" w:bidi="ar"/>
                    </w:rPr>
                    <w:t>300万大卡</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7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缓冲给料装置</w:t>
                  </w: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val="en-US" w:eastAsia="zh-CN" w:bidi="ar"/>
                    </w:rPr>
                    <w:t>喂料机构</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DWS3000-2，N=22×2=44kw，变频控制</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扶手、楼梯、平台、护栏</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宋体"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非标，钢制钢构件，材质：Q235</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套</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皮带输送机</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PDJ1000型，带宽1000mm</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电动机</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φ630×1150mm，N=15kw</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eastAsia="zh-CN" w:bidi="ar"/>
                    </w:rPr>
                    <w:t>从动滚筒</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φ420×1150mm</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7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干燥滚筒</w:t>
                  </w: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给料端头</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eastAsia="zh-CN" w:bidi="ar"/>
                    </w:rPr>
                    <w:t>PDJ1000型，功率</w:t>
                  </w:r>
                  <w:r>
                    <w:rPr>
                      <w:rFonts w:hint="eastAsia" w:ascii="Times New Roman" w:hAnsi="Times New Roman" w:cs="宋体"/>
                      <w:bCs/>
                      <w:color w:val="auto"/>
                      <w:sz w:val="21"/>
                      <w:szCs w:val="21"/>
                      <w:highlight w:val="none"/>
                      <w:lang w:val="en-US" w:eastAsia="zh-CN" w:bidi="ar"/>
                    </w:rPr>
                    <w:t>11kw</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default" w:ascii="Times New Roman" w:hAnsi="Times New Roman" w:cs="宋体"/>
                      <w:bCs/>
                      <w:color w:val="auto"/>
                      <w:sz w:val="21"/>
                      <w:szCs w:val="21"/>
                      <w:highlight w:val="none"/>
                      <w:lang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default" w:ascii="Times New Roman" w:hAnsi="Times New Roman" w:cs="宋体"/>
                      <w:bCs/>
                      <w:color w:val="auto"/>
                      <w:sz w:val="21"/>
                      <w:szCs w:val="21"/>
                      <w:highlight w:val="none"/>
                      <w:lang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螺旋推进器</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LT</w:t>
                  </w:r>
                  <w:r>
                    <w:rPr>
                      <w:rFonts w:hint="eastAsia" w:ascii="Times New Roman" w:hAnsi="Times New Roman" w:cs="宋体"/>
                      <w:bCs/>
                      <w:color w:val="auto"/>
                      <w:sz w:val="21"/>
                      <w:szCs w:val="21"/>
                      <w:highlight w:val="none"/>
                      <w:lang w:val="en-US" w:eastAsia="zh-CN" w:bidi="ar"/>
                    </w:rPr>
                    <w:t>2828，</w:t>
                  </w:r>
                  <w:r>
                    <w:rPr>
                      <w:rFonts w:hint="eastAsia" w:ascii="Times New Roman" w:hAnsi="Times New Roman" w:cs="宋体"/>
                      <w:bCs/>
                      <w:color w:val="auto"/>
                      <w:sz w:val="21"/>
                      <w:szCs w:val="21"/>
                      <w:highlight w:val="none"/>
                      <w:lang w:eastAsia="zh-CN" w:bidi="ar"/>
                    </w:rPr>
                    <w:t>钢制结</w:t>
                  </w:r>
                  <w:r>
                    <w:rPr>
                      <w:rFonts w:hint="eastAsia" w:ascii="Times New Roman" w:hAnsi="Times New Roman" w:cs="宋体"/>
                      <w:bCs/>
                      <w:color w:val="auto"/>
                      <w:sz w:val="21"/>
                      <w:szCs w:val="21"/>
                      <w:highlight w:val="none"/>
                      <w:lang w:val="en-US" w:eastAsia="zh-CN" w:bidi="ar"/>
                    </w:rPr>
                    <w:t>2828</w:t>
                  </w:r>
                  <w:r>
                    <w:rPr>
                      <w:rFonts w:hint="eastAsia" w:ascii="Times New Roman" w:hAnsi="Times New Roman" w:cs="宋体"/>
                      <w:bCs/>
                      <w:color w:val="auto"/>
                      <w:sz w:val="21"/>
                      <w:szCs w:val="21"/>
                      <w:highlight w:val="none"/>
                      <w:lang w:eastAsia="zh-CN" w:bidi="ar"/>
                    </w:rPr>
                    <w:t>构</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套</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滚筒干燥机</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DLMG</w:t>
                  </w:r>
                  <w:r>
                    <w:rPr>
                      <w:rFonts w:hint="eastAsia" w:ascii="Times New Roman" w:hAnsi="Times New Roman" w:cs="宋体"/>
                      <w:bCs/>
                      <w:color w:val="auto"/>
                      <w:sz w:val="21"/>
                      <w:szCs w:val="21"/>
                      <w:highlight w:val="none"/>
                      <w:lang w:val="en-US" w:eastAsia="zh-CN" w:bidi="ar"/>
                    </w:rPr>
                    <w:t>2828，</w:t>
                  </w:r>
                  <w:r>
                    <w:rPr>
                      <w:rFonts w:hint="eastAsia" w:ascii="Times New Roman" w:hAnsi="Times New Roman" w:cs="宋体"/>
                      <w:bCs/>
                      <w:color w:val="auto"/>
                      <w:sz w:val="21"/>
                      <w:szCs w:val="21"/>
                      <w:highlight w:val="none"/>
                      <w:lang w:eastAsia="zh-CN" w:bidi="ar"/>
                    </w:rPr>
                    <w:t>材质厚度</w:t>
                  </w:r>
                  <w:r>
                    <w:rPr>
                      <w:rFonts w:hint="eastAsia" w:ascii="Times New Roman" w:hAnsi="Times New Roman" w:cs="宋体"/>
                      <w:bCs/>
                      <w:color w:val="auto"/>
                      <w:sz w:val="21"/>
                      <w:szCs w:val="21"/>
                      <w:highlight w:val="none"/>
                      <w:lang w:val="en-US" w:eastAsia="zh-CN" w:bidi="ar"/>
                    </w:rPr>
                    <w:t>18</w:t>
                  </w:r>
                  <w:r>
                    <w:rPr>
                      <w:rFonts w:hint="eastAsia" w:ascii="Times New Roman" w:hAnsi="Times New Roman" w:cs="宋体"/>
                      <w:bCs/>
                      <w:color w:val="auto"/>
                      <w:sz w:val="21"/>
                      <w:szCs w:val="21"/>
                      <w:highlight w:val="none"/>
                      <w:lang w:eastAsia="zh-CN" w:bidi="ar"/>
                    </w:rPr>
                    <w:t>mm</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val="en-US" w:eastAsia="zh-CN" w:bidi="ar"/>
                    </w:rPr>
                    <w:t>套</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滚筒保温</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BW</w:t>
                  </w:r>
                  <w:r>
                    <w:rPr>
                      <w:rFonts w:hint="eastAsia" w:ascii="Times New Roman" w:hAnsi="Times New Roman" w:cs="宋体"/>
                      <w:bCs/>
                      <w:color w:val="auto"/>
                      <w:sz w:val="21"/>
                      <w:szCs w:val="21"/>
                      <w:highlight w:val="none"/>
                      <w:lang w:val="en-US" w:eastAsia="zh-CN" w:bidi="ar"/>
                    </w:rPr>
                    <w:t>2828，</w:t>
                  </w:r>
                  <w:r>
                    <w:rPr>
                      <w:rFonts w:hint="eastAsia" w:ascii="Times New Roman" w:hAnsi="Times New Roman" w:cs="宋体"/>
                      <w:bCs/>
                      <w:color w:val="auto"/>
                      <w:sz w:val="21"/>
                      <w:szCs w:val="21"/>
                      <w:highlight w:val="none"/>
                      <w:lang w:eastAsia="zh-CN" w:bidi="ar"/>
                    </w:rPr>
                    <w:t>材质：组合件</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val="en-US" w:eastAsia="zh-CN" w:bidi="ar"/>
                    </w:rPr>
                    <w:t>套</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减速机</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ZSY</w:t>
                  </w:r>
                  <w:r>
                    <w:rPr>
                      <w:rFonts w:hint="eastAsia" w:ascii="Times New Roman" w:hAnsi="Times New Roman" w:cs="宋体"/>
                      <w:bCs/>
                      <w:color w:val="auto"/>
                      <w:sz w:val="21"/>
                      <w:szCs w:val="21"/>
                      <w:highlight w:val="none"/>
                      <w:lang w:val="en-US" w:eastAsia="zh-CN" w:bidi="ar"/>
                    </w:rPr>
                    <w:t>6</w:t>
                  </w:r>
                  <w:r>
                    <w:rPr>
                      <w:rFonts w:hint="eastAsia" w:ascii="Times New Roman" w:hAnsi="Times New Roman" w:cs="宋体"/>
                      <w:bCs/>
                      <w:color w:val="auto"/>
                      <w:sz w:val="21"/>
                      <w:szCs w:val="21"/>
                      <w:highlight w:val="none"/>
                      <w:lang w:eastAsia="zh-CN" w:bidi="ar"/>
                    </w:rPr>
                    <w:t>55，材质：组合件</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电机</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N=</w:t>
                  </w:r>
                  <w:r>
                    <w:rPr>
                      <w:rFonts w:hint="eastAsia" w:ascii="Times New Roman" w:hAnsi="Times New Roman" w:cs="宋体"/>
                      <w:bCs/>
                      <w:color w:val="auto"/>
                      <w:sz w:val="21"/>
                      <w:szCs w:val="21"/>
                      <w:highlight w:val="none"/>
                      <w:lang w:val="en-US" w:eastAsia="zh-CN" w:bidi="ar"/>
                    </w:rPr>
                    <w:t>132</w:t>
                  </w:r>
                  <w:r>
                    <w:rPr>
                      <w:rFonts w:hint="eastAsia" w:ascii="Times New Roman" w:hAnsi="Times New Roman" w:cs="宋体"/>
                      <w:bCs/>
                      <w:color w:val="auto"/>
                      <w:sz w:val="21"/>
                      <w:szCs w:val="21"/>
                      <w:highlight w:val="none"/>
                      <w:lang w:eastAsia="zh-CN" w:bidi="ar"/>
                    </w:rPr>
                    <w:t>KW，电压等级采用380V，变频控制</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排气箱</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宋体" w:cs="宋体"/>
                      <w:bCs/>
                      <w:color w:val="auto"/>
                      <w:sz w:val="21"/>
                      <w:szCs w:val="21"/>
                      <w:highlight w:val="none"/>
                      <w:lang w:eastAsia="zh-CN" w:bidi="ar"/>
                    </w:rPr>
                  </w:pPr>
                  <w:r>
                    <w:rPr>
                      <w:rFonts w:hint="eastAsia" w:ascii="Times New Roman" w:hAnsi="Times New Roman" w:cs="宋体"/>
                      <w:bCs/>
                      <w:color w:val="auto"/>
                      <w:sz w:val="21"/>
                      <w:szCs w:val="21"/>
                      <w:highlight w:val="none"/>
                      <w:lang w:val="en-US" w:eastAsia="zh-CN" w:bidi="ar"/>
                    </w:rPr>
                    <w:t>非标、金属结构件，材质：Q235</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内部打散清扫装置</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r>
                    <w:rPr>
                      <w:rFonts w:hint="eastAsia" w:ascii="Times New Roman" w:hAnsi="Times New Roman" w:cs="宋体"/>
                      <w:bCs/>
                      <w:color w:val="auto"/>
                      <w:sz w:val="21"/>
                      <w:szCs w:val="21"/>
                      <w:highlight w:val="none"/>
                      <w:lang w:eastAsia="zh-CN" w:bidi="ar"/>
                    </w:rPr>
                    <w:t>非标、金属结构件，材质：Q235</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套</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7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出料皮带机</w:t>
                  </w: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皮带输送机</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PDJ1000型，带宽1000mm，折弯式皮带机</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default"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bCs/>
                      <w:color w:val="auto"/>
                      <w:sz w:val="21"/>
                      <w:szCs w:val="21"/>
                      <w:highlight w:val="none"/>
                      <w:lang w:val="en-US" w:eastAsia="zh-CN" w:bidi="ar"/>
                    </w:rPr>
                  </w:pPr>
                  <w:r>
                    <w:rPr>
                      <w:rFonts w:hint="default" w:ascii="Times New Roman" w:hAnsi="Times New Roman" w:cs="Times New Roman"/>
                      <w:color w:val="auto"/>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电动机</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φ630×1150，N=7.5kw，电机外置</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从动滚筒</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φ420×1150mm</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cs="宋体"/>
                      <w:bCs/>
                      <w:color w:val="auto"/>
                      <w:sz w:val="21"/>
                      <w:szCs w:val="21"/>
                      <w:highlight w:val="none"/>
                      <w:lang w:val="en-US" w:eastAsia="zh-CN" w:bidi="ar"/>
                    </w:rPr>
                    <w:t>5</w:t>
                  </w:r>
                </w:p>
              </w:tc>
              <w:tc>
                <w:tcPr>
                  <w:tcW w:w="7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引风系统</w:t>
                  </w: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引风机</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Y8-39-14D，材质：组合件</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default"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default" w:ascii="Times New Roman" w:hAnsi="Times New Roman" w:cs="宋体"/>
                      <w:bCs/>
                      <w:color w:val="auto"/>
                      <w:sz w:val="21"/>
                      <w:szCs w:val="21"/>
                      <w:highlight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p>
              </w:tc>
              <w:tc>
                <w:tcPr>
                  <w:tcW w:w="7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电机</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电压等级380V，N=160kw，变频控制</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套</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default" w:ascii="Times New Roman" w:hAnsi="Times New Roman" w:cs="宋体"/>
                      <w:bCs/>
                      <w:color w:val="auto"/>
                      <w:sz w:val="21"/>
                      <w:szCs w:val="21"/>
                      <w:highlight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cs="宋体"/>
                      <w:bCs/>
                      <w:color w:val="auto"/>
                      <w:sz w:val="21"/>
                      <w:szCs w:val="21"/>
                      <w:highlight w:val="none"/>
                      <w:lang w:val="en-US" w:eastAsia="zh-CN" w:bidi="ar"/>
                    </w:rPr>
                    <w:t>6</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cs="宋体"/>
                      <w:bCs/>
                      <w:color w:val="auto"/>
                      <w:sz w:val="21"/>
                      <w:szCs w:val="21"/>
                      <w:highlight w:val="none"/>
                      <w:lang w:val="en-US" w:eastAsia="zh-CN" w:bidi="ar"/>
                    </w:rPr>
                    <w:t>电控</w:t>
                  </w:r>
                  <w:r>
                    <w:rPr>
                      <w:rFonts w:hint="eastAsia" w:ascii="Times New Roman" w:hAnsi="Times New Roman" w:cs="宋体"/>
                      <w:bCs/>
                      <w:color w:val="auto"/>
                      <w:sz w:val="21"/>
                      <w:szCs w:val="21"/>
                      <w:highlight w:val="none"/>
                      <w:lang w:val="en-US" w:eastAsia="zh-CN" w:bidi="ar"/>
                    </w:rPr>
                    <w:t>系统</w:t>
                  </w: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宋体" w:cs="宋体"/>
                      <w:bCs/>
                      <w:color w:val="auto"/>
                      <w:kern w:val="2"/>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电控</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宋体" w:cs="宋体"/>
                      <w:bCs/>
                      <w:color w:val="auto"/>
                      <w:kern w:val="2"/>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XL，正泰电器元件</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宋体" w:cs="宋体"/>
                      <w:bCs/>
                      <w:color w:val="auto"/>
                      <w:kern w:val="2"/>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eastAsia="宋体" w:cs="宋体"/>
                      <w:bCs/>
                      <w:color w:val="auto"/>
                      <w:kern w:val="2"/>
                      <w:sz w:val="21"/>
                      <w:szCs w:val="21"/>
                      <w:highlight w:val="none"/>
                      <w:lang w:val="en-US" w:eastAsia="zh-CN" w:bidi="ar"/>
                    </w:rPr>
                  </w:pPr>
                  <w:r>
                    <w:rPr>
                      <w:rFonts w:hint="eastAsia" w:ascii="Times New Roman" w:hAnsi="Times New Roman" w:cs="宋体"/>
                      <w:bCs/>
                      <w:color w:val="auto"/>
                      <w:sz w:val="21"/>
                      <w:szCs w:val="21"/>
                      <w:highlight w:val="none"/>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cs="宋体"/>
                      <w:bCs/>
                      <w:color w:val="auto"/>
                      <w:sz w:val="21"/>
                      <w:szCs w:val="21"/>
                      <w:highlight w:val="none"/>
                      <w:lang w:val="en-US" w:eastAsia="zh-CN" w:bidi="ar"/>
                    </w:rPr>
                  </w:pPr>
                  <w:r>
                    <w:rPr>
                      <w:rFonts w:hint="eastAsia" w:cs="宋体"/>
                      <w:bCs/>
                      <w:color w:val="auto"/>
                      <w:sz w:val="21"/>
                      <w:szCs w:val="21"/>
                      <w:highlight w:val="none"/>
                      <w:lang w:val="en-US" w:eastAsia="zh-CN" w:bidi="ar"/>
                    </w:rPr>
                    <w:t>7</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cs="宋体"/>
                      <w:bCs/>
                      <w:color w:val="auto"/>
                      <w:sz w:val="21"/>
                      <w:szCs w:val="21"/>
                      <w:highlight w:val="none"/>
                      <w:lang w:val="en-US" w:eastAsia="zh-CN" w:bidi="ar"/>
                    </w:rPr>
                  </w:pPr>
                  <w:r>
                    <w:rPr>
                      <w:rFonts w:hint="eastAsia" w:cs="宋体"/>
                      <w:bCs/>
                      <w:color w:val="auto"/>
                      <w:sz w:val="21"/>
                      <w:szCs w:val="21"/>
                      <w:highlight w:val="none"/>
                      <w:lang w:val="en-US" w:eastAsia="zh-CN" w:bidi="ar"/>
                    </w:rPr>
                    <w:t>装卸</w:t>
                  </w: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cs="宋体"/>
                      <w:bCs/>
                      <w:color w:val="auto"/>
                      <w:sz w:val="21"/>
                      <w:szCs w:val="21"/>
                      <w:highlight w:val="none"/>
                      <w:lang w:val="en-US" w:eastAsia="zh-CN" w:bidi="ar"/>
                    </w:rPr>
                    <w:t>装载机（国四）</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cs="宋体"/>
                      <w:bCs/>
                      <w:color w:val="auto"/>
                      <w:sz w:val="21"/>
                      <w:szCs w:val="21"/>
                      <w:highlight w:val="none"/>
                      <w:lang w:val="en-US" w:eastAsia="zh-CN" w:bidi="ar"/>
                    </w:rPr>
                    <w:t>50型</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宋体"/>
                      <w:bCs/>
                      <w:color w:val="auto"/>
                      <w:sz w:val="21"/>
                      <w:szCs w:val="21"/>
                      <w:highlight w:val="none"/>
                      <w:lang w:val="en-US" w:eastAsia="zh-CN" w:bidi="ar"/>
                    </w:rPr>
                  </w:pPr>
                  <w:r>
                    <w:rPr>
                      <w:rFonts w:hint="eastAsia"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宋体"/>
                      <w:bCs/>
                      <w:color w:val="auto"/>
                      <w:sz w:val="21"/>
                      <w:szCs w:val="21"/>
                      <w:highlight w:val="none"/>
                      <w:lang w:val="en-US" w:eastAsia="zh-CN" w:bidi="ar"/>
                    </w:rPr>
                  </w:pPr>
                  <w:r>
                    <w:rPr>
                      <w:rFonts w:hint="eastAsia" w:cs="宋体"/>
                      <w:bCs/>
                      <w:color w:val="auto"/>
                      <w:sz w:val="21"/>
                      <w:szCs w:val="21"/>
                      <w:highlight w:val="none"/>
                      <w:lang w:val="en-US" w:eastAsia="zh-CN"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cs="宋体"/>
                      <w:bCs/>
                      <w:color w:val="auto"/>
                      <w:sz w:val="21"/>
                      <w:szCs w:val="21"/>
                      <w:highlight w:val="none"/>
                      <w:lang w:val="en-US" w:eastAsia="zh-CN" w:bidi="ar"/>
                    </w:rPr>
                  </w:pPr>
                  <w:r>
                    <w:rPr>
                      <w:rFonts w:hint="eastAsia" w:cs="宋体"/>
                      <w:bCs/>
                      <w:color w:val="auto"/>
                      <w:sz w:val="21"/>
                      <w:szCs w:val="21"/>
                      <w:highlight w:val="none"/>
                      <w:lang w:val="en-US" w:eastAsia="zh-CN" w:bidi="ar"/>
                    </w:rPr>
                    <w:t>8</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cs="宋体"/>
                      <w:bCs/>
                      <w:color w:val="auto"/>
                      <w:sz w:val="21"/>
                      <w:szCs w:val="21"/>
                      <w:highlight w:val="none"/>
                      <w:lang w:val="en-US" w:eastAsia="zh-CN" w:bidi="ar"/>
                    </w:rPr>
                  </w:pPr>
                  <w:r>
                    <w:rPr>
                      <w:rFonts w:hint="eastAsia" w:cs="宋体"/>
                      <w:bCs/>
                      <w:color w:val="auto"/>
                      <w:sz w:val="21"/>
                      <w:szCs w:val="21"/>
                      <w:highlight w:val="none"/>
                      <w:lang w:val="en-US" w:eastAsia="zh-CN" w:bidi="ar"/>
                    </w:rPr>
                    <w:t>装卸</w:t>
                  </w:r>
                </w:p>
              </w:tc>
              <w:tc>
                <w:tcPr>
                  <w:tcW w:w="11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cs="宋体"/>
                      <w:bCs/>
                      <w:color w:val="auto"/>
                      <w:sz w:val="21"/>
                      <w:szCs w:val="21"/>
                      <w:highlight w:val="none"/>
                      <w:lang w:val="en-US" w:eastAsia="zh-CN" w:bidi="ar"/>
                    </w:rPr>
                  </w:pPr>
                  <w:r>
                    <w:rPr>
                      <w:rFonts w:hint="eastAsia" w:cs="宋体"/>
                      <w:bCs/>
                      <w:color w:val="auto"/>
                      <w:sz w:val="21"/>
                      <w:szCs w:val="21"/>
                      <w:highlight w:val="none"/>
                      <w:lang w:val="en-US" w:eastAsia="zh-CN" w:bidi="ar"/>
                    </w:rPr>
                    <w:t>雾炮</w:t>
                  </w:r>
                </w:p>
              </w:tc>
              <w:tc>
                <w:tcPr>
                  <w:tcW w:w="17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cs="宋体"/>
                      <w:bCs/>
                      <w:color w:val="auto"/>
                      <w:sz w:val="21"/>
                      <w:szCs w:val="21"/>
                      <w:highlight w:val="none"/>
                      <w:lang w:val="en-US" w:eastAsia="zh-CN" w:bidi="ar"/>
                    </w:rPr>
                  </w:pPr>
                  <w:r>
                    <w:rPr>
                      <w:rFonts w:hint="eastAsia" w:cs="宋体"/>
                      <w:bCs/>
                      <w:color w:val="auto"/>
                      <w:sz w:val="21"/>
                      <w:szCs w:val="21"/>
                      <w:highlight w:val="none"/>
                      <w:lang w:val="en-US" w:eastAsia="zh-CN" w:bidi="ar"/>
                    </w:rPr>
                    <w:t>/</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eastAsia" w:cs="宋体"/>
                      <w:bCs/>
                      <w:color w:val="auto"/>
                      <w:sz w:val="21"/>
                      <w:szCs w:val="21"/>
                      <w:highlight w:val="none"/>
                      <w:lang w:val="en-US" w:eastAsia="zh-CN" w:bidi="ar"/>
                    </w:rPr>
                  </w:pPr>
                  <w:r>
                    <w:rPr>
                      <w:rFonts w:hint="eastAsia" w:cs="宋体"/>
                      <w:bCs/>
                      <w:color w:val="auto"/>
                      <w:sz w:val="21"/>
                      <w:szCs w:val="21"/>
                      <w:highlight w:val="none"/>
                      <w:lang w:val="en-US" w:eastAsia="zh-CN" w:bidi="ar"/>
                    </w:rPr>
                    <w:t>台</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cs="宋体"/>
                      <w:bCs/>
                      <w:color w:val="auto"/>
                      <w:sz w:val="21"/>
                      <w:szCs w:val="21"/>
                      <w:highlight w:val="none"/>
                      <w:lang w:val="en-US" w:eastAsia="zh-CN" w:bidi="ar"/>
                    </w:rPr>
                  </w:pPr>
                  <w:r>
                    <w:rPr>
                      <w:rFonts w:hint="eastAsia" w:cs="宋体"/>
                      <w:bCs/>
                      <w:color w:val="auto"/>
                      <w:sz w:val="21"/>
                      <w:szCs w:val="21"/>
                      <w:highlight w:val="none"/>
                      <w:lang w:val="en-US" w:eastAsia="zh-CN" w:bidi="ar"/>
                    </w:rPr>
                    <w:t>2</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宋体"/>
                <w:bCs/>
                <w:color w:val="auto"/>
                <w:sz w:val="24"/>
                <w:szCs w:val="24"/>
                <w:highlight w:val="none"/>
                <w:lang w:bidi="ar"/>
              </w:rPr>
            </w:pPr>
            <w:r>
              <w:rPr>
                <w:rFonts w:hint="eastAsia" w:ascii="Times New Roman" w:hAnsi="Times New Roman" w:cs="宋体"/>
                <w:bCs/>
                <w:color w:val="auto"/>
                <w:sz w:val="24"/>
                <w:szCs w:val="24"/>
                <w:highlight w:val="none"/>
                <w:lang w:bidi="ar"/>
              </w:rPr>
              <w:t>本项目主要为干燥煤泥中的水分，水的比热容约为</w:t>
            </w:r>
            <w:r>
              <w:rPr>
                <w:rFonts w:hint="eastAsia" w:cs="宋体"/>
                <w:bCs/>
                <w:color w:val="auto"/>
                <w:sz w:val="24"/>
                <w:szCs w:val="24"/>
                <w:highlight w:val="none"/>
                <w:lang w:val="en-US" w:eastAsia="zh-CN" w:bidi="ar"/>
              </w:rPr>
              <w:t>4.2KJ</w:t>
            </w:r>
            <w:r>
              <w:rPr>
                <w:rFonts w:hint="eastAsia" w:ascii="Times New Roman" w:hAnsi="Times New Roman" w:cs="宋体"/>
                <w:bCs/>
                <w:color w:val="auto"/>
                <w:sz w:val="24"/>
                <w:szCs w:val="24"/>
                <w:highlight w:val="none"/>
                <w:lang w:bidi="ar"/>
              </w:rPr>
              <w:t>/kg</w:t>
            </w:r>
            <w:r>
              <w:rPr>
                <w:rFonts w:hint="eastAsia" w:cs="宋体"/>
                <w:bCs/>
                <w:color w:val="auto"/>
                <w:sz w:val="24"/>
                <w:szCs w:val="24"/>
                <w:highlight w:val="none"/>
                <w:lang w:val="en-US" w:eastAsia="zh-CN" w:bidi="ar"/>
              </w:rPr>
              <w:t>·</w:t>
            </w:r>
            <w:r>
              <w:rPr>
                <w:rFonts w:hint="eastAsia" w:ascii="Times New Roman" w:hAnsi="Times New Roman" w:cs="宋体"/>
                <w:bCs/>
                <w:color w:val="auto"/>
                <w:sz w:val="24"/>
                <w:szCs w:val="24"/>
                <w:highlight w:val="none"/>
                <w:lang w:bidi="ar"/>
              </w:rPr>
              <w:t>℃，一般进料温度按照</w:t>
            </w:r>
            <w:r>
              <w:rPr>
                <w:rFonts w:hint="eastAsia" w:cs="宋体"/>
                <w:bCs/>
                <w:color w:val="auto"/>
                <w:sz w:val="24"/>
                <w:szCs w:val="24"/>
                <w:highlight w:val="none"/>
                <w:lang w:val="en-US" w:eastAsia="zh-CN" w:bidi="ar"/>
              </w:rPr>
              <w:t>1</w:t>
            </w:r>
            <w:r>
              <w:rPr>
                <w:rFonts w:hint="eastAsia" w:ascii="Times New Roman" w:hAnsi="Times New Roman" w:cs="宋体"/>
                <w:bCs/>
                <w:color w:val="auto"/>
                <w:sz w:val="24"/>
                <w:szCs w:val="24"/>
                <w:highlight w:val="none"/>
                <w:lang w:bidi="ar"/>
              </w:rPr>
              <w:t>0℃计算，煤泥中的</w:t>
            </w:r>
            <w:r>
              <w:rPr>
                <w:rFonts w:hint="eastAsia" w:cs="宋体"/>
                <w:bCs/>
                <w:color w:val="auto"/>
                <w:sz w:val="24"/>
                <w:szCs w:val="24"/>
                <w:highlight w:val="none"/>
                <w:lang w:eastAsia="zh-CN" w:bidi="ar"/>
              </w:rPr>
              <w:t>水分</w:t>
            </w:r>
            <w:r>
              <w:rPr>
                <w:rFonts w:hint="eastAsia" w:ascii="Times New Roman" w:hAnsi="Times New Roman" w:cs="宋体"/>
                <w:bCs/>
                <w:color w:val="auto"/>
                <w:sz w:val="24"/>
                <w:szCs w:val="24"/>
                <w:highlight w:val="none"/>
                <w:lang w:bidi="ar"/>
              </w:rPr>
              <w:t>加热到100℃后变为水蒸气随着烟气排出</w:t>
            </w:r>
            <w:r>
              <w:rPr>
                <w:rFonts w:hint="eastAsia" w:cs="宋体"/>
                <w:bCs/>
                <w:color w:val="auto"/>
                <w:sz w:val="24"/>
                <w:szCs w:val="24"/>
                <w:highlight w:val="none"/>
                <w:lang w:eastAsia="zh-CN" w:bidi="ar"/>
              </w:rPr>
              <w:t>，同时煤泥加热到</w:t>
            </w:r>
            <w:r>
              <w:rPr>
                <w:rFonts w:hint="eastAsia" w:cs="宋体"/>
                <w:bCs/>
                <w:color w:val="auto"/>
                <w:sz w:val="24"/>
                <w:szCs w:val="24"/>
                <w:highlight w:val="none"/>
                <w:lang w:val="en-US" w:eastAsia="zh-CN" w:bidi="ar"/>
              </w:rPr>
              <w:t>100</w:t>
            </w:r>
            <w:r>
              <w:rPr>
                <w:rFonts w:hint="eastAsia" w:ascii="Times New Roman" w:hAnsi="Times New Roman" w:cs="宋体"/>
                <w:bCs/>
                <w:color w:val="auto"/>
                <w:sz w:val="24"/>
                <w:szCs w:val="24"/>
                <w:highlight w:val="none"/>
                <w:lang w:bidi="ar"/>
              </w:rPr>
              <w:t>℃</w:t>
            </w:r>
            <w:r>
              <w:rPr>
                <w:rFonts w:hint="eastAsia" w:cs="宋体"/>
                <w:bCs/>
                <w:color w:val="auto"/>
                <w:sz w:val="24"/>
                <w:szCs w:val="24"/>
                <w:highlight w:val="none"/>
                <w:lang w:eastAsia="zh-CN" w:bidi="ar"/>
              </w:rPr>
              <w:t>，煤泥的比热容为</w:t>
            </w:r>
            <w:r>
              <w:rPr>
                <w:rFonts w:hint="eastAsia" w:cs="宋体"/>
                <w:bCs/>
                <w:color w:val="auto"/>
                <w:sz w:val="24"/>
                <w:szCs w:val="24"/>
                <w:highlight w:val="none"/>
                <w:lang w:val="en-US" w:eastAsia="zh-CN" w:bidi="ar"/>
              </w:rPr>
              <w:t>1.26KJ</w:t>
            </w:r>
            <w:r>
              <w:rPr>
                <w:rFonts w:hint="eastAsia" w:ascii="Times New Roman" w:hAnsi="Times New Roman" w:cs="宋体"/>
                <w:bCs/>
                <w:color w:val="auto"/>
                <w:sz w:val="24"/>
                <w:szCs w:val="24"/>
                <w:highlight w:val="none"/>
                <w:lang w:bidi="ar"/>
              </w:rPr>
              <w:t>/kg</w:t>
            </w:r>
            <w:r>
              <w:rPr>
                <w:rFonts w:hint="eastAsia" w:cs="宋体"/>
                <w:bCs/>
                <w:color w:val="auto"/>
                <w:sz w:val="24"/>
                <w:szCs w:val="24"/>
                <w:highlight w:val="none"/>
                <w:lang w:val="en-US" w:eastAsia="zh-CN" w:bidi="ar"/>
              </w:rPr>
              <w:t>·</w:t>
            </w:r>
            <w:r>
              <w:rPr>
                <w:rFonts w:hint="eastAsia" w:ascii="Times New Roman" w:hAnsi="Times New Roman" w:cs="宋体"/>
                <w:bCs/>
                <w:color w:val="auto"/>
                <w:sz w:val="24"/>
                <w:szCs w:val="24"/>
                <w:highlight w:val="none"/>
                <w:lang w:bidi="ar"/>
              </w:rPr>
              <w:t>℃</w:t>
            </w:r>
            <w:r>
              <w:rPr>
                <w:rFonts w:hint="eastAsia" w:cs="宋体"/>
                <w:bCs/>
                <w:color w:val="auto"/>
                <w:sz w:val="24"/>
                <w:szCs w:val="24"/>
                <w:highlight w:val="none"/>
                <w:lang w:eastAsia="zh-CN" w:bidi="ar"/>
              </w:rPr>
              <w:t>。</w:t>
            </w:r>
            <w:r>
              <w:rPr>
                <w:rFonts w:hint="eastAsia" w:ascii="Times New Roman" w:hAnsi="Times New Roman" w:cs="宋体"/>
                <w:bCs/>
                <w:color w:val="auto"/>
                <w:sz w:val="24"/>
                <w:szCs w:val="24"/>
                <w:highlight w:val="none"/>
                <w:lang w:bidi="ar"/>
              </w:rPr>
              <w:t>本项目年进料约为</w:t>
            </w:r>
            <w:r>
              <w:rPr>
                <w:rFonts w:hint="eastAsia" w:cs="宋体"/>
                <w:bCs/>
                <w:color w:val="auto"/>
                <w:sz w:val="24"/>
                <w:szCs w:val="24"/>
                <w:highlight w:val="none"/>
                <w:lang w:val="en-US" w:eastAsia="zh-CN" w:bidi="ar"/>
              </w:rPr>
              <w:t>15</w:t>
            </w:r>
            <w:r>
              <w:rPr>
                <w:rFonts w:hint="eastAsia" w:cs="宋体"/>
                <w:bCs/>
                <w:color w:val="auto"/>
                <w:sz w:val="24"/>
                <w:szCs w:val="24"/>
                <w:highlight w:val="none"/>
                <w:lang w:eastAsia="zh-CN" w:bidi="ar"/>
              </w:rPr>
              <w:t>万</w:t>
            </w:r>
            <w:r>
              <w:rPr>
                <w:rFonts w:hint="eastAsia" w:ascii="Times New Roman" w:hAnsi="Times New Roman" w:cs="宋体"/>
                <w:bCs/>
                <w:color w:val="auto"/>
                <w:sz w:val="24"/>
                <w:szCs w:val="24"/>
                <w:highlight w:val="none"/>
                <w:lang w:bidi="ar"/>
              </w:rPr>
              <w:t>吨，煤泥含水率由</w:t>
            </w:r>
            <w:r>
              <w:rPr>
                <w:rFonts w:hint="eastAsia" w:cs="宋体"/>
                <w:bCs/>
                <w:color w:val="auto"/>
                <w:sz w:val="24"/>
                <w:szCs w:val="24"/>
                <w:highlight w:val="none"/>
                <w:lang w:val="en-US" w:eastAsia="zh-CN" w:bidi="ar"/>
              </w:rPr>
              <w:t>25</w:t>
            </w:r>
            <w:r>
              <w:rPr>
                <w:rFonts w:hint="eastAsia" w:ascii="Times New Roman" w:hAnsi="Times New Roman" w:cs="宋体"/>
                <w:bCs/>
                <w:color w:val="auto"/>
                <w:sz w:val="24"/>
                <w:szCs w:val="24"/>
                <w:highlight w:val="none"/>
                <w:lang w:bidi="ar"/>
              </w:rPr>
              <w:t>%降低到1</w:t>
            </w:r>
            <w:r>
              <w:rPr>
                <w:rFonts w:hint="eastAsia" w:cs="宋体"/>
                <w:bCs/>
                <w:color w:val="auto"/>
                <w:sz w:val="24"/>
                <w:szCs w:val="24"/>
                <w:highlight w:val="none"/>
                <w:lang w:val="en-US" w:eastAsia="zh-CN" w:bidi="ar"/>
              </w:rPr>
              <w:t>5.5</w:t>
            </w:r>
            <w:r>
              <w:rPr>
                <w:rFonts w:hint="eastAsia" w:ascii="Times New Roman" w:hAnsi="Times New Roman" w:cs="宋体"/>
                <w:bCs/>
                <w:color w:val="auto"/>
                <w:sz w:val="24"/>
                <w:szCs w:val="24"/>
                <w:highlight w:val="none"/>
                <w:lang w:bidi="ar"/>
              </w:rPr>
              <w:t>%，产品为</w:t>
            </w:r>
            <w:r>
              <w:rPr>
                <w:rFonts w:hint="eastAsia" w:cs="宋体"/>
                <w:bCs/>
                <w:color w:val="auto"/>
                <w:sz w:val="24"/>
                <w:szCs w:val="24"/>
                <w:highlight w:val="none"/>
                <w:lang w:val="en-US" w:eastAsia="zh-CN" w:bidi="ar"/>
              </w:rPr>
              <w:t>13.31万</w:t>
            </w:r>
            <w:r>
              <w:rPr>
                <w:rFonts w:hint="eastAsia" w:ascii="Times New Roman" w:hAnsi="Times New Roman" w:cs="宋体"/>
                <w:bCs/>
                <w:color w:val="auto"/>
                <w:sz w:val="24"/>
                <w:szCs w:val="24"/>
                <w:highlight w:val="none"/>
                <w:lang w:bidi="ar"/>
              </w:rPr>
              <w:t>吨，每年蒸发水量约</w:t>
            </w:r>
            <w:r>
              <w:rPr>
                <w:rFonts w:hint="eastAsia" w:cs="宋体"/>
                <w:bCs/>
                <w:color w:val="auto"/>
                <w:sz w:val="24"/>
                <w:szCs w:val="24"/>
                <w:highlight w:val="none"/>
                <w:lang w:val="en-US" w:eastAsia="zh-CN" w:bidi="ar"/>
              </w:rPr>
              <w:t>16900</w:t>
            </w:r>
            <w:r>
              <w:rPr>
                <w:rFonts w:hint="eastAsia" w:ascii="Times New Roman" w:hAnsi="Times New Roman" w:cs="宋体"/>
                <w:bCs/>
                <w:color w:val="auto"/>
                <w:sz w:val="24"/>
                <w:szCs w:val="24"/>
                <w:highlight w:val="none"/>
                <w:lang w:bidi="ar"/>
              </w:rPr>
              <w:t>吨。</w:t>
            </w:r>
            <w:r>
              <w:rPr>
                <w:rFonts w:hint="eastAsia" w:cs="宋体"/>
                <w:bCs/>
                <w:color w:val="auto"/>
                <w:sz w:val="24"/>
                <w:szCs w:val="24"/>
                <w:highlight w:val="none"/>
                <w:lang w:eastAsia="zh-CN" w:bidi="ar"/>
              </w:rPr>
              <w:t>煤泥烘干年运行时间为</w:t>
            </w:r>
            <w:r>
              <w:rPr>
                <w:rFonts w:hint="eastAsia" w:cs="宋体"/>
                <w:bCs/>
                <w:color w:val="auto"/>
                <w:sz w:val="24"/>
                <w:szCs w:val="24"/>
                <w:highlight w:val="none"/>
                <w:lang w:val="en-US" w:eastAsia="zh-CN" w:bidi="ar"/>
              </w:rPr>
              <w:t>5280</w:t>
            </w:r>
            <w:r>
              <w:rPr>
                <w:rFonts w:hint="eastAsia" w:cs="宋体"/>
                <w:bCs/>
                <w:color w:val="auto"/>
                <w:sz w:val="24"/>
                <w:szCs w:val="24"/>
                <w:highlight w:val="none"/>
                <w:lang w:eastAsia="zh-CN" w:bidi="ar"/>
              </w:rPr>
              <w:t>h，</w:t>
            </w:r>
            <w:r>
              <w:rPr>
                <w:rFonts w:hint="eastAsia" w:ascii="Times New Roman" w:hAnsi="Times New Roman" w:cs="宋体"/>
                <w:bCs/>
                <w:color w:val="auto"/>
                <w:sz w:val="24"/>
                <w:szCs w:val="24"/>
                <w:highlight w:val="none"/>
                <w:lang w:bidi="ar"/>
              </w:rPr>
              <w:t>每</w:t>
            </w:r>
            <w:r>
              <w:rPr>
                <w:rFonts w:hint="eastAsia" w:cs="宋体"/>
                <w:bCs/>
                <w:color w:val="auto"/>
                <w:sz w:val="24"/>
                <w:szCs w:val="24"/>
                <w:highlight w:val="none"/>
                <w:lang w:eastAsia="zh-CN" w:bidi="ar"/>
              </w:rPr>
              <w:t>小时</w:t>
            </w:r>
            <w:r>
              <w:rPr>
                <w:rFonts w:hint="eastAsia" w:ascii="Times New Roman" w:hAnsi="Times New Roman" w:cs="宋体"/>
                <w:bCs/>
                <w:color w:val="auto"/>
                <w:sz w:val="24"/>
                <w:szCs w:val="24"/>
                <w:highlight w:val="none"/>
                <w:lang w:bidi="ar"/>
              </w:rPr>
              <w:t>需蒸发水分的量为</w:t>
            </w:r>
            <w:r>
              <w:rPr>
                <w:rFonts w:hint="eastAsia" w:cs="宋体"/>
                <w:bCs/>
                <w:color w:val="auto"/>
                <w:sz w:val="24"/>
                <w:szCs w:val="24"/>
                <w:highlight w:val="none"/>
                <w:lang w:val="en-US" w:eastAsia="zh-CN" w:bidi="ar"/>
              </w:rPr>
              <w:t>3.20</w:t>
            </w:r>
            <w:r>
              <w:rPr>
                <w:rFonts w:hint="eastAsia" w:ascii="Times New Roman" w:hAnsi="Times New Roman" w:cs="宋体"/>
                <w:bCs/>
                <w:color w:val="auto"/>
                <w:sz w:val="24"/>
                <w:szCs w:val="24"/>
                <w:highlight w:val="none"/>
                <w:lang w:bidi="ar"/>
              </w:rPr>
              <w:t>吨</w:t>
            </w:r>
            <w:r>
              <w:rPr>
                <w:rFonts w:hint="eastAsia" w:cs="宋体"/>
                <w:bCs/>
                <w:color w:val="auto"/>
                <w:sz w:val="24"/>
                <w:szCs w:val="24"/>
                <w:highlight w:val="none"/>
                <w:lang w:eastAsia="zh-CN" w:bidi="ar"/>
              </w:rPr>
              <w:t>，每小时需烘干煤泥的量为</w:t>
            </w:r>
            <w:r>
              <w:rPr>
                <w:rFonts w:hint="eastAsia" w:cs="宋体"/>
                <w:bCs/>
                <w:color w:val="auto"/>
                <w:sz w:val="24"/>
                <w:szCs w:val="24"/>
                <w:highlight w:val="none"/>
                <w:lang w:val="en-US" w:eastAsia="zh-CN" w:bidi="ar"/>
              </w:rPr>
              <w:t>25.21吨（其中干煤泥21.3吨、水分3.91吨）</w:t>
            </w:r>
            <w:r>
              <w:rPr>
                <w:rFonts w:hint="eastAsia" w:ascii="Times New Roman" w:hAnsi="Times New Roman" w:cs="宋体"/>
                <w:bCs/>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宋体"/>
                <w:bCs/>
                <w:color w:val="auto"/>
                <w:sz w:val="24"/>
                <w:szCs w:val="24"/>
                <w:highlight w:val="none"/>
                <w:lang w:eastAsia="zh-CN" w:bidi="ar"/>
              </w:rPr>
            </w:pPr>
            <w:r>
              <w:rPr>
                <w:rFonts w:hint="eastAsia" w:ascii="Times New Roman" w:hAnsi="Times New Roman" w:cs="宋体"/>
                <w:bCs/>
                <w:color w:val="auto"/>
                <w:sz w:val="24"/>
                <w:szCs w:val="24"/>
                <w:highlight w:val="none"/>
                <w:lang w:bidi="ar"/>
              </w:rPr>
              <w:t>根据厂家提供的资料，烘干1kg水需要吸收热量</w:t>
            </w:r>
            <w:r>
              <w:rPr>
                <w:rFonts w:hint="eastAsia" w:cs="宋体"/>
                <w:bCs/>
                <w:color w:val="auto"/>
                <w:sz w:val="24"/>
                <w:szCs w:val="24"/>
                <w:highlight w:val="none"/>
                <w:lang w:val="en-US" w:eastAsia="zh-CN" w:bidi="ar"/>
              </w:rPr>
              <w:t>540kcal</w:t>
            </w:r>
            <w:r>
              <w:rPr>
                <w:rFonts w:hint="eastAsia" w:ascii="Times New Roman" w:hAnsi="Times New Roman" w:cs="宋体"/>
                <w:bCs/>
                <w:color w:val="auto"/>
                <w:sz w:val="24"/>
                <w:szCs w:val="24"/>
                <w:highlight w:val="none"/>
                <w:lang w:bidi="ar"/>
              </w:rPr>
              <w:t>。</w:t>
            </w:r>
            <w:r>
              <w:rPr>
                <w:rFonts w:hint="eastAsia" w:cs="宋体"/>
                <w:bCs/>
                <w:color w:val="auto"/>
                <w:sz w:val="24"/>
                <w:szCs w:val="24"/>
                <w:highlight w:val="none"/>
                <w:lang w:eastAsia="zh-CN" w:bidi="ar"/>
              </w:rPr>
              <w:t>则蒸发</w:t>
            </w:r>
            <w:r>
              <w:rPr>
                <w:rFonts w:hint="eastAsia" w:cs="宋体"/>
                <w:bCs/>
                <w:color w:val="auto"/>
                <w:sz w:val="24"/>
                <w:szCs w:val="24"/>
                <w:highlight w:val="none"/>
                <w:lang w:val="en-US" w:eastAsia="zh-CN" w:bidi="ar"/>
              </w:rPr>
              <w:t>3.49</w:t>
            </w:r>
            <w:r>
              <w:rPr>
                <w:rFonts w:hint="eastAsia" w:cs="宋体"/>
                <w:bCs/>
                <w:color w:val="auto"/>
                <w:sz w:val="24"/>
                <w:szCs w:val="24"/>
                <w:highlight w:val="none"/>
                <w:lang w:eastAsia="zh-CN" w:bidi="ar"/>
              </w:rPr>
              <w:t>吨水和烘干</w:t>
            </w:r>
            <w:r>
              <w:rPr>
                <w:rFonts w:hint="eastAsia" w:cs="宋体"/>
                <w:bCs/>
                <w:color w:val="auto"/>
                <w:sz w:val="24"/>
                <w:szCs w:val="24"/>
                <w:highlight w:val="none"/>
                <w:lang w:val="en-US" w:eastAsia="zh-CN" w:bidi="ar"/>
              </w:rPr>
              <w:t>24.93吨煤泥</w:t>
            </w:r>
            <w:r>
              <w:rPr>
                <w:rFonts w:hint="eastAsia" w:cs="宋体"/>
                <w:bCs/>
                <w:color w:val="auto"/>
                <w:sz w:val="24"/>
                <w:szCs w:val="24"/>
                <w:highlight w:val="none"/>
                <w:lang w:eastAsia="zh-CN" w:bidi="ar"/>
              </w:rPr>
              <w:t>需热量为：</w:t>
            </w:r>
            <w:r>
              <w:rPr>
                <w:rFonts w:hint="eastAsia" w:cs="宋体"/>
                <w:bCs/>
                <w:color w:val="auto"/>
                <w:sz w:val="24"/>
                <w:szCs w:val="24"/>
                <w:highlight w:val="none"/>
                <w:lang w:val="en-US" w:eastAsia="zh-CN" w:bidi="ar"/>
              </w:rPr>
              <w:t>3.20</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10</w:t>
            </w:r>
            <w:r>
              <w:rPr>
                <w:rFonts w:hint="eastAsia" w:cs="宋体"/>
                <w:bCs/>
                <w:color w:val="auto"/>
                <w:sz w:val="24"/>
                <w:szCs w:val="24"/>
                <w:highlight w:val="none"/>
                <w:vertAlign w:val="superscript"/>
                <w:lang w:val="en-US" w:eastAsia="zh-CN" w:bidi="ar"/>
              </w:rPr>
              <w:t>3</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540+21.3</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10</w:t>
            </w:r>
            <w:r>
              <w:rPr>
                <w:rFonts w:hint="eastAsia" w:cs="宋体"/>
                <w:bCs/>
                <w:color w:val="auto"/>
                <w:sz w:val="24"/>
                <w:szCs w:val="24"/>
                <w:highlight w:val="none"/>
                <w:vertAlign w:val="superscript"/>
                <w:lang w:val="en-US" w:eastAsia="zh-CN" w:bidi="ar"/>
              </w:rPr>
              <w:t>3</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100-10</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1.26/4.186+3.91</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10</w:t>
            </w:r>
            <w:r>
              <w:rPr>
                <w:rFonts w:hint="eastAsia" w:cs="宋体"/>
                <w:bCs/>
                <w:color w:val="auto"/>
                <w:sz w:val="24"/>
                <w:szCs w:val="24"/>
                <w:highlight w:val="none"/>
                <w:vertAlign w:val="superscript"/>
                <w:lang w:val="en-US" w:eastAsia="zh-CN" w:bidi="ar"/>
              </w:rPr>
              <w:t>3</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（100-10）</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4.2/4.186</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2648941大卡</w:t>
            </w:r>
            <w:r>
              <w:rPr>
                <w:rFonts w:hint="eastAsia" w:cs="宋体"/>
                <w:bCs/>
                <w:color w:val="auto"/>
                <w:sz w:val="24"/>
                <w:szCs w:val="24"/>
                <w:highlight w:val="none"/>
                <w:lang w:eastAsia="zh-CN" w:bidi="ar"/>
              </w:rPr>
              <w:t>/</w:t>
            </w:r>
            <w:r>
              <w:rPr>
                <w:rFonts w:hint="eastAsia" w:cs="宋体"/>
                <w:bCs/>
                <w:color w:val="auto"/>
                <w:sz w:val="24"/>
                <w:szCs w:val="24"/>
                <w:highlight w:val="none"/>
                <w:lang w:val="en-US" w:eastAsia="zh-CN" w:bidi="ar"/>
              </w:rPr>
              <w:t>h</w:t>
            </w:r>
            <w:r>
              <w:rPr>
                <w:rFonts w:hint="eastAsia" w:cs="宋体"/>
                <w:bCs/>
                <w:color w:val="auto"/>
                <w:sz w:val="24"/>
                <w:szCs w:val="24"/>
                <w:highlight w:val="none"/>
                <w:lang w:eastAsia="zh-CN" w:bidi="ar"/>
              </w:rPr>
              <w:t>。热风炉热效率按</w:t>
            </w:r>
            <w:r>
              <w:rPr>
                <w:rFonts w:hint="eastAsia" w:cs="宋体"/>
                <w:bCs/>
                <w:color w:val="auto"/>
                <w:sz w:val="24"/>
                <w:szCs w:val="24"/>
                <w:highlight w:val="none"/>
                <w:lang w:val="en-US" w:eastAsia="zh-CN" w:bidi="ar"/>
              </w:rPr>
              <w:t>90</w:t>
            </w:r>
            <w:r>
              <w:rPr>
                <w:rFonts w:hint="eastAsia" w:cs="宋体"/>
                <w:bCs/>
                <w:color w:val="auto"/>
                <w:sz w:val="24"/>
                <w:szCs w:val="24"/>
                <w:highlight w:val="none"/>
                <w:lang w:eastAsia="zh-CN" w:bidi="ar"/>
              </w:rPr>
              <w:t>%计算，则本项目需要的热值为</w:t>
            </w:r>
            <w:r>
              <w:rPr>
                <w:rFonts w:hint="eastAsia" w:cs="宋体"/>
                <w:bCs/>
                <w:color w:val="auto"/>
                <w:sz w:val="24"/>
                <w:szCs w:val="24"/>
                <w:highlight w:val="none"/>
                <w:lang w:val="en-US" w:eastAsia="zh-CN" w:bidi="ar"/>
              </w:rPr>
              <w:t>294.33万大卡</w:t>
            </w:r>
            <w:r>
              <w:rPr>
                <w:rFonts w:hint="eastAsia" w:cs="宋体"/>
                <w:bCs/>
                <w:color w:val="auto"/>
                <w:sz w:val="24"/>
                <w:szCs w:val="24"/>
                <w:highlight w:val="none"/>
                <w:lang w:eastAsia="zh-CN" w:bidi="ar"/>
              </w:rPr>
              <w:t>。</w:t>
            </w:r>
          </w:p>
          <w:p>
            <w:pPr>
              <w:pStyle w:val="29"/>
              <w:keepNext w:val="0"/>
              <w:keepLines w:val="0"/>
              <w:pageBreakBefore w:val="0"/>
              <w:widowControl w:val="0"/>
              <w:kinsoku/>
              <w:wordWrap/>
              <w:overflowPunct/>
              <w:topLinePunct w:val="0"/>
              <w:bidi w:val="0"/>
              <w:spacing w:line="520" w:lineRule="exact"/>
              <w:ind w:firstLine="480" w:firstLineChars="200"/>
              <w:jc w:val="both"/>
              <w:textAlignment w:val="auto"/>
              <w:rPr>
                <w:rFonts w:hint="default" w:ascii="Times New Roman" w:hAnsi="Times New Roman" w:cs="Times New Roman"/>
                <w:b w:val="0"/>
                <w:bCs/>
                <w:color w:val="auto"/>
                <w:sz w:val="24"/>
                <w:szCs w:val="24"/>
                <w:highlight w:val="red"/>
                <w:lang w:val="en-US" w:eastAsia="zh-CN"/>
              </w:rPr>
            </w:pPr>
            <w:r>
              <w:rPr>
                <w:rFonts w:hint="eastAsia" w:ascii="Times New Roman" w:cs="Times New Roman"/>
                <w:b w:val="0"/>
                <w:bCs/>
                <w:color w:val="auto"/>
                <w:sz w:val="24"/>
                <w:szCs w:val="24"/>
                <w:highlight w:val="none"/>
                <w:lang w:val="en-US" w:eastAsia="zh-CN"/>
              </w:rPr>
              <w:t>因此，本项目选用300万大卡的电热风炉可行。</w:t>
            </w:r>
          </w:p>
          <w:p>
            <w:pPr>
              <w:pStyle w:val="29"/>
              <w:keepNext w:val="0"/>
              <w:keepLines w:val="0"/>
              <w:pageBreakBefore w:val="0"/>
              <w:widowControl w:val="0"/>
              <w:kinsoku/>
              <w:wordWrap/>
              <w:overflowPunct/>
              <w:topLinePunct w:val="0"/>
              <w:bidi w:val="0"/>
              <w:spacing w:line="480" w:lineRule="exact"/>
              <w:ind w:firstLine="482" w:firstLineChars="200"/>
              <w:jc w:val="both"/>
              <w:textAlignment w:val="auto"/>
              <w:rPr>
                <w:rFonts w:hint="default" w:ascii="Times New Roman" w:hAnsi="Times New Roman" w:cs="Times New Roman"/>
                <w:color w:val="auto"/>
                <w:sz w:val="24"/>
                <w:szCs w:val="24"/>
                <w:highlight w:val="none"/>
                <w:lang w:eastAsia="zh-CN"/>
              </w:rPr>
            </w:pPr>
            <w:r>
              <w:rPr>
                <w:rFonts w:hint="eastAsia"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建设规模</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项目年烘干湿煤泥</w:t>
            </w:r>
            <w:r>
              <w:rPr>
                <w:rFonts w:hint="eastAsia" w:cs="Times New Roman"/>
                <w:color w:val="auto"/>
                <w:sz w:val="24"/>
                <w:szCs w:val="24"/>
                <w:highlight w:val="none"/>
                <w:lang w:val="en-US" w:eastAsia="zh-CN"/>
              </w:rPr>
              <w:t>15</w:t>
            </w:r>
            <w:r>
              <w:rPr>
                <w:rFonts w:hint="default" w:ascii="Times New Roman" w:hAnsi="Times New Roman" w:cs="Times New Roman"/>
                <w:bCs/>
                <w:color w:val="auto"/>
                <w:sz w:val="24"/>
                <w:szCs w:val="24"/>
                <w:highlight w:val="none"/>
                <w:lang w:bidi="ar"/>
              </w:rPr>
              <w:t>万吨</w:t>
            </w:r>
            <w:r>
              <w:rPr>
                <w:rFonts w:hint="default" w:ascii="Times New Roman" w:hAnsi="Times New Roman" w:cs="Times New Roman"/>
                <w:color w:val="auto"/>
                <w:sz w:val="24"/>
                <w:szCs w:val="24"/>
                <w:highlight w:val="none"/>
                <w:lang w:val="en-US" w:eastAsia="zh-CN"/>
              </w:rPr>
              <w:t>，入料水分为2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%，出料水分≤1</w:t>
            </w:r>
            <w:r>
              <w:rPr>
                <w:rFonts w:hint="eastAsia" w:cs="Times New Roman"/>
                <w:color w:val="auto"/>
                <w:sz w:val="24"/>
                <w:szCs w:val="24"/>
                <w:highlight w:val="none"/>
                <w:lang w:val="en-US" w:eastAsia="zh-CN"/>
              </w:rPr>
              <w:t>5.5</w:t>
            </w:r>
            <w:r>
              <w:rPr>
                <w:rFonts w:hint="default" w:ascii="Times New Roman" w:hAnsi="Times New Roman" w:cs="Times New Roman"/>
                <w:color w:val="auto"/>
                <w:sz w:val="24"/>
                <w:szCs w:val="24"/>
                <w:highlight w:val="none"/>
                <w:lang w:val="en-US" w:eastAsia="zh-CN"/>
              </w:rPr>
              <w:t>%，年产干煤泥</w:t>
            </w:r>
            <w:r>
              <w:rPr>
                <w:rFonts w:hint="eastAsia" w:cs="Times New Roman"/>
                <w:color w:val="auto"/>
                <w:sz w:val="24"/>
                <w:szCs w:val="24"/>
                <w:highlight w:val="none"/>
                <w:lang w:val="en-US" w:eastAsia="zh-CN"/>
              </w:rPr>
              <w:t>13.31</w:t>
            </w:r>
            <w:r>
              <w:rPr>
                <w:rFonts w:hint="default" w:ascii="Times New Roman" w:hAnsi="Times New Roman" w:cs="Times New Roman"/>
                <w:color w:val="auto"/>
                <w:sz w:val="24"/>
                <w:szCs w:val="24"/>
                <w:highlight w:val="none"/>
              </w:rPr>
              <w:t>万吨</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合理性分析：由于本项目仅为</w:t>
            </w:r>
            <w:r>
              <w:rPr>
                <w:rFonts w:hint="eastAsia"/>
                <w:lang w:eastAsia="zh-CN"/>
              </w:rPr>
              <w:t>朔州市鸿通源运输有限公司洗煤厂年产</w:t>
            </w:r>
            <w:r>
              <w:rPr>
                <w:rFonts w:hint="eastAsia"/>
                <w:lang w:val="en-US" w:eastAsia="zh-CN"/>
              </w:rPr>
              <w:t>的15万吨湿煤泥（含水率25%）进行烘干服务，因此，建设的年烘干</w:t>
            </w:r>
            <w:r>
              <w:rPr>
                <w:rFonts w:hint="default" w:ascii="Times New Roman" w:hAnsi="Times New Roman" w:cs="Times New Roman"/>
                <w:color w:val="auto"/>
                <w:sz w:val="24"/>
                <w:szCs w:val="24"/>
                <w:highlight w:val="none"/>
                <w:lang w:eastAsia="zh-CN"/>
              </w:rPr>
              <w:t>湿煤泥</w:t>
            </w:r>
            <w:r>
              <w:rPr>
                <w:rFonts w:hint="eastAsia" w:cs="Times New Roman"/>
                <w:color w:val="auto"/>
                <w:sz w:val="24"/>
                <w:szCs w:val="24"/>
                <w:highlight w:val="none"/>
                <w:lang w:val="en-US" w:eastAsia="zh-CN"/>
              </w:rPr>
              <w:t>15</w:t>
            </w:r>
            <w:r>
              <w:rPr>
                <w:rFonts w:hint="default" w:ascii="Times New Roman" w:hAnsi="Times New Roman" w:cs="Times New Roman"/>
                <w:bCs/>
                <w:color w:val="auto"/>
                <w:sz w:val="24"/>
                <w:szCs w:val="24"/>
                <w:highlight w:val="none"/>
                <w:lang w:bidi="ar"/>
              </w:rPr>
              <w:t>万吨</w:t>
            </w:r>
            <w:r>
              <w:rPr>
                <w:rFonts w:hint="eastAsia" w:cs="Times New Roman"/>
                <w:bCs/>
                <w:color w:val="auto"/>
                <w:sz w:val="24"/>
                <w:szCs w:val="24"/>
                <w:highlight w:val="none"/>
                <w:lang w:val="en-US" w:eastAsia="zh-CN" w:bidi="ar"/>
              </w:rPr>
              <w:t>合理。</w:t>
            </w:r>
          </w:p>
          <w:p>
            <w:pPr>
              <w:pStyle w:val="29"/>
              <w:keepNext w:val="0"/>
              <w:keepLines w:val="0"/>
              <w:pageBreakBefore w:val="0"/>
              <w:widowControl w:val="0"/>
              <w:kinsoku/>
              <w:wordWrap/>
              <w:overflowPunct/>
              <w:topLinePunct w:val="0"/>
              <w:bidi w:val="0"/>
              <w:spacing w:line="480" w:lineRule="exact"/>
              <w:ind w:firstLine="482" w:firstLineChars="200"/>
              <w:jc w:val="both"/>
              <w:textAlignment w:val="auto"/>
              <w:rPr>
                <w:rFonts w:hint="eastAsia" w:ascii="Times New Roman" w:hAnsi="Times New Roman" w:cs="Times New Roman"/>
                <w:b/>
                <w:color w:val="auto"/>
                <w:kern w:val="10"/>
                <w:sz w:val="24"/>
                <w:szCs w:val="24"/>
                <w:highlight w:val="none"/>
                <w:lang w:val="en-US" w:eastAsia="zh-CN"/>
              </w:rPr>
            </w:pPr>
            <w:r>
              <w:rPr>
                <w:rFonts w:hint="eastAsia" w:ascii="Times New Roman" w:hAnsi="Times New Roman" w:cs="Times New Roman"/>
                <w:b/>
                <w:color w:val="auto"/>
                <w:sz w:val="24"/>
                <w:szCs w:val="24"/>
                <w:highlight w:val="none"/>
                <w:lang w:val="en-US" w:eastAsia="zh-CN"/>
              </w:rPr>
              <w:t>4、</w:t>
            </w:r>
            <w:r>
              <w:rPr>
                <w:rFonts w:hint="eastAsia" w:ascii="Times New Roman" w:hAnsi="Times New Roman" w:cs="Times New Roman"/>
                <w:b/>
                <w:color w:val="auto"/>
                <w:kern w:val="10"/>
                <w:sz w:val="24"/>
                <w:szCs w:val="24"/>
                <w:highlight w:val="none"/>
                <w:lang w:val="en-US" w:eastAsia="zh-CN"/>
              </w:rPr>
              <w:t>主要原辅材料</w:t>
            </w:r>
          </w:p>
          <w:p>
            <w:pPr>
              <w:pStyle w:val="6"/>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w:t>
            </w:r>
            <w:r>
              <w:rPr>
                <w:rFonts w:hint="eastAsia" w:cs="Times New Roman"/>
                <w:color w:val="auto"/>
                <w:sz w:val="24"/>
                <w:szCs w:val="24"/>
                <w:highlight w:val="none"/>
                <w:lang w:eastAsia="zh-CN"/>
              </w:rPr>
              <w:t>通过汽车运输位于本项目东侧</w:t>
            </w:r>
            <w:r>
              <w:rPr>
                <w:rFonts w:hint="eastAsia" w:cs="Times New Roman"/>
                <w:color w:val="auto"/>
                <w:sz w:val="24"/>
                <w:szCs w:val="24"/>
                <w:highlight w:val="none"/>
                <w:lang w:val="en-US" w:eastAsia="zh-CN"/>
              </w:rPr>
              <w:t>700m处的</w:t>
            </w:r>
            <w:r>
              <w:rPr>
                <w:rFonts w:hint="eastAsia" w:cs="Times New Roman"/>
                <w:color w:val="auto"/>
                <w:sz w:val="24"/>
                <w:szCs w:val="24"/>
                <w:highlight w:val="none"/>
                <w:lang w:eastAsia="zh-CN"/>
              </w:rPr>
              <w:t>朔州市鸿通源运输有限公司洗煤厂产生的湿煤泥作为原料</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该</w:t>
            </w:r>
            <w:r>
              <w:rPr>
                <w:rFonts w:hint="default" w:ascii="Times New Roman" w:hAnsi="Times New Roman" w:cs="Times New Roman"/>
                <w:color w:val="auto"/>
                <w:sz w:val="24"/>
                <w:szCs w:val="24"/>
                <w:highlight w:val="none"/>
                <w:lang w:eastAsia="zh-CN"/>
              </w:rPr>
              <w:t>洗煤厂生产规模为</w:t>
            </w:r>
            <w:r>
              <w:rPr>
                <w:rFonts w:hint="eastAsia" w:cs="Times New Roman"/>
                <w:color w:val="auto"/>
                <w:sz w:val="24"/>
                <w:szCs w:val="24"/>
                <w:highlight w:val="none"/>
                <w:lang w:val="en-US" w:eastAsia="zh-CN"/>
              </w:rPr>
              <w:t>120万</w:t>
            </w:r>
            <w:r>
              <w:rPr>
                <w:rFonts w:hint="default" w:ascii="Times New Roman" w:hAnsi="Times New Roman" w:cs="Times New Roman"/>
                <w:color w:val="auto"/>
                <w:sz w:val="24"/>
                <w:szCs w:val="24"/>
                <w:highlight w:val="none"/>
                <w:lang w:eastAsia="zh-CN"/>
              </w:rPr>
              <w:t>t/a，2016年进行了环境影响评价，于2016年12月16日取得原朔州市平鲁区环境保护局的环评批复（平环函[2016]102号）），于2017年9月14日进行了自主验收，并在原朔州市平鲁区环境保护局备案（编号：2017-0603-003）。</w:t>
            </w:r>
          </w:p>
          <w:p>
            <w:pPr>
              <w:pStyle w:val="6"/>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项目主要原辅材料情况见下表</w:t>
            </w:r>
            <w:r>
              <w:rPr>
                <w:rFonts w:hint="default" w:ascii="Times New Roman" w:hAnsi="Times New Roman" w:cs="Times New Roman"/>
                <w:color w:val="auto"/>
                <w:sz w:val="24"/>
                <w:szCs w:val="24"/>
                <w:highlight w:val="none"/>
              </w:rPr>
              <w:t>。</w:t>
            </w:r>
          </w:p>
          <w:p>
            <w:pPr>
              <w:pStyle w:val="39"/>
              <w:bidi w:val="0"/>
              <w:rPr>
                <w:rFonts w:hint="eastAsia"/>
                <w:b/>
                <w:bCs/>
                <w:color w:val="auto"/>
                <w:sz w:val="24"/>
                <w:szCs w:val="24"/>
                <w:highlight w:val="none"/>
                <w:lang w:val="en-US" w:eastAsia="zh-CN"/>
              </w:rPr>
            </w:pPr>
            <w:r>
              <w:rPr>
                <w:rFonts w:hint="eastAsia" w:ascii="Times New Roman" w:hAnsi="Times New Roman"/>
                <w:b/>
                <w:color w:val="auto"/>
                <w:sz w:val="24"/>
                <w:szCs w:val="24"/>
                <w:highlight w:val="none"/>
              </w:rPr>
              <w:t>表</w:t>
            </w:r>
            <w:r>
              <w:rPr>
                <w:rFonts w:hint="eastAsia"/>
                <w:b/>
                <w:color w:val="auto"/>
                <w:sz w:val="24"/>
                <w:szCs w:val="24"/>
                <w:highlight w:val="none"/>
                <w:lang w:val="en-US" w:eastAsia="zh-CN"/>
              </w:rPr>
              <w:t>2-3</w:t>
            </w:r>
            <w:r>
              <w:rPr>
                <w:rFonts w:hint="eastAsia" w:ascii="Times New Roman" w:hAnsi="Times New Roman"/>
                <w:b/>
                <w:color w:val="auto"/>
                <w:sz w:val="24"/>
                <w:szCs w:val="24"/>
                <w:highlight w:val="none"/>
              </w:rPr>
              <w:t xml:space="preserve">      </w:t>
            </w:r>
            <w:r>
              <w:rPr>
                <w:rFonts w:hint="eastAsia"/>
                <w:b/>
                <w:bCs/>
                <w:color w:val="auto"/>
                <w:sz w:val="24"/>
                <w:szCs w:val="24"/>
                <w:highlight w:val="none"/>
                <w:lang w:val="en-US" w:eastAsia="zh-CN"/>
              </w:rPr>
              <w:t xml:space="preserve"> 项目主要原辅材料消耗情况一览表</w:t>
            </w:r>
          </w:p>
          <w:tbl>
            <w:tblPr>
              <w:tblStyle w:val="23"/>
              <w:tblW w:w="49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179"/>
              <w:gridCol w:w="3450"/>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b/>
                      <w:bCs w:val="0"/>
                      <w:color w:val="auto"/>
                      <w:sz w:val="21"/>
                      <w:szCs w:val="21"/>
                      <w:highlight w:val="none"/>
                      <w:vertAlign w:val="baseline"/>
                      <w:lang w:eastAsia="zh-CN"/>
                    </w:rPr>
                  </w:pPr>
                  <w:r>
                    <w:rPr>
                      <w:rFonts w:hint="eastAsia" w:ascii="Times New Roman" w:hAnsi="Times New Roman"/>
                      <w:b/>
                      <w:bCs w:val="0"/>
                      <w:color w:val="auto"/>
                      <w:sz w:val="21"/>
                      <w:szCs w:val="21"/>
                      <w:highlight w:val="none"/>
                      <w:vertAlign w:val="baseline"/>
                      <w:lang w:eastAsia="zh-CN"/>
                    </w:rPr>
                    <w:t>名称</w:t>
                  </w:r>
                </w:p>
              </w:tc>
              <w:tc>
                <w:tcPr>
                  <w:tcW w:w="703"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b/>
                      <w:bCs w:val="0"/>
                      <w:color w:val="auto"/>
                      <w:sz w:val="21"/>
                      <w:szCs w:val="21"/>
                      <w:highlight w:val="none"/>
                      <w:vertAlign w:val="baseline"/>
                    </w:rPr>
                  </w:pPr>
                  <w:r>
                    <w:rPr>
                      <w:rFonts w:hint="eastAsia" w:ascii="Times New Roman" w:hAnsi="Times New Roman"/>
                      <w:b/>
                      <w:bCs w:val="0"/>
                      <w:color w:val="auto"/>
                      <w:sz w:val="21"/>
                      <w:szCs w:val="21"/>
                      <w:highlight w:val="none"/>
                    </w:rPr>
                    <w:t>年用量</w:t>
                  </w:r>
                  <w:r>
                    <w:rPr>
                      <w:rFonts w:hint="eastAsia" w:ascii="Times New Roman" w:hAnsi="Times New Roman"/>
                      <w:bCs/>
                      <w:color w:val="auto"/>
                      <w:sz w:val="21"/>
                      <w:szCs w:val="21"/>
                      <w:highlight w:val="none"/>
                    </w:rPr>
                    <w:t>t/a</w:t>
                  </w:r>
                </w:p>
              </w:tc>
              <w:tc>
                <w:tcPr>
                  <w:tcW w:w="2056"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b/>
                      <w:bCs w:val="0"/>
                      <w:color w:val="auto"/>
                      <w:sz w:val="21"/>
                      <w:szCs w:val="21"/>
                      <w:highlight w:val="none"/>
                      <w:vertAlign w:val="baseline"/>
                      <w:lang w:eastAsia="zh-CN"/>
                    </w:rPr>
                  </w:pPr>
                  <w:r>
                    <w:rPr>
                      <w:rFonts w:hint="eastAsia" w:ascii="Times New Roman" w:hAnsi="Times New Roman"/>
                      <w:b/>
                      <w:bCs w:val="0"/>
                      <w:color w:val="auto"/>
                      <w:sz w:val="21"/>
                      <w:szCs w:val="21"/>
                      <w:highlight w:val="none"/>
                      <w:vertAlign w:val="baseline"/>
                      <w:lang w:eastAsia="zh-CN"/>
                    </w:rPr>
                    <w:t>来源</w:t>
                  </w:r>
                </w:p>
              </w:tc>
              <w:tc>
                <w:tcPr>
                  <w:tcW w:w="1179"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b/>
                      <w:bCs w:val="0"/>
                      <w:color w:val="auto"/>
                      <w:sz w:val="21"/>
                      <w:szCs w:val="21"/>
                      <w:highlight w:val="none"/>
                      <w:vertAlign w:val="baseline"/>
                    </w:rPr>
                  </w:pPr>
                  <w:r>
                    <w:rPr>
                      <w:rFonts w:hint="eastAsia" w:ascii="Times New Roman" w:hAnsi="Times New Roman"/>
                      <w:b/>
                      <w:bCs w:val="0"/>
                      <w:color w:val="auto"/>
                      <w:sz w:val="21"/>
                      <w:szCs w:val="21"/>
                      <w:highlight w:val="none"/>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bCs/>
                      <w:color w:val="auto"/>
                      <w:sz w:val="21"/>
                      <w:szCs w:val="21"/>
                      <w:highlight w:val="none"/>
                      <w:vertAlign w:val="baseline"/>
                    </w:rPr>
                  </w:pPr>
                  <w:r>
                    <w:rPr>
                      <w:rFonts w:hint="eastAsia" w:ascii="Times New Roman" w:hAnsi="Times New Roman"/>
                      <w:bCs/>
                      <w:color w:val="auto"/>
                      <w:sz w:val="21"/>
                      <w:szCs w:val="21"/>
                      <w:highlight w:val="none"/>
                      <w:vertAlign w:val="baseline"/>
                      <w:lang w:eastAsia="zh-CN"/>
                    </w:rPr>
                    <w:t>湿煤泥</w:t>
                  </w:r>
                </w:p>
              </w:tc>
              <w:tc>
                <w:tcPr>
                  <w:tcW w:w="703"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bCs/>
                      <w:color w:val="auto"/>
                      <w:sz w:val="21"/>
                      <w:szCs w:val="21"/>
                      <w:highlight w:val="none"/>
                      <w:vertAlign w:val="baseline"/>
                      <w:lang w:val="en-US" w:eastAsia="zh-CN"/>
                    </w:rPr>
                  </w:pPr>
                  <w:r>
                    <w:rPr>
                      <w:rFonts w:hint="eastAsia"/>
                      <w:bCs/>
                      <w:color w:val="auto"/>
                      <w:sz w:val="21"/>
                      <w:szCs w:val="21"/>
                      <w:highlight w:val="none"/>
                      <w:vertAlign w:val="baseline"/>
                      <w:lang w:val="en-US" w:eastAsia="zh-CN"/>
                    </w:rPr>
                    <w:t>15万</w:t>
                  </w:r>
                </w:p>
              </w:tc>
              <w:tc>
                <w:tcPr>
                  <w:tcW w:w="2056"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bCs/>
                      <w:color w:val="auto"/>
                      <w:sz w:val="21"/>
                      <w:szCs w:val="21"/>
                      <w:highlight w:val="none"/>
                      <w:vertAlign w:val="baseline"/>
                      <w:lang w:val="en-US" w:eastAsia="zh-CN"/>
                    </w:rPr>
                  </w:pPr>
                  <w:r>
                    <w:rPr>
                      <w:rFonts w:hint="eastAsia" w:ascii="Times New Roman" w:hAnsi="Times New Roman" w:eastAsia="宋体"/>
                      <w:bCs/>
                      <w:color w:val="auto"/>
                      <w:sz w:val="21"/>
                      <w:szCs w:val="21"/>
                      <w:highlight w:val="none"/>
                      <w:vertAlign w:val="baseline"/>
                      <w:lang w:val="en-US" w:eastAsia="zh-CN"/>
                    </w:rPr>
                    <w:t>朔州市鸿通源运输有限公司洗煤厂</w:t>
                  </w:r>
                </w:p>
              </w:tc>
              <w:tc>
                <w:tcPr>
                  <w:tcW w:w="1179"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bCs/>
                      <w:color w:val="auto"/>
                      <w:sz w:val="21"/>
                      <w:szCs w:val="21"/>
                      <w:highlight w:val="none"/>
                      <w:vertAlign w:val="baseline"/>
                      <w:lang w:eastAsia="zh-CN"/>
                    </w:rPr>
                  </w:pPr>
                  <w:r>
                    <w:rPr>
                      <w:rFonts w:hint="eastAsia" w:ascii="Times New Roman" w:hAnsi="Times New Roman"/>
                      <w:color w:val="auto"/>
                      <w:kern w:val="0"/>
                      <w:sz w:val="21"/>
                      <w:szCs w:val="21"/>
                      <w:highlight w:val="none"/>
                      <w:lang w:eastAsia="zh-CN" w:bidi="ar"/>
                    </w:rPr>
                    <w:t>含水率</w:t>
                  </w:r>
                  <w:r>
                    <w:rPr>
                      <w:rFonts w:ascii="Times New Roman" w:hAnsi="Times New Roman"/>
                      <w:color w:val="auto"/>
                      <w:kern w:val="0"/>
                      <w:sz w:val="21"/>
                      <w:szCs w:val="21"/>
                      <w:highlight w:val="none"/>
                      <w:lang w:bidi="ar"/>
                    </w:rPr>
                    <w:t>2</w:t>
                  </w:r>
                  <w:r>
                    <w:rPr>
                      <w:rFonts w:hint="eastAsia"/>
                      <w:color w:val="auto"/>
                      <w:kern w:val="0"/>
                      <w:sz w:val="21"/>
                      <w:szCs w:val="21"/>
                      <w:highlight w:val="none"/>
                      <w:lang w:val="en-US" w:eastAsia="zh-CN" w:bidi="ar"/>
                    </w:rPr>
                    <w:t>5</w:t>
                  </w:r>
                  <w:r>
                    <w:rPr>
                      <w:rFonts w:ascii="Times New Roman" w:hAnsi="Times New Roman"/>
                      <w:color w:val="auto"/>
                      <w:kern w:val="0"/>
                      <w:sz w:val="21"/>
                      <w:szCs w:val="21"/>
                      <w:highlight w:val="none"/>
                      <w:lang w:bidi="ar"/>
                    </w:rPr>
                    <w:t>%</w:t>
                  </w:r>
                  <w:r>
                    <w:rPr>
                      <w:rFonts w:hint="eastAsia" w:ascii="Times New Roman" w:hAnsi="Times New Roman"/>
                      <w:color w:val="auto"/>
                      <w:kern w:val="0"/>
                      <w:sz w:val="21"/>
                      <w:szCs w:val="21"/>
                      <w:highlight w:val="none"/>
                      <w:lang w:eastAsia="zh-CN" w:bidi="ar"/>
                    </w:rPr>
                    <w:t>，</w:t>
                  </w:r>
                  <w:r>
                    <w:rPr>
                      <w:rFonts w:hint="eastAsia"/>
                      <w:color w:val="auto"/>
                      <w:kern w:val="0"/>
                      <w:sz w:val="21"/>
                      <w:szCs w:val="21"/>
                      <w:highlight w:val="none"/>
                      <w:lang w:eastAsia="zh-CN" w:bidi="ar"/>
                    </w:rPr>
                    <w:t>散</w:t>
                  </w:r>
                  <w:r>
                    <w:rPr>
                      <w:rFonts w:hint="eastAsia" w:ascii="Times New Roman" w:hAnsi="Times New Roman"/>
                      <w:color w:val="auto"/>
                      <w:kern w:val="0"/>
                      <w:sz w:val="21"/>
                      <w:szCs w:val="21"/>
                      <w:highlight w:val="none"/>
                      <w:lang w:eastAsia="zh-CN" w:bidi="ar"/>
                    </w:rPr>
                    <w:t>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eastAsia="zh-CN"/>
                    </w:rPr>
                    <w:t>成型生物质燃料</w:t>
                  </w:r>
                </w:p>
              </w:tc>
              <w:tc>
                <w:tcPr>
                  <w:tcW w:w="703"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val="en-US" w:eastAsia="zh-CN"/>
                    </w:rPr>
                    <w:t>3684</w:t>
                  </w:r>
                </w:p>
              </w:tc>
              <w:tc>
                <w:tcPr>
                  <w:tcW w:w="2056"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val="en-US" w:eastAsia="zh-CN"/>
                    </w:rPr>
                    <w:t>外购</w:t>
                  </w:r>
                </w:p>
              </w:tc>
              <w:tc>
                <w:tcPr>
                  <w:tcW w:w="1179"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eastAsia="zh-CN"/>
                    </w:rPr>
                    <w:t>尿素</w:t>
                  </w:r>
                </w:p>
              </w:tc>
              <w:tc>
                <w:tcPr>
                  <w:tcW w:w="703"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val="en-US" w:eastAsia="zh-CN"/>
                    </w:rPr>
                    <w:t>2</w:t>
                  </w:r>
                </w:p>
              </w:tc>
              <w:tc>
                <w:tcPr>
                  <w:tcW w:w="2056"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val="en-US" w:eastAsia="zh-CN"/>
                    </w:rPr>
                    <w:t>外购</w:t>
                  </w:r>
                </w:p>
              </w:tc>
              <w:tc>
                <w:tcPr>
                  <w:tcW w:w="1179"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0"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eastAsia="zh-CN"/>
                    </w:rPr>
                    <w:t>石灰石</w:t>
                  </w:r>
                </w:p>
              </w:tc>
              <w:tc>
                <w:tcPr>
                  <w:tcW w:w="703"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val="en-US" w:eastAsia="zh-CN"/>
                    </w:rPr>
                    <w:t>12</w:t>
                  </w:r>
                </w:p>
              </w:tc>
              <w:tc>
                <w:tcPr>
                  <w:tcW w:w="2056"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val="en-US" w:eastAsia="zh-CN"/>
                    </w:rPr>
                    <w:t>外购</w:t>
                  </w:r>
                </w:p>
              </w:tc>
              <w:tc>
                <w:tcPr>
                  <w:tcW w:w="1179" w:type="pct"/>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kern w:val="2"/>
                      <w:sz w:val="21"/>
                      <w:szCs w:val="21"/>
                      <w:highlight w:val="none"/>
                      <w:vertAlign w:val="baseline"/>
                      <w:lang w:val="en-US" w:eastAsia="zh-CN" w:bidi="ar-SA"/>
                    </w:rPr>
                  </w:pPr>
                  <w:r>
                    <w:rPr>
                      <w:rFonts w:hint="eastAsia"/>
                      <w:bCs/>
                      <w:color w:val="auto"/>
                      <w:sz w:val="21"/>
                      <w:szCs w:val="21"/>
                      <w:highlight w:val="none"/>
                      <w:vertAlign w:val="baseline"/>
                      <w:lang w:val="en-US" w:eastAsia="zh-CN"/>
                    </w:rPr>
                    <w:t>/</w:t>
                  </w:r>
                </w:p>
              </w:tc>
            </w:tr>
          </w:tbl>
          <w:p>
            <w:pPr>
              <w:pStyle w:val="6"/>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根据朔州市能源局下发的“</w:t>
            </w:r>
            <w:r>
              <w:rPr>
                <w:rFonts w:hint="eastAsia" w:ascii="Times New Roman" w:hAnsi="Times New Roman" w:eastAsia="宋体" w:cs="Times New Roman"/>
                <w:color w:val="auto"/>
                <w:sz w:val="24"/>
                <w:szCs w:val="24"/>
                <w:highlight w:val="none"/>
                <w:lang w:eastAsia="zh-CN"/>
              </w:rPr>
              <w:t>朔州市能源局关于印发《关于贯彻落实〈朔州市打赢蓝天保卫战三年行动计划〉的实施方案》的通知</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朔能源发〔</w:t>
            </w:r>
            <w:r>
              <w:rPr>
                <w:rFonts w:hint="eastAsia" w:ascii="Times New Roman" w:hAnsi="Times New Roman" w:eastAsia="宋体" w:cs="Times New Roman"/>
                <w:color w:val="auto"/>
                <w:sz w:val="24"/>
                <w:szCs w:val="24"/>
                <w:highlight w:val="none"/>
                <w:lang w:val="en-US" w:eastAsia="zh-CN"/>
              </w:rPr>
              <w:t>2019</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102</w:t>
            </w:r>
            <w:r>
              <w:rPr>
                <w:rFonts w:hint="eastAsia" w:ascii="Times New Roman" w:hAnsi="Times New Roman" w:eastAsia="宋体" w:cs="Times New Roman"/>
                <w:color w:val="auto"/>
                <w:sz w:val="24"/>
                <w:szCs w:val="24"/>
                <w:highlight w:val="none"/>
                <w:lang w:eastAsia="zh-CN"/>
              </w:rPr>
              <w:t>号</w:t>
            </w:r>
            <w:r>
              <w:rPr>
                <w:rFonts w:hint="eastAsia" w:ascii="Times New Roman" w:hAnsi="Times New Roman" w:eastAsia="宋体" w:cs="Times New Roman"/>
                <w:color w:val="auto"/>
                <w:sz w:val="24"/>
                <w:szCs w:val="24"/>
                <w:highlight w:val="none"/>
                <w:lang w:val="en-US" w:eastAsia="zh-CN"/>
              </w:rPr>
              <w:t>），“在具备资源条件的地方鼓励发展县域生物质热电联产、生物质成型燃料锅炉及生物质天然气，加大可再生能源消纳力度，拓展可再生能源电力的本地和外送消纳渠道，基本解决弃风、弃光的问题。”本项目</w:t>
            </w:r>
            <w:r>
              <w:rPr>
                <w:rFonts w:hint="eastAsia" w:cs="Times New Roman"/>
                <w:color w:val="auto"/>
                <w:sz w:val="24"/>
                <w:szCs w:val="24"/>
                <w:highlight w:val="none"/>
                <w:lang w:val="en-US" w:eastAsia="zh-CN"/>
              </w:rPr>
              <w:t>热风炉</w:t>
            </w:r>
            <w:r>
              <w:rPr>
                <w:rFonts w:hint="eastAsia" w:ascii="Times New Roman" w:hAnsi="Times New Roman" w:eastAsia="宋体" w:cs="Times New Roman"/>
                <w:color w:val="auto"/>
                <w:sz w:val="24"/>
                <w:szCs w:val="24"/>
                <w:highlight w:val="none"/>
                <w:lang w:val="en-US" w:eastAsia="zh-CN"/>
              </w:rPr>
              <w:t>采用</w:t>
            </w:r>
            <w:r>
              <w:rPr>
                <w:rFonts w:hint="eastAsia" w:cs="Times New Roman"/>
                <w:color w:val="auto"/>
                <w:sz w:val="24"/>
                <w:szCs w:val="24"/>
                <w:highlight w:val="none"/>
                <w:lang w:val="en-US" w:eastAsia="zh-CN"/>
              </w:rPr>
              <w:t>成型生物质燃料</w:t>
            </w:r>
            <w:r>
              <w:rPr>
                <w:rFonts w:hint="eastAsia" w:ascii="Times New Roman" w:hAnsi="Times New Roman" w:eastAsia="宋体" w:cs="Times New Roman"/>
                <w:color w:val="auto"/>
                <w:sz w:val="24"/>
                <w:szCs w:val="24"/>
                <w:highlight w:val="none"/>
                <w:lang w:val="en-US" w:eastAsia="zh-CN"/>
              </w:rPr>
              <w:t>，符合朔州市《关于贯彻落实〈朔州市打赢蓝天保卫战三年行动计划〉的实施方案》中的相关要求。</w:t>
            </w:r>
            <w:r>
              <w:rPr>
                <w:rFonts w:hint="eastAsia" w:cs="Times New Roman"/>
                <w:color w:val="auto"/>
                <w:sz w:val="24"/>
                <w:szCs w:val="24"/>
                <w:highlight w:val="none"/>
                <w:lang w:val="en-US" w:eastAsia="zh-CN"/>
              </w:rPr>
              <w:t>本项目使用外购的正规厂家生产的</w:t>
            </w:r>
            <w:r>
              <w:rPr>
                <w:rFonts w:hint="eastAsia" w:cs="Times New Roman"/>
                <w:color w:val="auto"/>
                <w:sz w:val="24"/>
                <w:szCs w:val="24"/>
                <w:highlight w:val="none"/>
                <w:lang w:eastAsia="zh-CN"/>
              </w:rPr>
              <w:t>成型生物质燃料，燃料袋装存放于生物质燃料储存库，</w:t>
            </w:r>
            <w:r>
              <w:rPr>
                <w:rFonts w:hint="eastAsia" w:cs="Times New Roman"/>
                <w:color w:val="auto"/>
                <w:sz w:val="24"/>
                <w:szCs w:val="24"/>
                <w:highlight w:val="none"/>
                <w:lang w:val="en-US" w:eastAsia="zh-CN"/>
              </w:rPr>
              <w:t>该燃料</w:t>
            </w:r>
            <w:r>
              <w:rPr>
                <w:rFonts w:hint="eastAsia" w:ascii="Times New Roman" w:hAnsi="Times New Roman" w:eastAsia="宋体" w:cs="Times New Roman"/>
                <w:color w:val="auto"/>
                <w:sz w:val="24"/>
                <w:szCs w:val="24"/>
                <w:highlight w:val="none"/>
                <w:lang w:eastAsia="zh-CN"/>
              </w:rPr>
              <w:t>成分</w:t>
            </w:r>
            <w:r>
              <w:rPr>
                <w:rFonts w:hint="eastAsia" w:cs="Times New Roman"/>
                <w:color w:val="auto"/>
                <w:sz w:val="24"/>
                <w:szCs w:val="24"/>
                <w:highlight w:val="none"/>
                <w:lang w:val="en-US" w:eastAsia="zh-CN"/>
              </w:rPr>
              <w:t>分析</w:t>
            </w:r>
            <w:r>
              <w:rPr>
                <w:rFonts w:hint="default" w:ascii="Times New Roman" w:hAnsi="Times New Roman" w:eastAsia="宋体" w:cs="Times New Roman"/>
                <w:color w:val="auto"/>
                <w:sz w:val="24"/>
                <w:szCs w:val="24"/>
                <w:highlight w:val="none"/>
                <w:lang w:eastAsia="zh-CN"/>
              </w:rPr>
              <w:t>见</w:t>
            </w:r>
            <w:r>
              <w:rPr>
                <w:rFonts w:hint="eastAsia" w:ascii="Times New Roman" w:hAnsi="Times New Roman" w:eastAsia="宋体" w:cs="Times New Roman"/>
                <w:color w:val="auto"/>
                <w:sz w:val="24"/>
                <w:szCs w:val="24"/>
                <w:highlight w:val="none"/>
                <w:lang w:eastAsia="zh-CN"/>
              </w:rPr>
              <w:t>下表</w:t>
            </w:r>
            <w:r>
              <w:rPr>
                <w:rFonts w:hint="default" w:ascii="Times New Roman" w:hAnsi="Times New Roman" w:eastAsia="宋体" w:cs="Times New Roman"/>
                <w:color w:val="auto"/>
                <w:sz w:val="24"/>
                <w:szCs w:val="24"/>
                <w:highlight w:val="none"/>
                <w:lang w:eastAsia="zh-CN"/>
              </w:rPr>
              <w:t>。</w:t>
            </w:r>
          </w:p>
          <w:p>
            <w:pPr>
              <w:pStyle w:val="39"/>
              <w:bidi w:val="0"/>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表 2-4</w:t>
            </w:r>
            <w:r>
              <w:rPr>
                <w:rFonts w:hint="default"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val="en-US" w:eastAsia="zh-CN"/>
              </w:rPr>
              <w:t>本项目成型生物质燃料参数一览表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915"/>
              <w:gridCol w:w="917"/>
              <w:gridCol w:w="978"/>
              <w:gridCol w:w="2062"/>
              <w:gridCol w:w="17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tcBorders>
                    <w:tl2br w:val="nil"/>
                    <w:tr2bl w:val="nil"/>
                  </w:tcBorders>
                  <w:noWrap w:val="0"/>
                  <w:vAlign w:val="center"/>
                </w:tcPr>
                <w:p>
                  <w:pPr>
                    <w:pStyle w:val="70"/>
                    <w:bidi w:val="0"/>
                    <w:rPr>
                      <w:rFonts w:hint="default"/>
                      <w:highlight w:val="none"/>
                    </w:rPr>
                  </w:pPr>
                  <w:r>
                    <w:rPr>
                      <w:rFonts w:hint="default"/>
                      <w:highlight w:val="none"/>
                    </w:rPr>
                    <w:t>序号</w:t>
                  </w:r>
                </w:p>
              </w:tc>
              <w:tc>
                <w:tcPr>
                  <w:tcW w:w="1124" w:type="pct"/>
                  <w:tcBorders>
                    <w:tl2br w:val="nil"/>
                    <w:tr2bl w:val="nil"/>
                  </w:tcBorders>
                  <w:noWrap w:val="0"/>
                  <w:vAlign w:val="center"/>
                </w:tcPr>
                <w:p>
                  <w:pPr>
                    <w:pStyle w:val="70"/>
                    <w:bidi w:val="0"/>
                    <w:rPr>
                      <w:rFonts w:hint="default"/>
                      <w:highlight w:val="none"/>
                    </w:rPr>
                  </w:pPr>
                  <w:r>
                    <w:rPr>
                      <w:rFonts w:hint="default"/>
                      <w:highlight w:val="none"/>
                    </w:rPr>
                    <w:t>名称</w:t>
                  </w:r>
                </w:p>
              </w:tc>
              <w:tc>
                <w:tcPr>
                  <w:tcW w:w="538" w:type="pct"/>
                  <w:tcBorders>
                    <w:tl2br w:val="nil"/>
                    <w:tr2bl w:val="nil"/>
                  </w:tcBorders>
                  <w:noWrap w:val="0"/>
                  <w:vAlign w:val="center"/>
                </w:tcPr>
                <w:p>
                  <w:pPr>
                    <w:pStyle w:val="70"/>
                    <w:bidi w:val="0"/>
                    <w:rPr>
                      <w:rFonts w:hint="eastAsia" w:eastAsia="宋体"/>
                      <w:highlight w:val="none"/>
                      <w:lang w:eastAsia="zh-CN"/>
                    </w:rPr>
                  </w:pPr>
                  <w:r>
                    <w:rPr>
                      <w:rFonts w:hint="eastAsia"/>
                      <w:highlight w:val="none"/>
                      <w:lang w:eastAsia="zh-CN"/>
                    </w:rPr>
                    <w:t>符号</w:t>
                  </w:r>
                </w:p>
              </w:tc>
              <w:tc>
                <w:tcPr>
                  <w:tcW w:w="574" w:type="pct"/>
                  <w:tcBorders>
                    <w:tl2br w:val="nil"/>
                    <w:tr2bl w:val="nil"/>
                  </w:tcBorders>
                  <w:noWrap w:val="0"/>
                  <w:vAlign w:val="center"/>
                </w:tcPr>
                <w:p>
                  <w:pPr>
                    <w:pStyle w:val="70"/>
                    <w:bidi w:val="0"/>
                    <w:rPr>
                      <w:rFonts w:hint="default"/>
                      <w:highlight w:val="none"/>
                    </w:rPr>
                  </w:pPr>
                  <w:r>
                    <w:rPr>
                      <w:rFonts w:hint="default"/>
                      <w:highlight w:val="none"/>
                    </w:rPr>
                    <w:t>单位</w:t>
                  </w:r>
                </w:p>
              </w:tc>
              <w:tc>
                <w:tcPr>
                  <w:tcW w:w="1210" w:type="pct"/>
                  <w:tcBorders>
                    <w:tl2br w:val="nil"/>
                    <w:tr2bl w:val="nil"/>
                  </w:tcBorders>
                  <w:noWrap w:val="0"/>
                  <w:vAlign w:val="center"/>
                </w:tcPr>
                <w:p>
                  <w:pPr>
                    <w:pStyle w:val="70"/>
                    <w:bidi w:val="0"/>
                    <w:rPr>
                      <w:rFonts w:hint="default" w:eastAsia="宋体"/>
                      <w:highlight w:val="none"/>
                      <w:lang w:val="en-US" w:eastAsia="zh-CN"/>
                    </w:rPr>
                  </w:pPr>
                  <w:r>
                    <w:rPr>
                      <w:rFonts w:hint="eastAsia"/>
                      <w:highlight w:val="none"/>
                      <w:lang w:val="en-US" w:eastAsia="zh-CN"/>
                    </w:rPr>
                    <w:t>收到基ar</w:t>
                  </w:r>
                </w:p>
              </w:tc>
              <w:tc>
                <w:tcPr>
                  <w:tcW w:w="1054" w:type="pct"/>
                  <w:tcBorders>
                    <w:tl2br w:val="nil"/>
                    <w:tr2bl w:val="nil"/>
                  </w:tcBorders>
                  <w:noWrap w:val="0"/>
                  <w:vAlign w:val="center"/>
                </w:tcPr>
                <w:p>
                  <w:pPr>
                    <w:pStyle w:val="70"/>
                    <w:bidi w:val="0"/>
                    <w:rPr>
                      <w:rFonts w:hint="default"/>
                      <w:highlight w:val="none"/>
                      <w:lang w:val="en-US" w:eastAsia="zh-CN"/>
                    </w:rPr>
                  </w:pPr>
                  <w:r>
                    <w:rPr>
                      <w:rFonts w:hint="eastAsia"/>
                      <w:highlight w:val="none"/>
                      <w:lang w:eastAsia="zh-CN"/>
                    </w:rPr>
                    <w:t>空气干燥基</w:t>
                  </w:r>
                  <w:r>
                    <w:rPr>
                      <w:rFonts w:hint="eastAsia"/>
                      <w:highlight w:val="none"/>
                      <w:lang w:val="en-US" w:eastAsia="zh-CN"/>
                    </w:rPr>
                    <w:t>ad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eastAsia="zh-CN"/>
                    </w:rPr>
                  </w:pPr>
                  <w:r>
                    <w:rPr>
                      <w:rFonts w:hint="default" w:ascii="Times New Roman" w:hAnsi="Times New Roman" w:eastAsia="宋体" w:cs="Times New Roman"/>
                      <w:bCs/>
                      <w:color w:val="auto"/>
                      <w:sz w:val="21"/>
                      <w:szCs w:val="21"/>
                      <w:highlight w:val="none"/>
                      <w:vertAlign w:val="baseline"/>
                      <w:lang w:eastAsia="zh-CN"/>
                    </w:rPr>
                    <w:t>1</w:t>
                  </w:r>
                </w:p>
              </w:tc>
              <w:tc>
                <w:tcPr>
                  <w:tcW w:w="112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ascii="Times New Roman" w:hAnsi="Times New Roman" w:eastAsia="宋体" w:cs="Times New Roman"/>
                      <w:bCs/>
                      <w:color w:val="auto"/>
                      <w:sz w:val="21"/>
                      <w:szCs w:val="21"/>
                      <w:highlight w:val="none"/>
                      <w:vertAlign w:val="baseline"/>
                      <w:lang w:eastAsia="zh-CN"/>
                    </w:rPr>
                    <w:t>全水分</w:t>
                  </w:r>
                </w:p>
              </w:tc>
              <w:tc>
                <w:tcPr>
                  <w:tcW w:w="538"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M</w:t>
                  </w:r>
                  <w:r>
                    <w:rPr>
                      <w:rFonts w:hint="eastAsia" w:ascii="Times New Roman" w:hAnsi="Times New Roman" w:eastAsia="宋体" w:cs="Times New Roman"/>
                      <w:bCs/>
                      <w:color w:val="auto"/>
                      <w:sz w:val="21"/>
                      <w:szCs w:val="21"/>
                      <w:highlight w:val="none"/>
                      <w:vertAlign w:val="subscript"/>
                      <w:lang w:val="en-US" w:eastAsia="zh-CN"/>
                    </w:rPr>
                    <w:t>t</w:t>
                  </w:r>
                </w:p>
              </w:tc>
              <w:tc>
                <w:tcPr>
                  <w:tcW w:w="57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w:t>
                  </w:r>
                </w:p>
              </w:tc>
              <w:tc>
                <w:tcPr>
                  <w:tcW w:w="1210"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6.4</w:t>
                  </w:r>
                </w:p>
              </w:tc>
              <w:tc>
                <w:tcPr>
                  <w:tcW w:w="105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eastAsia="zh-CN"/>
                    </w:rPr>
                    <w:t>2</w:t>
                  </w:r>
                </w:p>
              </w:tc>
              <w:tc>
                <w:tcPr>
                  <w:tcW w:w="112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ascii="Times New Roman" w:hAnsi="Times New Roman" w:eastAsia="宋体" w:cs="Times New Roman"/>
                      <w:bCs/>
                      <w:color w:val="auto"/>
                      <w:sz w:val="21"/>
                      <w:szCs w:val="21"/>
                      <w:highlight w:val="none"/>
                      <w:vertAlign w:val="baseline"/>
                      <w:lang w:eastAsia="zh-CN"/>
                    </w:rPr>
                    <w:t>空气干燥煤样水分</w:t>
                  </w:r>
                </w:p>
              </w:tc>
              <w:tc>
                <w:tcPr>
                  <w:tcW w:w="538"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M</w:t>
                  </w:r>
                  <w:r>
                    <w:rPr>
                      <w:rFonts w:hint="eastAsia" w:ascii="Times New Roman" w:hAnsi="Times New Roman" w:eastAsia="宋体" w:cs="Times New Roman"/>
                      <w:bCs/>
                      <w:color w:val="auto"/>
                      <w:sz w:val="21"/>
                      <w:szCs w:val="21"/>
                      <w:highlight w:val="none"/>
                      <w:vertAlign w:val="subscript"/>
                      <w:lang w:val="en-US" w:eastAsia="zh-CN"/>
                    </w:rPr>
                    <w:t>ad</w:t>
                  </w:r>
                </w:p>
              </w:tc>
              <w:tc>
                <w:tcPr>
                  <w:tcW w:w="57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w:t>
                  </w:r>
                </w:p>
              </w:tc>
              <w:tc>
                <w:tcPr>
                  <w:tcW w:w="1210"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w:t>
                  </w:r>
                </w:p>
              </w:tc>
              <w:tc>
                <w:tcPr>
                  <w:tcW w:w="105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eastAsia="zh-CN"/>
                    </w:rPr>
                    <w:t>3</w:t>
                  </w:r>
                </w:p>
              </w:tc>
              <w:tc>
                <w:tcPr>
                  <w:tcW w:w="112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灰分</w:t>
                  </w:r>
                </w:p>
              </w:tc>
              <w:tc>
                <w:tcPr>
                  <w:tcW w:w="538"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A</w:t>
                  </w:r>
                </w:p>
              </w:tc>
              <w:tc>
                <w:tcPr>
                  <w:tcW w:w="57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w:t>
                  </w:r>
                </w:p>
              </w:tc>
              <w:tc>
                <w:tcPr>
                  <w:tcW w:w="1210"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5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4</w:t>
                  </w:r>
                </w:p>
              </w:tc>
              <w:tc>
                <w:tcPr>
                  <w:tcW w:w="112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ascii="Times New Roman" w:hAnsi="Times New Roman" w:eastAsia="宋体" w:cs="Times New Roman"/>
                      <w:bCs/>
                      <w:color w:val="auto"/>
                      <w:sz w:val="21"/>
                      <w:szCs w:val="21"/>
                      <w:highlight w:val="none"/>
                      <w:vertAlign w:val="baseline"/>
                      <w:lang w:eastAsia="zh-CN"/>
                    </w:rPr>
                    <w:t>挥发分</w:t>
                  </w:r>
                </w:p>
              </w:tc>
              <w:tc>
                <w:tcPr>
                  <w:tcW w:w="538"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V</w:t>
                  </w:r>
                </w:p>
              </w:tc>
              <w:tc>
                <w:tcPr>
                  <w:tcW w:w="57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w:t>
                  </w:r>
                </w:p>
              </w:tc>
              <w:tc>
                <w:tcPr>
                  <w:tcW w:w="1210"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5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82.7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5</w:t>
                  </w:r>
                </w:p>
              </w:tc>
              <w:tc>
                <w:tcPr>
                  <w:tcW w:w="112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ascii="Times New Roman" w:hAnsi="Times New Roman" w:eastAsia="宋体" w:cs="Times New Roman"/>
                      <w:bCs/>
                      <w:color w:val="auto"/>
                      <w:sz w:val="21"/>
                      <w:szCs w:val="21"/>
                      <w:highlight w:val="none"/>
                      <w:vertAlign w:val="baseline"/>
                      <w:lang w:eastAsia="zh-CN"/>
                    </w:rPr>
                    <w:t>固定碳</w:t>
                  </w:r>
                </w:p>
              </w:tc>
              <w:tc>
                <w:tcPr>
                  <w:tcW w:w="538"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F</w:t>
                  </w:r>
                  <w:r>
                    <w:rPr>
                      <w:rFonts w:hint="eastAsia" w:ascii="Times New Roman" w:hAnsi="Times New Roman" w:eastAsia="宋体" w:cs="Times New Roman"/>
                      <w:bCs/>
                      <w:color w:val="auto"/>
                      <w:sz w:val="21"/>
                      <w:szCs w:val="21"/>
                      <w:highlight w:val="none"/>
                      <w:vertAlign w:val="subscript"/>
                      <w:lang w:val="en-US" w:eastAsia="zh-CN"/>
                    </w:rPr>
                    <w:t>C</w:t>
                  </w:r>
                </w:p>
              </w:tc>
              <w:tc>
                <w:tcPr>
                  <w:tcW w:w="57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w:t>
                  </w:r>
                </w:p>
              </w:tc>
              <w:tc>
                <w:tcPr>
                  <w:tcW w:w="1210"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5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6</w:t>
                  </w:r>
                </w:p>
              </w:tc>
              <w:tc>
                <w:tcPr>
                  <w:tcW w:w="112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eastAsia="zh-CN"/>
                    </w:rPr>
                    <w:t>全硫</w:t>
                  </w:r>
                </w:p>
              </w:tc>
              <w:tc>
                <w:tcPr>
                  <w:tcW w:w="538"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S</w:t>
                  </w:r>
                  <w:r>
                    <w:rPr>
                      <w:rFonts w:hint="eastAsia" w:ascii="Times New Roman" w:hAnsi="Times New Roman" w:eastAsia="宋体" w:cs="Times New Roman"/>
                      <w:bCs/>
                      <w:color w:val="auto"/>
                      <w:sz w:val="21"/>
                      <w:szCs w:val="21"/>
                      <w:highlight w:val="none"/>
                      <w:vertAlign w:val="subscript"/>
                      <w:lang w:val="en-US" w:eastAsia="zh-CN"/>
                    </w:rPr>
                    <w:t>t</w:t>
                  </w:r>
                </w:p>
              </w:tc>
              <w:tc>
                <w:tcPr>
                  <w:tcW w:w="57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w:t>
                  </w:r>
                </w:p>
              </w:tc>
              <w:tc>
                <w:tcPr>
                  <w:tcW w:w="1210"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05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7</w:t>
                  </w:r>
                </w:p>
              </w:tc>
              <w:tc>
                <w:tcPr>
                  <w:tcW w:w="112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低位发热值</w:t>
                  </w:r>
                </w:p>
              </w:tc>
              <w:tc>
                <w:tcPr>
                  <w:tcW w:w="538"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Q</w:t>
                  </w:r>
                  <w:r>
                    <w:rPr>
                      <w:rFonts w:hint="eastAsia" w:ascii="Times New Roman" w:hAnsi="Times New Roman" w:eastAsia="宋体" w:cs="Times New Roman"/>
                      <w:bCs/>
                      <w:color w:val="auto"/>
                      <w:sz w:val="21"/>
                      <w:szCs w:val="21"/>
                      <w:highlight w:val="none"/>
                      <w:vertAlign w:val="subscript"/>
                      <w:lang w:val="en-US" w:eastAsia="zh-CN"/>
                    </w:rPr>
                    <w:t>net</w:t>
                  </w:r>
                </w:p>
              </w:tc>
              <w:tc>
                <w:tcPr>
                  <w:tcW w:w="57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Kcal/kg</w:t>
                  </w:r>
                </w:p>
              </w:tc>
              <w:tc>
                <w:tcPr>
                  <w:tcW w:w="1210"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4248</w:t>
                  </w:r>
                </w:p>
              </w:tc>
              <w:tc>
                <w:tcPr>
                  <w:tcW w:w="1054" w:type="pct"/>
                  <w:tcBorders>
                    <w:tl2br w:val="nil"/>
                    <w:tr2bl w:val="nil"/>
                  </w:tcBorders>
                  <w:noWrap w:val="0"/>
                  <w:vAlign w:val="center"/>
                </w:tcPr>
                <w:p>
                  <w:pPr>
                    <w:keepNext w:val="0"/>
                    <w:keepLines w:val="0"/>
                    <w:pageBreakBefore w:val="0"/>
                    <w:widowControl w:val="0"/>
                    <w:tabs>
                      <w:tab w:val="left" w:pos="135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2" w:firstLineChars="200"/>
              <w:jc w:val="both"/>
              <w:textAlignment w:val="auto"/>
              <w:rPr>
                <w:rFonts w:hint="eastAsia" w:eastAsia="宋体"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5</w:t>
            </w:r>
            <w:r>
              <w:rPr>
                <w:rFonts w:hint="eastAsia" w:eastAsia="宋体" w:cs="Times New Roman"/>
                <w:b/>
                <w:color w:val="auto"/>
                <w:kern w:val="0"/>
                <w:sz w:val="24"/>
                <w:szCs w:val="24"/>
                <w:highlight w:val="none"/>
                <w:lang w:val="en-US" w:eastAsia="zh-CN"/>
              </w:rPr>
              <w:t>、劳动定员及工作制度</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本项目劳动定员1</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人，其中管理人员</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人，生产员工</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人。工作制度为</w:t>
            </w:r>
            <w:r>
              <w:rPr>
                <w:rFonts w:hint="default" w:ascii="Times New Roman" w:hAnsi="Times New Roman" w:cs="Times New Roman"/>
                <w:color w:val="auto"/>
                <w:sz w:val="24"/>
                <w:szCs w:val="24"/>
                <w:highlight w:val="none"/>
                <w:lang w:val="en-US" w:eastAsia="zh-CN"/>
              </w:rPr>
              <w:t>两</w:t>
            </w:r>
            <w:r>
              <w:rPr>
                <w:rFonts w:hint="default" w:ascii="Times New Roman" w:hAnsi="Times New Roman" w:cs="Times New Roman"/>
                <w:color w:val="auto"/>
                <w:sz w:val="24"/>
                <w:szCs w:val="24"/>
                <w:highlight w:val="none"/>
              </w:rPr>
              <w:t>班制，每班</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小时，每年工作天数为</w:t>
            </w:r>
            <w:r>
              <w:rPr>
                <w:rFonts w:hint="eastAsia" w:cs="Times New Roman"/>
                <w:color w:val="auto"/>
                <w:sz w:val="24"/>
                <w:szCs w:val="24"/>
                <w:highlight w:val="none"/>
                <w:lang w:val="en-US" w:eastAsia="zh-CN"/>
              </w:rPr>
              <w:t>330</w:t>
            </w:r>
            <w:r>
              <w:rPr>
                <w:rFonts w:hint="default" w:ascii="Times New Roman" w:hAnsi="Times New Roman" w:cs="Times New Roman"/>
                <w:color w:val="auto"/>
                <w:sz w:val="24"/>
                <w:szCs w:val="24"/>
                <w:highlight w:val="none"/>
              </w:rPr>
              <w:t>天。</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both"/>
              <w:textAlignment w:val="auto"/>
              <w:rPr>
                <w:rFonts w:hint="eastAsia" w:eastAsia="宋体"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6</w:t>
            </w:r>
            <w:r>
              <w:rPr>
                <w:rFonts w:hint="eastAsia" w:eastAsia="宋体" w:cs="Times New Roman"/>
                <w:b/>
                <w:color w:val="auto"/>
                <w:kern w:val="0"/>
                <w:sz w:val="24"/>
                <w:szCs w:val="24"/>
                <w:highlight w:val="none"/>
                <w:lang w:val="en-US" w:eastAsia="zh-CN"/>
              </w:rPr>
              <w:t>、平面布置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本项目北侧为湿煤泥库，南侧为煤泥烘干车间，干煤泥库位于东侧，一般固废区和燃料库位于煤泥烘干车间，危废间位于干煤泥库。</w:t>
            </w:r>
            <w:r>
              <w:rPr>
                <w:rFonts w:hint="default" w:ascii="Times New Roman" w:hAnsi="Times New Roman" w:cs="Times New Roman"/>
                <w:color w:val="auto"/>
                <w:sz w:val="24"/>
                <w:szCs w:val="24"/>
                <w:highlight w:val="none"/>
                <w:lang w:eastAsia="zh-CN"/>
              </w:rPr>
              <w:t>初期雨水收集池位于厂区地势最低处（</w:t>
            </w:r>
            <w:r>
              <w:rPr>
                <w:rFonts w:hint="eastAsia" w:cs="Times New Roman"/>
                <w:color w:val="auto"/>
                <w:sz w:val="24"/>
                <w:szCs w:val="24"/>
                <w:highlight w:val="none"/>
                <w:lang w:eastAsia="zh-CN"/>
              </w:rPr>
              <w:t>西北</w:t>
            </w:r>
            <w:r>
              <w:rPr>
                <w:rFonts w:hint="eastAsia" w:ascii="Times New Roman" w:hAnsi="Times New Roman" w:cs="Times New Roman"/>
                <w:color w:val="auto"/>
                <w:sz w:val="24"/>
                <w:szCs w:val="24"/>
                <w:highlight w:val="none"/>
                <w:lang w:eastAsia="zh-CN"/>
              </w:rPr>
              <w:t>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。厂区</w:t>
            </w:r>
            <w:r>
              <w:rPr>
                <w:rFonts w:hint="eastAsia" w:ascii="Times New Roman" w:hAnsi="Times New Roman" w:cs="Times New Roman"/>
                <w:color w:val="auto"/>
                <w:sz w:val="24"/>
                <w:szCs w:val="24"/>
                <w:highlight w:val="none"/>
                <w:lang w:val="en-US" w:eastAsia="zh-CN"/>
              </w:rPr>
              <w:t>出口</w:t>
            </w:r>
            <w:r>
              <w:rPr>
                <w:rFonts w:hint="default" w:ascii="Times New Roman" w:hAnsi="Times New Roman" w:cs="Times New Roman"/>
                <w:color w:val="auto"/>
                <w:sz w:val="24"/>
                <w:szCs w:val="24"/>
                <w:highlight w:val="none"/>
              </w:rPr>
              <w:t>处设置洗车平台。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全厂平面布置见附图</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2" w:firstLineChars="200"/>
              <w:jc w:val="both"/>
              <w:textAlignment w:val="auto"/>
              <w:rPr>
                <w:rFonts w:hint="eastAsia" w:eastAsia="宋体"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7</w:t>
            </w:r>
            <w:r>
              <w:rPr>
                <w:rFonts w:hint="eastAsia" w:eastAsia="宋体" w:cs="Times New Roman"/>
                <w:b/>
                <w:color w:val="auto"/>
                <w:kern w:val="0"/>
                <w:sz w:val="24"/>
                <w:szCs w:val="24"/>
                <w:highlight w:val="none"/>
                <w:lang w:val="en-US" w:eastAsia="zh-CN"/>
              </w:rPr>
              <w:t>、</w:t>
            </w:r>
            <w:r>
              <w:rPr>
                <w:rFonts w:hint="eastAsia" w:cs="Times New Roman"/>
                <w:b/>
                <w:color w:val="auto"/>
                <w:kern w:val="0"/>
                <w:sz w:val="24"/>
                <w:szCs w:val="24"/>
                <w:highlight w:val="none"/>
                <w:lang w:val="en-US" w:eastAsia="zh-CN"/>
              </w:rPr>
              <w:t>水平衡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用水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lang w:val="zh-CN"/>
              </w:rPr>
              <w:t>本项目用水主要包括：</w:t>
            </w:r>
            <w:r>
              <w:rPr>
                <w:rFonts w:hint="default" w:ascii="Times New Roman" w:hAnsi="Times New Roman" w:cs="Times New Roman"/>
                <w:color w:val="auto"/>
                <w:sz w:val="24"/>
                <w:szCs w:val="24"/>
                <w:highlight w:val="none"/>
              </w:rPr>
              <w:t>生活用水、</w:t>
            </w:r>
            <w:r>
              <w:rPr>
                <w:rFonts w:hint="eastAsia" w:cs="Times New Roman"/>
                <w:color w:val="auto"/>
                <w:sz w:val="24"/>
                <w:szCs w:val="24"/>
                <w:highlight w:val="none"/>
                <w:lang w:eastAsia="zh-CN"/>
              </w:rPr>
              <w:t>道路</w:t>
            </w:r>
            <w:r>
              <w:rPr>
                <w:rFonts w:hint="default" w:ascii="Times New Roman" w:hAnsi="Times New Roman" w:cs="Times New Roman"/>
                <w:color w:val="auto"/>
                <w:sz w:val="24"/>
                <w:szCs w:val="24"/>
                <w:highlight w:val="none"/>
              </w:rPr>
              <w:t>洒水、</w:t>
            </w:r>
            <w:r>
              <w:rPr>
                <w:rFonts w:hint="default" w:ascii="Times New Roman" w:hAnsi="Times New Roman" w:cs="Times New Roman"/>
                <w:bCs/>
                <w:color w:val="auto"/>
                <w:sz w:val="24"/>
                <w:szCs w:val="24"/>
                <w:highlight w:val="none"/>
              </w:rPr>
              <w:t>洗车平台补充用水等</w:t>
            </w:r>
            <w:r>
              <w:rPr>
                <w:rFonts w:hint="default" w:ascii="Times New Roman" w:hAnsi="Times New Roman"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eastAsia" w:cs="Times New Roman"/>
                <w:bCs/>
                <w:color w:val="auto"/>
                <w:sz w:val="24"/>
                <w:szCs w:val="24"/>
                <w:highlight w:val="none"/>
                <w:lang w:val="en-US" w:eastAsia="zh-CN"/>
              </w:rPr>
              <w:t>a</w:t>
            </w:r>
            <w:r>
              <w:rPr>
                <w:rFonts w:hint="eastAsia"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生活用水：</w:t>
            </w:r>
            <w:r>
              <w:rPr>
                <w:rFonts w:hint="default" w:ascii="Times New Roman" w:hAnsi="Times New Roman" w:cs="Times New Roman"/>
                <w:color w:val="auto"/>
                <w:sz w:val="24"/>
                <w:szCs w:val="24"/>
                <w:highlight w:val="none"/>
              </w:rPr>
              <w:t>本项目的职工为当地居民，不提供食宿。</w:t>
            </w:r>
            <w:r>
              <w:rPr>
                <w:rFonts w:hint="default"/>
                <w:color w:val="auto"/>
                <w:sz w:val="24"/>
                <w:szCs w:val="24"/>
                <w:highlight w:val="none"/>
              </w:rPr>
              <w:t>本项目生活用水参照《山西省用水定额》</w:t>
            </w:r>
            <w:r>
              <w:rPr>
                <w:rFonts w:hint="eastAsia"/>
                <w:color w:val="auto"/>
                <w:sz w:val="24"/>
                <w:szCs w:val="24"/>
                <w:highlight w:val="none"/>
                <w:lang w:eastAsia="zh-CN"/>
              </w:rPr>
              <w:t>（</w:t>
            </w:r>
            <w:r>
              <w:rPr>
                <w:rFonts w:hint="default"/>
                <w:color w:val="auto"/>
                <w:sz w:val="24"/>
                <w:szCs w:val="24"/>
                <w:highlight w:val="none"/>
              </w:rPr>
              <w:t>DB14/T 1049.4-2021</w:t>
            </w:r>
            <w:r>
              <w:rPr>
                <w:rFonts w:hint="eastAsia"/>
                <w:color w:val="auto"/>
                <w:sz w:val="24"/>
                <w:szCs w:val="24"/>
                <w:highlight w:val="none"/>
                <w:lang w:eastAsia="zh-CN"/>
              </w:rPr>
              <w:t>）</w:t>
            </w:r>
            <w:r>
              <w:rPr>
                <w:rFonts w:hint="default"/>
                <w:color w:val="auto"/>
                <w:sz w:val="24"/>
                <w:szCs w:val="24"/>
                <w:highlight w:val="none"/>
              </w:rPr>
              <w:t>中的农村分散式供水的用水定额：70L/人</w:t>
            </w:r>
            <w:r>
              <w:rPr>
                <w:rFonts w:hint="default" w:ascii="Times New Roman" w:hAnsi="Times New Roman" w:cs="Times New Roman"/>
                <w:color w:val="auto"/>
                <w:sz w:val="24"/>
                <w:szCs w:val="24"/>
                <w:highlight w:val="none"/>
              </w:rPr>
              <w:t>·</w:t>
            </w:r>
            <w:r>
              <w:rPr>
                <w:rFonts w:hint="default"/>
                <w:color w:val="auto"/>
                <w:sz w:val="24"/>
                <w:szCs w:val="24"/>
                <w:highlight w:val="none"/>
              </w:rPr>
              <w:t>d，人员</w:t>
            </w:r>
            <w:r>
              <w:rPr>
                <w:rFonts w:hint="eastAsia"/>
                <w:color w:val="auto"/>
                <w:sz w:val="24"/>
                <w:szCs w:val="24"/>
                <w:highlight w:val="none"/>
                <w:lang w:val="en-US" w:eastAsia="zh-CN"/>
              </w:rPr>
              <w:t>15</w:t>
            </w:r>
            <w:r>
              <w:rPr>
                <w:rFonts w:hint="default"/>
                <w:color w:val="auto"/>
                <w:sz w:val="24"/>
                <w:szCs w:val="24"/>
                <w:highlight w:val="none"/>
              </w:rPr>
              <w:t>人，则用水量为</w:t>
            </w:r>
            <w:r>
              <w:rPr>
                <w:rFonts w:hint="eastAsia"/>
                <w:color w:val="auto"/>
                <w:sz w:val="24"/>
                <w:szCs w:val="24"/>
                <w:highlight w:val="none"/>
                <w:lang w:val="en-US" w:eastAsia="zh-CN"/>
              </w:rPr>
              <w:t>1.05</w:t>
            </w:r>
            <w:r>
              <w:rPr>
                <w:rFonts w:hint="default"/>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/d</w:t>
            </w:r>
            <w:r>
              <w:rPr>
                <w:rFonts w:hint="eastAsia"/>
                <w:color w:val="auto"/>
                <w:sz w:val="24"/>
                <w:szCs w:val="24"/>
                <w:highlight w:val="none"/>
                <w:lang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b</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道路洒水：</w:t>
            </w:r>
            <w:r>
              <w:rPr>
                <w:rFonts w:hint="default" w:ascii="Times New Roman" w:hAnsi="Times New Roman" w:cs="Times New Roman"/>
                <w:b w:val="0"/>
                <w:bCs w:val="0"/>
                <w:color w:val="auto"/>
                <w:sz w:val="24"/>
                <w:szCs w:val="24"/>
                <w:highlight w:val="none"/>
                <w:lang w:val="en-US" w:eastAsia="zh-CN"/>
              </w:rPr>
              <w:t>参考《山西省用水定额》（DB14/T1049.3-20</w:t>
            </w:r>
            <w:r>
              <w:rPr>
                <w:rFonts w:hint="eastAsia" w:cs="Times New Roman"/>
                <w:b w:val="0"/>
                <w:bCs w:val="0"/>
                <w:color w:val="auto"/>
                <w:sz w:val="24"/>
                <w:szCs w:val="24"/>
                <w:highlight w:val="none"/>
                <w:lang w:val="en-US" w:eastAsia="zh-CN"/>
              </w:rPr>
              <w:t>21</w:t>
            </w:r>
            <w:r>
              <w:rPr>
                <w:rFonts w:hint="default" w:ascii="Times New Roman" w:hAnsi="Times New Roman" w:cs="Times New Roman"/>
                <w:b w:val="0"/>
                <w:bCs w:val="0"/>
                <w:color w:val="auto"/>
                <w:sz w:val="24"/>
                <w:szCs w:val="24"/>
                <w:highlight w:val="none"/>
                <w:lang w:val="en-US" w:eastAsia="zh-CN"/>
              </w:rPr>
              <w:t>）中浇洒道路用水</w:t>
            </w:r>
            <w:r>
              <w:rPr>
                <w:rFonts w:hint="eastAsia" w:ascii="Times New Roman" w:hAnsi="Times New Roman" w:cs="Times New Roman"/>
                <w:b w:val="0"/>
                <w:bCs w:val="0"/>
                <w:color w:val="auto"/>
                <w:sz w:val="24"/>
                <w:szCs w:val="24"/>
                <w:highlight w:val="none"/>
                <w:lang w:val="en-US" w:eastAsia="zh-CN"/>
              </w:rPr>
              <w:t>先</w:t>
            </w:r>
            <w:r>
              <w:rPr>
                <w:rFonts w:hint="eastAsia" w:cs="Times New Roman"/>
                <w:b w:val="0"/>
                <w:bCs w:val="0"/>
                <w:color w:val="auto"/>
                <w:sz w:val="24"/>
                <w:szCs w:val="24"/>
                <w:highlight w:val="none"/>
                <w:lang w:val="en-US" w:eastAsia="zh-CN"/>
              </w:rPr>
              <w:t>进值</w:t>
            </w:r>
            <w:r>
              <w:rPr>
                <w:rFonts w:hint="default" w:ascii="Times New Roman" w:hAnsi="Times New Roman" w:cs="Times New Roman"/>
                <w:b w:val="0"/>
                <w:bCs w:val="0"/>
                <w:color w:val="auto"/>
                <w:sz w:val="24"/>
                <w:szCs w:val="24"/>
                <w:highlight w:val="none"/>
                <w:lang w:val="en-US" w:eastAsia="zh-CN"/>
              </w:rPr>
              <w:t>定额，道路洒水按照</w:t>
            </w:r>
            <w:r>
              <w:rPr>
                <w:rFonts w:hint="eastAsia" w:ascii="Times New Roman" w:hAnsi="Times New Roman" w:cs="Times New Roman"/>
                <w:b w:val="0"/>
                <w:bCs w:val="0"/>
                <w:color w:val="auto"/>
                <w:sz w:val="24"/>
                <w:szCs w:val="24"/>
                <w:highlight w:val="none"/>
                <w:lang w:val="en-US" w:eastAsia="zh-CN"/>
              </w:rPr>
              <w:t>1.5</w:t>
            </w:r>
            <w:r>
              <w:rPr>
                <w:rFonts w:hint="default" w:ascii="Times New Roman" w:hAnsi="Times New Roman" w:cs="Times New Roman"/>
                <w:b w:val="0"/>
                <w:bCs w:val="0"/>
                <w:color w:val="auto"/>
                <w:sz w:val="24"/>
                <w:szCs w:val="24"/>
                <w:highlight w:val="none"/>
                <w:lang w:val="en-US" w:eastAsia="zh-CN"/>
              </w:rPr>
              <w:t>L/（m</w:t>
            </w:r>
            <w:r>
              <w:rPr>
                <w:rFonts w:hint="default" w:ascii="Times New Roman" w:hAnsi="Times New Roman" w:cs="Times New Roman"/>
                <w:b w:val="0"/>
                <w:bCs w:val="0"/>
                <w:color w:val="auto"/>
                <w:sz w:val="24"/>
                <w:szCs w:val="24"/>
                <w:highlight w:val="none"/>
                <w:vertAlign w:val="superscript"/>
                <w:lang w:val="en-US" w:eastAsia="zh-CN"/>
              </w:rPr>
              <w:t>2</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d</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本项目道路硬化面积约</w:t>
            </w:r>
            <w:r>
              <w:rPr>
                <w:rFonts w:hint="eastAsia"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lang w:val="en-US" w:eastAsia="zh-CN"/>
              </w:rPr>
              <w:t>00m</w:t>
            </w:r>
            <w:r>
              <w:rPr>
                <w:rFonts w:hint="eastAsia"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则本项目道路洒水用水量为</w:t>
            </w:r>
            <w:r>
              <w:rPr>
                <w:rFonts w:hint="eastAsia" w:cs="Times New Roman"/>
                <w:b w:val="0"/>
                <w:bCs w:val="0"/>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lang w:val="en-US" w:eastAsia="zh-CN"/>
              </w:rPr>
              <w:t>/d。</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c</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洗车平台补充用水：本项目建成后，平均每天来往车辆约</w:t>
            </w:r>
            <w:r>
              <w:rPr>
                <w:rFonts w:hint="eastAsia" w:cs="Times New Roman"/>
                <w:color w:val="auto"/>
                <w:sz w:val="24"/>
                <w:szCs w:val="24"/>
                <w:highlight w:val="none"/>
                <w:lang w:val="en-US" w:eastAsia="zh-CN"/>
              </w:rPr>
              <w:t>43</w:t>
            </w:r>
            <w:r>
              <w:rPr>
                <w:rFonts w:hint="default" w:ascii="Times New Roman" w:hAnsi="Times New Roman" w:cs="Times New Roman"/>
                <w:color w:val="auto"/>
                <w:sz w:val="24"/>
                <w:szCs w:val="24"/>
                <w:highlight w:val="none"/>
              </w:rPr>
              <w:t>辆（每辆载重</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0t），</w:t>
            </w:r>
            <w:r>
              <w:rPr>
                <w:rFonts w:hint="default" w:ascii="Times New Roman" w:hAnsi="Times New Roman" w:cs="Times New Roman"/>
                <w:b w:val="0"/>
                <w:bCs w:val="0"/>
                <w:color w:val="auto"/>
                <w:sz w:val="24"/>
                <w:szCs w:val="24"/>
                <w:highlight w:val="none"/>
                <w:lang w:val="en-US" w:eastAsia="zh-CN"/>
              </w:rPr>
              <w:t>参照《山西省用水定额》（DB14/T1049.3-20</w:t>
            </w:r>
            <w:r>
              <w:rPr>
                <w:rFonts w:hint="eastAsia" w:cs="Times New Roman"/>
                <w:b w:val="0"/>
                <w:bCs w:val="0"/>
                <w:color w:val="auto"/>
                <w:sz w:val="24"/>
                <w:szCs w:val="24"/>
                <w:highlight w:val="none"/>
                <w:lang w:val="en-US" w:eastAsia="zh-CN"/>
              </w:rPr>
              <w:t>21</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中</w:t>
            </w:r>
            <w:r>
              <w:rPr>
                <w:rFonts w:hint="default" w:ascii="Times New Roman" w:hAnsi="Times New Roman" w:cs="Times New Roman"/>
                <w:b w:val="0"/>
                <w:bCs w:val="0"/>
                <w:color w:val="auto"/>
                <w:sz w:val="24"/>
                <w:szCs w:val="24"/>
                <w:highlight w:val="none"/>
                <w:lang w:val="en-US" w:eastAsia="zh-CN"/>
              </w:rPr>
              <w:t>载重汽车冲洗用水</w:t>
            </w:r>
            <w:r>
              <w:rPr>
                <w:rFonts w:hint="eastAsia" w:cs="Times New Roman"/>
                <w:b w:val="0"/>
                <w:bCs w:val="0"/>
                <w:color w:val="auto"/>
                <w:sz w:val="24"/>
                <w:szCs w:val="24"/>
                <w:highlight w:val="none"/>
                <w:lang w:val="en-US" w:eastAsia="zh-CN"/>
              </w:rPr>
              <w:t>先进值</w:t>
            </w:r>
            <w:r>
              <w:rPr>
                <w:rFonts w:hint="default" w:ascii="Times New Roman" w:hAnsi="Times New Roman" w:cs="Times New Roman"/>
                <w:b w:val="0"/>
                <w:bCs w:val="0"/>
                <w:color w:val="auto"/>
                <w:sz w:val="24"/>
                <w:szCs w:val="24"/>
                <w:highlight w:val="none"/>
                <w:lang w:val="en-US" w:eastAsia="zh-CN"/>
              </w:rPr>
              <w:t>定额</w:t>
            </w:r>
            <w:r>
              <w:rPr>
                <w:rFonts w:hint="eastAsia" w:cs="Times New Roman"/>
                <w:b w:val="0"/>
                <w:bCs w:val="0"/>
                <w:color w:val="auto"/>
                <w:sz w:val="24"/>
                <w:szCs w:val="24"/>
                <w:highlight w:val="none"/>
                <w:lang w:val="en-US" w:eastAsia="zh-CN"/>
              </w:rPr>
              <w:t>，本项目</w:t>
            </w:r>
            <w:r>
              <w:rPr>
                <w:rFonts w:hint="default" w:ascii="Times New Roman" w:hAnsi="Times New Roman" w:cs="Times New Roman"/>
                <w:b w:val="0"/>
                <w:bCs w:val="0"/>
                <w:color w:val="auto"/>
                <w:sz w:val="24"/>
                <w:szCs w:val="24"/>
                <w:highlight w:val="none"/>
                <w:lang w:val="en-US" w:eastAsia="zh-CN"/>
              </w:rPr>
              <w:t>载重车辆冲洗</w:t>
            </w:r>
            <w:r>
              <w:rPr>
                <w:rFonts w:hint="eastAsia" w:cs="Times New Roman"/>
                <w:b w:val="0"/>
                <w:bCs w:val="0"/>
                <w:color w:val="auto"/>
                <w:sz w:val="24"/>
                <w:szCs w:val="24"/>
                <w:highlight w:val="none"/>
                <w:lang w:val="en-US" w:eastAsia="zh-CN"/>
              </w:rPr>
              <w:t>用水</w:t>
            </w:r>
            <w:r>
              <w:rPr>
                <w:rFonts w:hint="default" w:ascii="Times New Roman" w:hAnsi="Times New Roman" w:cs="Times New Roman"/>
                <w:b w:val="0"/>
                <w:bCs w:val="0"/>
                <w:color w:val="auto"/>
                <w:sz w:val="24"/>
                <w:szCs w:val="24"/>
                <w:highlight w:val="none"/>
                <w:lang w:val="en-US" w:eastAsia="zh-CN"/>
              </w:rPr>
              <w:t>量按</w:t>
            </w:r>
            <w:r>
              <w:rPr>
                <w:rFonts w:hint="eastAsia"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0L/（辆·次），则</w:t>
            </w:r>
            <w:r>
              <w:rPr>
                <w:rFonts w:hint="eastAsia" w:cs="Times New Roman"/>
                <w:b w:val="0"/>
                <w:bCs w:val="0"/>
                <w:color w:val="auto"/>
                <w:sz w:val="24"/>
                <w:szCs w:val="24"/>
                <w:highlight w:val="none"/>
                <w:lang w:val="en-US" w:eastAsia="zh-CN"/>
              </w:rPr>
              <w:t>用</w:t>
            </w:r>
            <w:r>
              <w:rPr>
                <w:rFonts w:hint="default" w:ascii="Times New Roman" w:hAnsi="Times New Roman" w:cs="Times New Roman"/>
                <w:b w:val="0"/>
                <w:bCs w:val="0"/>
                <w:color w:val="auto"/>
                <w:sz w:val="24"/>
                <w:szCs w:val="24"/>
                <w:highlight w:val="none"/>
                <w:lang w:val="en-US" w:eastAsia="zh-CN"/>
              </w:rPr>
              <w:t>水量为</w:t>
            </w:r>
            <w:r>
              <w:rPr>
                <w:rFonts w:hint="eastAsia" w:cs="Times New Roman"/>
                <w:b w:val="0"/>
                <w:bCs w:val="0"/>
                <w:color w:val="auto"/>
                <w:sz w:val="24"/>
                <w:szCs w:val="24"/>
                <w:highlight w:val="none"/>
                <w:lang w:val="en-US" w:eastAsia="zh-CN"/>
              </w:rPr>
              <w:t>1.72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cs="Times New Roman"/>
                <w:b w:val="0"/>
                <w:bCs w:val="0"/>
                <w:color w:val="auto"/>
                <w:sz w:val="24"/>
                <w:szCs w:val="24"/>
                <w:highlight w:val="none"/>
                <w:lang w:val="en-US" w:eastAsia="zh-CN"/>
              </w:rPr>
              <w:t>/d</w:t>
            </w:r>
            <w:r>
              <w:rPr>
                <w:rFonts w:hint="default" w:ascii="Times New Roman" w:hAnsi="Times New Roman" w:eastAsia="宋体" w:cs="Times New Roman"/>
                <w:b w:val="0"/>
                <w:bCs/>
                <w:color w:val="auto"/>
                <w:sz w:val="24"/>
                <w:szCs w:val="24"/>
                <w:highlight w:val="none"/>
                <w:lang w:val="en-US" w:eastAsia="zh-CN"/>
              </w:rPr>
              <w:t>，洗车废水经沉淀处理后循环使用，</w:t>
            </w:r>
            <w:r>
              <w:rPr>
                <w:rFonts w:hint="eastAsia" w:cs="Times New Roman"/>
                <w:b w:val="0"/>
                <w:bCs/>
                <w:color w:val="auto"/>
                <w:sz w:val="24"/>
                <w:szCs w:val="24"/>
                <w:highlight w:val="none"/>
                <w:lang w:val="en-US" w:eastAsia="zh-CN"/>
              </w:rPr>
              <w:t>车辆带走水量按20%计，则车辆冲洗补充水量为0.34</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default" w:ascii="Times New Roman" w:hAnsi="Times New Roman"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）排水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auto"/>
                <w:spacing w:val="4"/>
                <w:sz w:val="24"/>
                <w:szCs w:val="24"/>
                <w:highlight w:val="none"/>
                <w:lang w:val="en-US" w:eastAsia="zh-CN"/>
              </w:rPr>
            </w:pPr>
            <w:r>
              <w:rPr>
                <w:rFonts w:hint="default" w:ascii="Times New Roman" w:hAnsi="Times New Roman" w:cs="Times New Roman"/>
                <w:color w:val="auto"/>
                <w:sz w:val="24"/>
                <w:szCs w:val="24"/>
                <w:highlight w:val="none"/>
              </w:rPr>
              <w:t>生活</w:t>
            </w:r>
            <w:r>
              <w:rPr>
                <w:rFonts w:hint="eastAsia" w:cs="Times New Roman"/>
                <w:color w:val="auto"/>
                <w:sz w:val="24"/>
                <w:szCs w:val="24"/>
                <w:highlight w:val="none"/>
                <w:lang w:eastAsia="zh-CN"/>
              </w:rPr>
              <w:t>污水</w:t>
            </w:r>
            <w:r>
              <w:rPr>
                <w:rFonts w:hint="default" w:ascii="Times New Roman" w:hAnsi="Times New Roman" w:cs="Times New Roman"/>
                <w:color w:val="auto"/>
                <w:sz w:val="24"/>
                <w:szCs w:val="24"/>
                <w:highlight w:val="none"/>
              </w:rPr>
              <w:t>：厂区设有</w:t>
            </w:r>
            <w:r>
              <w:rPr>
                <w:rFonts w:hint="eastAsia" w:cs="Times New Roman"/>
                <w:color w:val="auto"/>
                <w:sz w:val="24"/>
                <w:szCs w:val="24"/>
                <w:highlight w:val="none"/>
                <w:lang w:eastAsia="zh-CN"/>
              </w:rPr>
              <w:t>化粪池</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生活</w:t>
            </w:r>
            <w:r>
              <w:rPr>
                <w:rFonts w:hint="eastAsia" w:cs="Times New Roman"/>
                <w:color w:val="auto"/>
                <w:sz w:val="24"/>
                <w:szCs w:val="24"/>
                <w:highlight w:val="none"/>
                <w:lang w:eastAsia="zh-CN"/>
              </w:rPr>
              <w:t>污水</w:t>
            </w:r>
            <w:r>
              <w:rPr>
                <w:rFonts w:hint="default" w:ascii="Times New Roman" w:hAnsi="Times New Roman" w:cs="Times New Roman"/>
                <w:color w:val="auto"/>
                <w:sz w:val="24"/>
                <w:szCs w:val="24"/>
                <w:highlight w:val="none"/>
              </w:rPr>
              <w:t>产生量按用水量的80%计，则</w:t>
            </w:r>
            <w:r>
              <w:rPr>
                <w:rFonts w:hint="eastAsia" w:cs="Times New Roman"/>
                <w:color w:val="auto"/>
                <w:sz w:val="24"/>
                <w:szCs w:val="24"/>
                <w:highlight w:val="none"/>
                <w:lang w:eastAsia="zh-CN"/>
              </w:rPr>
              <w:t>污水</w:t>
            </w:r>
            <w:r>
              <w:rPr>
                <w:rFonts w:hint="default" w:ascii="Times New Roman" w:hAnsi="Times New Roman" w:cs="Times New Roman"/>
                <w:color w:val="auto"/>
                <w:sz w:val="24"/>
                <w:szCs w:val="24"/>
                <w:highlight w:val="none"/>
              </w:rPr>
              <w:t>产生量约为0.</w:t>
            </w:r>
            <w:r>
              <w:rPr>
                <w:rFonts w:hint="eastAsia" w:cs="Times New Roman"/>
                <w:color w:val="auto"/>
                <w:sz w:val="24"/>
                <w:szCs w:val="24"/>
                <w:highlight w:val="none"/>
                <w:lang w:val="en-US" w:eastAsia="zh-CN"/>
              </w:rPr>
              <w:t>84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bCs/>
                <w:color w:val="auto"/>
                <w:spacing w:val="4"/>
                <w:sz w:val="24"/>
                <w:szCs w:val="24"/>
                <w:highlight w:val="none"/>
                <w:lang w:val="en-US" w:eastAsia="zh-CN"/>
              </w:rPr>
              <w:t>生活污水</w:t>
            </w:r>
            <w:r>
              <w:rPr>
                <w:rFonts w:hint="eastAsia" w:ascii="Times New Roman" w:hAnsi="Times New Roman" w:cs="Times New Roman"/>
                <w:bCs/>
                <w:color w:val="auto"/>
                <w:spacing w:val="4"/>
                <w:sz w:val="24"/>
                <w:szCs w:val="24"/>
                <w:highlight w:val="none"/>
                <w:lang w:val="en-US" w:eastAsia="zh-CN"/>
              </w:rPr>
              <w:t>主要为洗漱废水，</w:t>
            </w:r>
            <w:r>
              <w:rPr>
                <w:rFonts w:hint="default" w:ascii="Times New Roman" w:hAnsi="Times New Roman" w:cs="Times New Roman"/>
                <w:bCs/>
                <w:color w:val="auto"/>
                <w:spacing w:val="4"/>
                <w:sz w:val="24"/>
                <w:szCs w:val="24"/>
                <w:highlight w:val="none"/>
                <w:lang w:val="en-US" w:eastAsia="zh-CN"/>
              </w:rPr>
              <w:t>用于</w:t>
            </w:r>
            <w:r>
              <w:rPr>
                <w:rFonts w:hint="eastAsia" w:ascii="Times New Roman" w:hAnsi="Times New Roman" w:cs="Times New Roman"/>
                <w:bCs/>
                <w:color w:val="auto"/>
                <w:spacing w:val="4"/>
                <w:sz w:val="24"/>
                <w:szCs w:val="24"/>
                <w:highlight w:val="none"/>
                <w:lang w:val="en-US" w:eastAsia="zh-CN"/>
              </w:rPr>
              <w:t>厂区</w:t>
            </w:r>
            <w:r>
              <w:rPr>
                <w:rFonts w:hint="default" w:ascii="Times New Roman" w:hAnsi="Times New Roman" w:cs="Times New Roman"/>
                <w:bCs/>
                <w:color w:val="auto"/>
                <w:spacing w:val="4"/>
                <w:sz w:val="24"/>
                <w:szCs w:val="24"/>
                <w:highlight w:val="none"/>
                <w:lang w:val="en-US" w:eastAsia="zh-CN"/>
              </w:rPr>
              <w:t>洒水抑尘，不外排。</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red"/>
              </w:rPr>
            </w:pPr>
            <w:r>
              <w:rPr>
                <w:rFonts w:hint="default" w:ascii="Times New Roman" w:hAnsi="Times New Roman" w:cs="Times New Roman"/>
                <w:color w:val="auto"/>
                <w:sz w:val="24"/>
                <w:szCs w:val="24"/>
                <w:highlight w:val="none"/>
              </w:rPr>
              <w:t>生产废水：本项目洗车废水产生量按用水量的80%计，则</w:t>
            </w:r>
            <w:r>
              <w:rPr>
                <w:rFonts w:hint="eastAsia" w:ascii="Times New Roman" w:hAnsi="Times New Roman" w:cs="Times New Roman"/>
                <w:color w:val="auto"/>
                <w:sz w:val="24"/>
                <w:szCs w:val="24"/>
                <w:highlight w:val="none"/>
                <w:lang w:eastAsia="zh-CN"/>
              </w:rPr>
              <w:t>废</w:t>
            </w:r>
            <w:r>
              <w:rPr>
                <w:rFonts w:hint="eastAsia" w:cs="Times New Roman"/>
                <w:color w:val="auto"/>
                <w:sz w:val="24"/>
                <w:szCs w:val="24"/>
                <w:highlight w:val="none"/>
                <w:lang w:eastAsia="zh-CN"/>
              </w:rPr>
              <w:t>水</w:t>
            </w:r>
            <w:r>
              <w:rPr>
                <w:rFonts w:hint="default" w:ascii="Times New Roman" w:hAnsi="Times New Roman" w:cs="Times New Roman"/>
                <w:color w:val="auto"/>
                <w:sz w:val="24"/>
                <w:szCs w:val="24"/>
                <w:highlight w:val="none"/>
              </w:rPr>
              <w:t>产生量约为</w:t>
            </w:r>
            <w:r>
              <w:rPr>
                <w:rFonts w:hint="eastAsia" w:ascii="Times New Roman" w:hAnsi="Times New Roman" w:cs="Times New Roman"/>
                <w:color w:val="auto"/>
                <w:sz w:val="24"/>
                <w:szCs w:val="24"/>
                <w:highlight w:val="none"/>
                <w:lang w:val="en-US" w:eastAsia="zh-CN"/>
              </w:rPr>
              <w:t>1.38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经沉淀处理后循环使用，</w:t>
            </w:r>
            <w:r>
              <w:rPr>
                <w:rFonts w:hint="eastAsia" w:cs="Times New Roman"/>
                <w:color w:val="auto"/>
                <w:sz w:val="24"/>
                <w:szCs w:val="24"/>
                <w:highlight w:val="none"/>
                <w:lang w:eastAsia="zh-CN"/>
              </w:rPr>
              <w:t>不外排</w:t>
            </w:r>
            <w:r>
              <w:rPr>
                <w:rFonts w:hint="default" w:ascii="Times New Roman" w:hAnsi="Times New Roman" w:cs="Times New Roman"/>
                <w:color w:val="auto"/>
                <w:sz w:val="24"/>
                <w:szCs w:val="24"/>
                <w:highlight w:val="none"/>
              </w:rPr>
              <w:t>。</w:t>
            </w:r>
          </w:p>
          <w:p>
            <w:pPr>
              <w:pStyle w:val="8"/>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cs="Times New Roman"/>
                <w:color w:val="auto"/>
                <w:kern w:val="10"/>
                <w:sz w:val="24"/>
                <w:szCs w:val="24"/>
                <w:highlight w:val="none"/>
                <w:lang w:val="en-US" w:eastAsia="zh-CN"/>
              </w:rPr>
            </w:pPr>
            <w:r>
              <w:rPr>
                <w:rFonts w:hint="default" w:ascii="Times New Roman" w:hAnsi="Times New Roman" w:cs="Times New Roman"/>
                <w:color w:val="auto"/>
                <w:kern w:val="10"/>
                <w:sz w:val="24"/>
                <w:szCs w:val="24"/>
                <w:highlight w:val="none"/>
                <w:lang w:val="en-US" w:eastAsia="zh-CN"/>
              </w:rPr>
              <w:t>项目运营期用、排水情况见下表，水平衡图见图1。</w:t>
            </w:r>
          </w:p>
          <w:p>
            <w:pPr>
              <w:pStyle w:val="39"/>
              <w:keepNext w:val="0"/>
              <w:keepLines w:val="0"/>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b/>
                <w:color w:val="auto"/>
                <w:sz w:val="24"/>
                <w:szCs w:val="24"/>
                <w:highlight w:val="none"/>
                <w:lang w:val="en-US" w:eastAsia="zh-CN"/>
              </w:rPr>
              <w:t>2-6</w:t>
            </w:r>
            <w:r>
              <w:rPr>
                <w:rFonts w:hint="eastAsia"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 xml:space="preserve">  项目用、排水量表</w:t>
            </w:r>
          </w:p>
          <w:tbl>
            <w:tblPr>
              <w:tblStyle w:val="22"/>
              <w:tblW w:w="498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99"/>
              <w:gridCol w:w="1468"/>
              <w:gridCol w:w="972"/>
              <w:gridCol w:w="2089"/>
              <w:gridCol w:w="20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1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8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用水定额</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数量</w:t>
                  </w:r>
                </w:p>
              </w:tc>
              <w:tc>
                <w:tcPr>
                  <w:tcW w:w="12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val="0"/>
                      <w:color w:val="auto"/>
                      <w:sz w:val="21"/>
                      <w:szCs w:val="21"/>
                      <w:highlight w:val="none"/>
                    </w:rPr>
                  </w:pPr>
                  <w:r>
                    <w:rPr>
                      <w:rFonts w:hint="eastAsia" w:cs="Times New Roman"/>
                      <w:b/>
                      <w:bCs w:val="0"/>
                      <w:color w:val="auto"/>
                      <w:sz w:val="21"/>
                      <w:szCs w:val="21"/>
                      <w:highlight w:val="none"/>
                      <w:lang w:eastAsia="zh-CN"/>
                    </w:rPr>
                    <w:t>新鲜水用量</w:t>
                  </w:r>
                  <w:r>
                    <w:rPr>
                      <w:rFonts w:hint="default" w:ascii="Times New Roman" w:hAnsi="Times New Roman" w:eastAsia="宋体" w:cs="Times New Roman"/>
                      <w:b/>
                      <w:bCs w:val="0"/>
                      <w:color w:val="auto"/>
                      <w:sz w:val="21"/>
                      <w:szCs w:val="21"/>
                      <w:highlight w:val="none"/>
                    </w:rPr>
                    <w:t>（m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/d）</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val="0"/>
                      <w:color w:val="auto"/>
                      <w:sz w:val="21"/>
                      <w:szCs w:val="21"/>
                      <w:highlight w:val="none"/>
                    </w:rPr>
                  </w:pPr>
                  <w:r>
                    <w:rPr>
                      <w:rFonts w:hint="eastAsia" w:cs="Times New Roman"/>
                      <w:b/>
                      <w:bCs w:val="0"/>
                      <w:color w:val="auto"/>
                      <w:sz w:val="21"/>
                      <w:szCs w:val="21"/>
                      <w:highlight w:val="none"/>
                      <w:lang w:eastAsia="zh-CN"/>
                    </w:rPr>
                    <w:t>污水产生量</w:t>
                  </w:r>
                  <w:r>
                    <w:rPr>
                      <w:rFonts w:hint="default" w:ascii="Times New Roman" w:hAnsi="Times New Roman" w:eastAsia="宋体" w:cs="Times New Roman"/>
                      <w:b/>
                      <w:bCs w:val="0"/>
                      <w:color w:val="auto"/>
                      <w:sz w:val="21"/>
                      <w:szCs w:val="21"/>
                      <w:highlight w:val="none"/>
                    </w:rPr>
                    <w:t>（m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1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职工生活用水</w:t>
                  </w:r>
                </w:p>
              </w:tc>
              <w:tc>
                <w:tcPr>
                  <w:tcW w:w="8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0L/人·天</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人</w:t>
                  </w:r>
                </w:p>
              </w:tc>
              <w:tc>
                <w:tcPr>
                  <w:tcW w:w="12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1.05</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1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洗车平台</w:t>
                  </w:r>
                  <w:r>
                    <w:rPr>
                      <w:rFonts w:hint="eastAsia" w:cs="Times New Roman"/>
                      <w:color w:val="auto"/>
                      <w:sz w:val="21"/>
                      <w:szCs w:val="21"/>
                      <w:highlight w:val="none"/>
                      <w:lang w:val="en-US" w:eastAsia="zh-CN"/>
                    </w:rPr>
                    <w:t>补充</w:t>
                  </w:r>
                  <w:r>
                    <w:rPr>
                      <w:rFonts w:hint="default" w:ascii="Times New Roman" w:hAnsi="Times New Roman" w:eastAsia="宋体" w:cs="Times New Roman"/>
                      <w:color w:val="auto"/>
                      <w:sz w:val="21"/>
                      <w:szCs w:val="21"/>
                      <w:highlight w:val="none"/>
                    </w:rPr>
                    <w:t>用水</w:t>
                  </w:r>
                </w:p>
              </w:tc>
              <w:tc>
                <w:tcPr>
                  <w:tcW w:w="86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L/（次·辆）</w:t>
                  </w:r>
                </w:p>
              </w:tc>
              <w:tc>
                <w:tcPr>
                  <w:tcW w:w="5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43</w:t>
                  </w:r>
                  <w:r>
                    <w:rPr>
                      <w:rFonts w:hint="default" w:ascii="Times New Roman" w:hAnsi="Times New Roman" w:eastAsia="宋体" w:cs="Times New Roman"/>
                      <w:color w:val="auto"/>
                      <w:sz w:val="21"/>
                      <w:szCs w:val="21"/>
                      <w:highlight w:val="none"/>
                    </w:rPr>
                    <w:t>辆/天</w:t>
                  </w:r>
                </w:p>
              </w:tc>
              <w:tc>
                <w:tcPr>
                  <w:tcW w:w="12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0.34</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1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道路抑尘洒水</w:t>
                  </w:r>
                </w:p>
              </w:tc>
              <w:tc>
                <w:tcPr>
                  <w:tcW w:w="8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L/m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d</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00m</w:t>
                  </w:r>
                  <w:r>
                    <w:rPr>
                      <w:rFonts w:hint="default" w:ascii="Times New Roman" w:hAnsi="Times New Roman" w:eastAsia="宋体" w:cs="Times New Roman"/>
                      <w:color w:val="auto"/>
                      <w:sz w:val="21"/>
                      <w:szCs w:val="21"/>
                      <w:highlight w:val="none"/>
                      <w:vertAlign w:val="superscript"/>
                    </w:rPr>
                    <w:t>2</w:t>
                  </w:r>
                </w:p>
              </w:tc>
              <w:tc>
                <w:tcPr>
                  <w:tcW w:w="12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0.66（剩余0.84用生活污水）</w:t>
                  </w:r>
                </w:p>
              </w:tc>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115"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合计</w:t>
                  </w:r>
                </w:p>
              </w:tc>
              <w:tc>
                <w:tcPr>
                  <w:tcW w:w="862"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 w:val="21"/>
                      <w:szCs w:val="21"/>
                      <w:highlight w:val="none"/>
                      <w:lang w:val="en-US" w:eastAsia="zh-CN"/>
                    </w:rPr>
                  </w:pPr>
                </w:p>
              </w:tc>
              <w:tc>
                <w:tcPr>
                  <w:tcW w:w="571"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eastAsia="宋体"/>
                      <w:color w:val="auto"/>
                      <w:sz w:val="24"/>
                      <w:szCs w:val="24"/>
                      <w:highlight w:val="none"/>
                      <w:lang w:val="en-US" w:eastAsia="zh-CN"/>
                    </w:rPr>
                  </w:pPr>
                </w:p>
              </w:tc>
              <w:tc>
                <w:tcPr>
                  <w:tcW w:w="1227"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2.05</w:t>
                  </w:r>
                </w:p>
              </w:tc>
              <w:tc>
                <w:tcPr>
                  <w:tcW w:w="1223"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0.84</w:t>
                  </w:r>
                </w:p>
              </w:tc>
            </w:tr>
          </w:tbl>
          <w:p>
            <w:pPr>
              <w:rPr>
                <w:rFonts w:hint="default" w:ascii="Times New Roman" w:hAnsi="Times New Roman" w:cs="Times New Roman"/>
                <w:b/>
                <w:bCs/>
                <w:color w:val="auto"/>
                <w:sz w:val="24"/>
                <w:szCs w:val="24"/>
                <w:highlight w:val="red"/>
              </w:rPr>
            </w:pPr>
          </w:p>
          <w:p>
            <w:pPr>
              <w:pStyle w:val="21"/>
              <w:rPr>
                <w:rFonts w:hint="default" w:ascii="Times New Roman" w:hAnsi="Times New Roman" w:cs="Times New Roman"/>
                <w:b/>
                <w:bCs/>
                <w:color w:val="auto"/>
                <w:sz w:val="24"/>
                <w:szCs w:val="24"/>
                <w:highlight w:val="red"/>
              </w:rPr>
            </w:pPr>
          </w:p>
          <w:p>
            <w:pPr>
              <w:rPr>
                <w:rFonts w:hint="default" w:ascii="Times New Roman" w:hAnsi="Times New Roman" w:cs="Times New Roman"/>
                <w:b/>
                <w:bCs/>
                <w:color w:val="auto"/>
                <w:sz w:val="24"/>
                <w:szCs w:val="24"/>
                <w:highlight w:val="red"/>
              </w:rPr>
            </w:pPr>
          </w:p>
          <w:p>
            <w:pPr>
              <w:pStyle w:val="15"/>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color w:val="auto"/>
                <w:szCs w:val="24"/>
                <w:highlight w:val="none"/>
              </w:rPr>
            </w:pPr>
            <w:r>
              <w:rPr>
                <w:rFonts w:hint="default" w:ascii="Times New Roman" w:hAnsi="Times New Roman" w:cs="Times New Roman"/>
                <w:bCs/>
                <w:color w:val="auto"/>
                <w:highlight w:val="none"/>
              </w:rPr>
              <w:object>
                <v:shape id="_x0000_i1025" o:spt="75" type="#_x0000_t75" style="height:257.25pt;width:423.2pt;" o:ole="t" filled="f" o:preferrelative="t" stroked="f" coordsize="21600,21600">
                  <v:path/>
                  <v:fill on="f" focussize="0,0"/>
                  <v:stroke on="f"/>
                  <v:imagedata r:id="rId17" o:title=""/>
                  <o:lock v:ext="edit" aspectratio="t"/>
                  <w10:wrap type="none"/>
                  <w10:anchorlock/>
                </v:shape>
                <o:OLEObject Type="Embed" ProgID="Visio.Drawing.11" ShapeID="_x0000_i1025" DrawAspect="Content" ObjectID="_1468075725" r:id="rId16">
                  <o:LockedField>false</o:LockedField>
                </o:OLEObject>
              </w:object>
            </w:r>
          </w:p>
          <w:p>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center"/>
              <w:rPr>
                <w:rFonts w:hint="default" w:ascii="宋体" w:hAnsi="宋体" w:eastAsia="宋体" w:cs="宋体"/>
                <w:bCs/>
                <w:color w:val="auto"/>
                <w:sz w:val="24"/>
                <w:szCs w:val="24"/>
                <w:highlight w:val="red"/>
                <w:lang w:val="en-US" w:eastAsia="zh-CN"/>
              </w:rPr>
            </w:pPr>
            <w:r>
              <w:rPr>
                <w:rFonts w:hint="default" w:ascii="Times New Roman" w:hAnsi="Times New Roman" w:cs="Times New Roman"/>
                <w:b/>
                <w:color w:val="auto"/>
                <w:sz w:val="24"/>
                <w:szCs w:val="24"/>
                <w:highlight w:val="none"/>
              </w:rPr>
              <w:t xml:space="preserve">图1  </w:t>
            </w:r>
            <w:r>
              <w:rPr>
                <w:rFonts w:hint="eastAsia"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项目水平衡图（m</w:t>
            </w:r>
            <w:r>
              <w:rPr>
                <w:rFonts w:hint="default" w:ascii="Times New Roman" w:hAnsi="Times New Roman" w:cs="Times New Roman"/>
                <w:b/>
                <w:color w:val="auto"/>
                <w:sz w:val="24"/>
                <w:szCs w:val="24"/>
                <w:highlight w:val="none"/>
                <w:vertAlign w:val="superscript"/>
              </w:rPr>
              <w:t>3</w:t>
            </w:r>
            <w:r>
              <w:rPr>
                <w:rFonts w:hint="default" w:ascii="Times New Roman" w:hAnsi="Times New Roman" w:cs="Times New Roman"/>
                <w:b/>
                <w:color w:val="auto"/>
                <w:sz w:val="24"/>
                <w:szCs w:val="24"/>
                <w:highlight w:val="none"/>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 w:type="pct"/>
            <w:noWrap w:val="0"/>
            <w:vAlign w:val="center"/>
          </w:tcPr>
          <w:p>
            <w:pPr>
              <w:pStyle w:val="19"/>
              <w:adjustRightInd w:val="0"/>
              <w:snapToGrid w:val="0"/>
              <w:spacing w:before="0" w:beforeAutospacing="0" w:after="0" w:afterAutospacing="0"/>
              <w:jc w:val="center"/>
              <w:rPr>
                <w:rFonts w:hint="eastAsia" w:cs="宋体"/>
                <w:color w:val="auto"/>
                <w:sz w:val="24"/>
                <w:szCs w:val="24"/>
                <w:highlight w:val="red"/>
              </w:rPr>
            </w:pPr>
            <w:r>
              <w:rPr>
                <w:rFonts w:hint="eastAsia" w:cs="宋体"/>
                <w:color w:val="auto"/>
                <w:sz w:val="24"/>
                <w:szCs w:val="24"/>
                <w:highlight w:val="none"/>
              </w:rPr>
              <w:t>工艺流程和产排污环节</w:t>
            </w:r>
          </w:p>
        </w:tc>
        <w:tc>
          <w:tcPr>
            <w:tcW w:w="4668" w:type="pct"/>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bCs/>
                <w:color w:val="auto"/>
                <w:sz w:val="24"/>
                <w:szCs w:val="24"/>
                <w:highlight w:val="none"/>
              </w:rPr>
            </w:pPr>
            <w:r>
              <w:rPr>
                <w:rFonts w:hint="eastAsia"/>
                <w:b/>
                <w:bCs/>
                <w:color w:val="auto"/>
                <w:sz w:val="24"/>
                <w:szCs w:val="24"/>
                <w:highlight w:val="none"/>
                <w:lang w:eastAsia="zh-CN"/>
              </w:rPr>
              <w:t>一、</w:t>
            </w:r>
            <w:r>
              <w:rPr>
                <w:b/>
                <w:bCs/>
                <w:color w:val="auto"/>
                <w:sz w:val="24"/>
                <w:szCs w:val="24"/>
                <w:highlight w:val="none"/>
              </w:rPr>
              <w:t>工艺流程简述（图示）</w:t>
            </w:r>
          </w:p>
          <w:p>
            <w:pPr>
              <w:pStyle w:val="6"/>
              <w:widowControl/>
              <w:spacing w:line="240" w:lineRule="auto"/>
              <w:ind w:firstLine="0" w:firstLineChars="0"/>
              <w:jc w:val="center"/>
              <w:rPr>
                <w:color w:val="auto"/>
                <w:sz w:val="24"/>
                <w:szCs w:val="24"/>
                <w:highlight w:val="none"/>
              </w:rPr>
            </w:pPr>
            <w:r>
              <w:rPr>
                <w:color w:val="auto"/>
                <w:highlight w:val="none"/>
              </w:rPr>
              <mc:AlternateContent>
                <mc:Choice Requires="wpc">
                  <w:drawing>
                    <wp:inline distT="0" distB="0" distL="114300" distR="114300">
                      <wp:extent cx="5427980" cy="3167380"/>
                      <wp:effectExtent l="0" t="0" r="0" b="0"/>
                      <wp:docPr id="120" name="画布 120"/>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55880" y="1189990"/>
                                  <a:ext cx="561975" cy="415290"/>
                                </a:xfrm>
                                <a:prstGeom prst="rect">
                                  <a:avLst/>
                                </a:prstGeom>
                                <a:solidFill>
                                  <a:srgbClr val="FFFFFF"/>
                                </a:solidFill>
                                <a:ln>
                                  <a:noFill/>
                                </a:ln>
                              </wps:spPr>
                              <wps:txbx>
                                <w:txbxContent>
                                  <w:p>
                                    <w:pPr>
                                      <w:pStyle w:val="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eastAsia="zh-CN"/>
                                      </w:rPr>
                                    </w:pPr>
                                    <w:r>
                                      <w:rPr>
                                        <w:rFonts w:hint="eastAsia"/>
                                        <w:sz w:val="21"/>
                                        <w:szCs w:val="21"/>
                                        <w:lang w:eastAsia="zh-CN"/>
                                      </w:rPr>
                                      <w:t>生物质</w:t>
                                    </w:r>
                                  </w:p>
                                  <w:p>
                                    <w:pPr>
                                      <w:pStyle w:val="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lang w:eastAsia="zh-CN"/>
                                      </w:rPr>
                                    </w:pPr>
                                    <w:r>
                                      <w:rPr>
                                        <w:rFonts w:hint="eastAsia"/>
                                        <w:sz w:val="21"/>
                                        <w:szCs w:val="21"/>
                                        <w:lang w:eastAsia="zh-CN"/>
                                      </w:rPr>
                                      <w:t>燃料</w:t>
                                    </w:r>
                                  </w:p>
                                </w:txbxContent>
                              </wps:txbx>
                              <wps:bodyPr lIns="0" tIns="0" rIns="0" bIns="0" upright="1"/>
                            </wps:wsp>
                            <wps:wsp>
                              <wps:cNvPr id="167" name="直接连接符 2"/>
                              <wps:cNvCnPr/>
                              <wps:spPr>
                                <a:xfrm>
                                  <a:off x="112395" y="1562100"/>
                                  <a:ext cx="467995" cy="635"/>
                                </a:xfrm>
                                <a:prstGeom prst="line">
                                  <a:avLst/>
                                </a:prstGeom>
                                <a:ln w="9525" cap="flat" cmpd="sng">
                                  <a:solidFill>
                                    <a:srgbClr val="000000"/>
                                  </a:solidFill>
                                  <a:prstDash val="solid"/>
                                  <a:headEnd type="none" w="med" len="med"/>
                                  <a:tailEnd type="triangle" w="med" len="med"/>
                                </a:ln>
                              </wps:spPr>
                              <wps:bodyPr upright="1"/>
                            </wps:wsp>
                            <wps:wsp>
                              <wps:cNvPr id="168" name="文本框 3"/>
                              <wps:cNvSpPr txBox="1"/>
                              <wps:spPr>
                                <a:xfrm>
                                  <a:off x="1970405" y="74930"/>
                                  <a:ext cx="587375" cy="254000"/>
                                </a:xfrm>
                                <a:prstGeom prst="rect">
                                  <a:avLst/>
                                </a:prstGeom>
                                <a:solidFill>
                                  <a:srgbClr val="FFFFFF"/>
                                </a:solidFill>
                                <a:ln>
                                  <a:noFill/>
                                </a:ln>
                              </wps:spPr>
                              <wps:txbx>
                                <w:txbxContent>
                                  <w:p>
                                    <w:pPr>
                                      <w:pStyle w:val="6"/>
                                      <w:widowControl/>
                                      <w:spacing w:line="360" w:lineRule="exact"/>
                                      <w:ind w:firstLine="0" w:firstLineChars="0"/>
                                      <w:jc w:val="center"/>
                                      <w:rPr>
                                        <w:rFonts w:hint="eastAsia" w:eastAsia="宋体"/>
                                        <w:sz w:val="21"/>
                                        <w:szCs w:val="21"/>
                                        <w:lang w:eastAsia="zh-CN"/>
                                      </w:rPr>
                                    </w:pPr>
                                    <w:r>
                                      <w:rPr>
                                        <w:rFonts w:hint="eastAsia"/>
                                        <w:sz w:val="21"/>
                                        <w:szCs w:val="21"/>
                                        <w:lang w:eastAsia="zh-CN"/>
                                      </w:rPr>
                                      <w:t>湿煤泥</w:t>
                                    </w:r>
                                  </w:p>
                                </w:txbxContent>
                              </wps:txbx>
                              <wps:bodyPr lIns="0" tIns="0" rIns="0" bIns="0" upright="1"/>
                            </wps:wsp>
                            <wps:wsp>
                              <wps:cNvPr id="169" name="直接连接符 4"/>
                              <wps:cNvCnPr/>
                              <wps:spPr>
                                <a:xfrm rot="5400000">
                                  <a:off x="2070100" y="509270"/>
                                  <a:ext cx="396240" cy="0"/>
                                </a:xfrm>
                                <a:prstGeom prst="line">
                                  <a:avLst/>
                                </a:prstGeom>
                                <a:ln w="9525" cap="flat" cmpd="sng">
                                  <a:solidFill>
                                    <a:srgbClr val="000000"/>
                                  </a:solidFill>
                                  <a:prstDash val="solid"/>
                                  <a:headEnd type="none" w="med" len="med"/>
                                  <a:tailEnd type="triangle" w="med" len="med"/>
                                </a:ln>
                              </wps:spPr>
                              <wps:bodyPr upright="1"/>
                            </wps:wsp>
                            <wps:wsp>
                              <wps:cNvPr id="170" name="文本框 5"/>
                              <wps:cNvSpPr txBox="1"/>
                              <wps:spPr>
                                <a:xfrm>
                                  <a:off x="1856105" y="703580"/>
                                  <a:ext cx="82804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喂料口</w:t>
                                    </w:r>
                                  </w:p>
                                </w:txbxContent>
                              </wps:txbx>
                              <wps:bodyPr lIns="0" tIns="0" rIns="0" bIns="0" upright="1"/>
                            </wps:wsp>
                            <wps:wsp>
                              <wps:cNvPr id="171" name="直接连接符 6"/>
                              <wps:cNvCnPr/>
                              <wps:spPr>
                                <a:xfrm rot="5400000">
                                  <a:off x="2070100" y="1185545"/>
                                  <a:ext cx="396240" cy="0"/>
                                </a:xfrm>
                                <a:prstGeom prst="line">
                                  <a:avLst/>
                                </a:prstGeom>
                                <a:ln w="9525" cap="flat" cmpd="sng">
                                  <a:solidFill>
                                    <a:srgbClr val="000000"/>
                                  </a:solidFill>
                                  <a:prstDash val="solid"/>
                                  <a:headEnd type="none" w="med" len="med"/>
                                  <a:tailEnd type="triangle" w="med" len="med"/>
                                </a:ln>
                              </wps:spPr>
                              <wps:bodyPr upright="1"/>
                            </wps:wsp>
                            <wps:wsp>
                              <wps:cNvPr id="172" name="文本框 17"/>
                              <wps:cNvSpPr txBox="1"/>
                              <wps:spPr>
                                <a:xfrm>
                                  <a:off x="1856105" y="1398905"/>
                                  <a:ext cx="82804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滚筒干燥机</w:t>
                                    </w:r>
                                  </w:p>
                                </w:txbxContent>
                              </wps:txbx>
                              <wps:bodyPr lIns="0" tIns="0" rIns="0" bIns="0" upright="1"/>
                            </wps:wsp>
                            <wps:wsp>
                              <wps:cNvPr id="173" name="直接连接符 20"/>
                              <wps:cNvCnPr/>
                              <wps:spPr>
                                <a:xfrm rot="5400000">
                                  <a:off x="2060575" y="1880870"/>
                                  <a:ext cx="396240" cy="0"/>
                                </a:xfrm>
                                <a:prstGeom prst="line">
                                  <a:avLst/>
                                </a:prstGeom>
                                <a:ln w="9525" cap="flat" cmpd="sng">
                                  <a:solidFill>
                                    <a:srgbClr val="000000"/>
                                  </a:solidFill>
                                  <a:prstDash val="solid"/>
                                  <a:headEnd type="none" w="med" len="med"/>
                                  <a:tailEnd type="triangle" w="med" len="med"/>
                                </a:ln>
                              </wps:spPr>
                              <wps:bodyPr upright="1"/>
                            </wps:wsp>
                            <wps:wsp>
                              <wps:cNvPr id="174" name="文本框 24"/>
                              <wps:cNvSpPr txBox="1"/>
                              <wps:spPr>
                                <a:xfrm>
                                  <a:off x="1846580" y="2103755"/>
                                  <a:ext cx="82804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封闭皮带</w:t>
                                    </w:r>
                                  </w:p>
                                </w:txbxContent>
                              </wps:txbx>
                              <wps:bodyPr lIns="0" tIns="0" rIns="0" bIns="0" upright="1"/>
                            </wps:wsp>
                            <wps:wsp>
                              <wps:cNvPr id="175" name="直接连接符 26"/>
                              <wps:cNvCnPr/>
                              <wps:spPr>
                                <a:xfrm rot="5400000">
                                  <a:off x="2079625" y="2585720"/>
                                  <a:ext cx="396240" cy="0"/>
                                </a:xfrm>
                                <a:prstGeom prst="line">
                                  <a:avLst/>
                                </a:prstGeom>
                                <a:ln w="9525" cap="flat" cmpd="sng">
                                  <a:solidFill>
                                    <a:srgbClr val="000000"/>
                                  </a:solidFill>
                                  <a:prstDash val="solid"/>
                                  <a:headEnd type="none" w="med" len="med"/>
                                  <a:tailEnd type="triangle" w="med" len="med"/>
                                </a:ln>
                              </wps:spPr>
                              <wps:bodyPr upright="1"/>
                            </wps:wsp>
                            <wps:wsp>
                              <wps:cNvPr id="176" name="文本框 33"/>
                              <wps:cNvSpPr txBox="1"/>
                              <wps:spPr>
                                <a:xfrm>
                                  <a:off x="1865630" y="2789555"/>
                                  <a:ext cx="82804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干煤泥库</w:t>
                                    </w:r>
                                  </w:p>
                                </w:txbxContent>
                              </wps:txbx>
                              <wps:bodyPr lIns="0" tIns="0" rIns="0" bIns="0" upright="1"/>
                            </wps:wsp>
                            <wps:wsp>
                              <wps:cNvPr id="177" name="文本框 35"/>
                              <wps:cNvSpPr txBox="1"/>
                              <wps:spPr>
                                <a:xfrm>
                                  <a:off x="589280" y="1408430"/>
                                  <a:ext cx="539996"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热风炉</w:t>
                                    </w:r>
                                  </w:p>
                                </w:txbxContent>
                              </wps:txbx>
                              <wps:bodyPr lIns="0" tIns="0" rIns="0" bIns="0" upright="1"/>
                            </wps:wsp>
                            <wps:wsp>
                              <wps:cNvPr id="178" name="直接连接符 39"/>
                              <wps:cNvCnPr/>
                              <wps:spPr>
                                <a:xfrm>
                                  <a:off x="1131570" y="1552575"/>
                                  <a:ext cx="720090" cy="0"/>
                                </a:xfrm>
                                <a:prstGeom prst="line">
                                  <a:avLst/>
                                </a:prstGeom>
                                <a:ln w="9525" cap="flat" cmpd="sng">
                                  <a:solidFill>
                                    <a:srgbClr val="000000"/>
                                  </a:solidFill>
                                  <a:prstDash val="solid"/>
                                  <a:headEnd type="none" w="med" len="med"/>
                                  <a:tailEnd type="triangle" w="med" len="med"/>
                                </a:ln>
                              </wps:spPr>
                              <wps:bodyPr upright="1"/>
                            </wps:wsp>
                            <wps:wsp>
                              <wps:cNvPr id="179" name="文本框 41"/>
                              <wps:cNvSpPr txBox="1"/>
                              <wps:spPr>
                                <a:xfrm>
                                  <a:off x="1142365" y="1294130"/>
                                  <a:ext cx="634365" cy="254000"/>
                                </a:xfrm>
                                <a:prstGeom prst="rect">
                                  <a:avLst/>
                                </a:prstGeom>
                                <a:noFill/>
                                <a:ln>
                                  <a:noFill/>
                                </a:ln>
                              </wps:spPr>
                              <wps:txbx>
                                <w:txbxContent>
                                  <w:p>
                                    <w:pPr>
                                      <w:pStyle w:val="6"/>
                                      <w:widowControl/>
                                      <w:spacing w:line="360" w:lineRule="exact"/>
                                      <w:ind w:firstLine="0" w:firstLineChars="0"/>
                                      <w:jc w:val="center"/>
                                      <w:rPr>
                                        <w:rFonts w:hint="eastAsia" w:eastAsia="宋体"/>
                                        <w:sz w:val="21"/>
                                        <w:szCs w:val="21"/>
                                        <w:lang w:eastAsia="zh-CN"/>
                                      </w:rPr>
                                    </w:pPr>
                                    <w:r>
                                      <w:rPr>
                                        <w:rFonts w:hint="eastAsia"/>
                                        <w:sz w:val="21"/>
                                        <w:szCs w:val="21"/>
                                        <w:lang w:eastAsia="zh-CN"/>
                                      </w:rPr>
                                      <w:t>高温气体</w:t>
                                    </w:r>
                                  </w:p>
                                </w:txbxContent>
                              </wps:txbx>
                              <wps:bodyPr lIns="0" tIns="0" rIns="0" bIns="0" upright="1"/>
                            </wps:wsp>
                            <wps:wsp>
                              <wps:cNvPr id="180" name="文本框 43"/>
                              <wps:cNvSpPr txBox="1"/>
                              <wps:spPr>
                                <a:xfrm>
                                  <a:off x="2313940" y="1036955"/>
                                  <a:ext cx="622300" cy="254000"/>
                                </a:xfrm>
                                <a:prstGeom prst="rect">
                                  <a:avLst/>
                                </a:prstGeom>
                                <a:noFill/>
                                <a:ln>
                                  <a:noFill/>
                                </a:ln>
                              </wps:spPr>
                              <wps:txbx>
                                <w:txbxContent>
                                  <w:p>
                                    <w:pPr>
                                      <w:pStyle w:val="6"/>
                                      <w:widowControl/>
                                      <w:spacing w:line="360" w:lineRule="exact"/>
                                      <w:ind w:firstLine="0" w:firstLineChars="0"/>
                                      <w:jc w:val="center"/>
                                      <w:rPr>
                                        <w:rFonts w:hint="eastAsia" w:eastAsia="宋体"/>
                                        <w:sz w:val="21"/>
                                        <w:szCs w:val="21"/>
                                        <w:lang w:eastAsia="zh-CN"/>
                                      </w:rPr>
                                    </w:pPr>
                                    <w:r>
                                      <w:rPr>
                                        <w:rFonts w:hint="eastAsia"/>
                                        <w:sz w:val="21"/>
                                        <w:szCs w:val="21"/>
                                        <w:lang w:eastAsia="zh-CN"/>
                                      </w:rPr>
                                      <w:t>封闭皮带</w:t>
                                    </w:r>
                                  </w:p>
                                </w:txbxContent>
                              </wps:txbx>
                              <wps:bodyPr lIns="0" tIns="0" rIns="0" bIns="0" upright="1"/>
                            </wps:wsp>
                            <wps:wsp>
                              <wps:cNvPr id="181" name="直接连接符 46"/>
                              <wps:cNvCnPr/>
                              <wps:spPr>
                                <a:xfrm>
                                  <a:off x="2693670" y="1543050"/>
                                  <a:ext cx="395997" cy="0"/>
                                </a:xfrm>
                                <a:prstGeom prst="line">
                                  <a:avLst/>
                                </a:prstGeom>
                                <a:ln w="9525" cap="flat" cmpd="sng">
                                  <a:solidFill>
                                    <a:srgbClr val="000000"/>
                                  </a:solidFill>
                                  <a:prstDash val="solid"/>
                                  <a:headEnd type="none" w="med" len="med"/>
                                  <a:tailEnd type="triangle" w="med" len="med"/>
                                </a:ln>
                              </wps:spPr>
                              <wps:bodyPr upright="1"/>
                            </wps:wsp>
                            <wps:wsp>
                              <wps:cNvPr id="182" name="文本框 48"/>
                              <wps:cNvSpPr txBox="1"/>
                              <wps:spPr>
                                <a:xfrm>
                                  <a:off x="3094355" y="1322705"/>
                                  <a:ext cx="539996"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lang w:eastAsia="zh-CN"/>
                                      </w:rPr>
                                    </w:pPr>
                                    <w:r>
                                      <w:rPr>
                                        <w:rFonts w:hint="eastAsia" w:ascii="宋体" w:hAnsi="宋体" w:cs="宋体"/>
                                        <w:sz w:val="21"/>
                                        <w:szCs w:val="21"/>
                                        <w:lang w:eastAsia="zh-CN"/>
                                      </w:rPr>
                                      <w:t>旋风</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ascii="宋体" w:hAnsi="宋体" w:cs="宋体"/>
                                        <w:sz w:val="21"/>
                                        <w:szCs w:val="21"/>
                                        <w:lang w:eastAsia="zh-CN"/>
                                      </w:rPr>
                                      <w:t>除尘器</w:t>
                                    </w:r>
                                  </w:p>
                                </w:txbxContent>
                              </wps:txbx>
                              <wps:bodyPr lIns="0" tIns="0" rIns="0" bIns="0" upright="1"/>
                            </wps:wsp>
                            <wps:wsp>
                              <wps:cNvPr id="184" name="文本框 80"/>
                              <wps:cNvSpPr txBox="1"/>
                              <wps:spPr>
                                <a:xfrm>
                                  <a:off x="4052570" y="1301115"/>
                                  <a:ext cx="539750"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ascii="宋体" w:hAnsi="宋体" w:cs="宋体"/>
                                        <w:sz w:val="21"/>
                                        <w:szCs w:val="21"/>
                                        <w:lang w:eastAsia="zh-CN"/>
                                      </w:rPr>
                                      <w:t>布袋除尘器</w:t>
                                    </w:r>
                                  </w:p>
                                </w:txbxContent>
                              </wps:txbx>
                              <wps:bodyPr lIns="0" tIns="0" rIns="0" bIns="0" upright="1"/>
                            </wps:wsp>
                            <wps:wsp>
                              <wps:cNvPr id="185" name="直接连接符 114"/>
                              <wps:cNvCnPr/>
                              <wps:spPr>
                                <a:xfrm rot="5400000" flipH="1" flipV="1">
                                  <a:off x="4173220" y="1135380"/>
                                  <a:ext cx="317500" cy="0"/>
                                </a:xfrm>
                                <a:prstGeom prst="line">
                                  <a:avLst/>
                                </a:prstGeom>
                                <a:ln w="9525" cap="flat" cmpd="sng">
                                  <a:solidFill>
                                    <a:srgbClr val="000000"/>
                                  </a:solidFill>
                                  <a:prstDash val="dash"/>
                                  <a:headEnd type="none" w="med" len="med"/>
                                  <a:tailEnd type="triangle" w="med" len="med"/>
                                </a:ln>
                              </wps:spPr>
                              <wps:bodyPr upright="1"/>
                            </wps:wsp>
                            <wps:wsp>
                              <wps:cNvPr id="186" name="文本框 116"/>
                              <wps:cNvSpPr txBox="1"/>
                              <wps:spPr>
                                <a:xfrm>
                                  <a:off x="4066540" y="741045"/>
                                  <a:ext cx="584200" cy="254000"/>
                                </a:xfrm>
                                <a:prstGeom prst="rect">
                                  <a:avLst/>
                                </a:prstGeom>
                                <a:noFill/>
                                <a:ln>
                                  <a:noFill/>
                                </a:ln>
                              </wps:spPr>
                              <wps:txbx>
                                <w:txbxContent>
                                  <w:p>
                                    <w:pPr>
                                      <w:pStyle w:val="6"/>
                                      <w:widowControl/>
                                      <w:spacing w:line="360" w:lineRule="exact"/>
                                      <w:ind w:firstLine="0" w:firstLineChars="0"/>
                                      <w:jc w:val="center"/>
                                      <w:rPr>
                                        <w:rFonts w:hint="eastAsia" w:eastAsia="宋体"/>
                                        <w:sz w:val="21"/>
                                        <w:szCs w:val="21"/>
                                        <w:lang w:eastAsia="zh-CN"/>
                                      </w:rPr>
                                    </w:pPr>
                                    <w:r>
                                      <w:rPr>
                                        <w:rFonts w:hint="eastAsia"/>
                                        <w:sz w:val="21"/>
                                        <w:szCs w:val="21"/>
                                        <w:lang w:eastAsia="zh-CN"/>
                                      </w:rPr>
                                      <w:t>废气</w:t>
                                    </w:r>
                                  </w:p>
                                </w:txbxContent>
                              </wps:txbx>
                              <wps:bodyPr lIns="0" tIns="0" rIns="0" bIns="0" upright="1"/>
                            </wps:wsp>
                            <wps:wsp>
                              <wps:cNvPr id="187" name="文本框 146"/>
                              <wps:cNvSpPr txBox="1"/>
                              <wps:spPr>
                                <a:xfrm>
                                  <a:off x="1161415" y="1570355"/>
                                  <a:ext cx="539750" cy="234950"/>
                                </a:xfrm>
                                <a:prstGeom prst="rect">
                                  <a:avLst/>
                                </a:prstGeom>
                                <a:noFill/>
                                <a:ln>
                                  <a:noFill/>
                                </a:ln>
                              </wps:spPr>
                              <wps:txbx>
                                <w:txbxContent>
                                  <w:p>
                                    <w:pPr>
                                      <w:pStyle w:val="6"/>
                                      <w:widowControl/>
                                      <w:spacing w:line="360" w:lineRule="exact"/>
                                      <w:ind w:firstLine="0" w:firstLineChars="0"/>
                                      <w:jc w:val="center"/>
                                      <w:rPr>
                                        <w:rFonts w:hint="default" w:eastAsia="宋体"/>
                                        <w:sz w:val="21"/>
                                        <w:szCs w:val="21"/>
                                        <w:lang w:val="en-US" w:eastAsia="zh-CN"/>
                                      </w:rPr>
                                    </w:pPr>
                                    <w:r>
                                      <w:rPr>
                                        <w:rFonts w:hint="eastAsia"/>
                                        <w:sz w:val="21"/>
                                        <w:szCs w:val="21"/>
                                        <w:lang w:val="en-US" w:eastAsia="zh-CN"/>
                                      </w:rPr>
                                      <w:t>SNCR</w:t>
                                    </w:r>
                                  </w:p>
                                </w:txbxContent>
                              </wps:txbx>
                              <wps:bodyPr lIns="0" tIns="0" rIns="0" bIns="0" upright="1"/>
                            </wps:wsp>
                            <wps:wsp>
                              <wps:cNvPr id="189" name="直接连接符 148"/>
                              <wps:cNvCnPr/>
                              <wps:spPr>
                                <a:xfrm>
                                  <a:off x="3636645" y="1543050"/>
                                  <a:ext cx="396240" cy="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249.4pt;width:427.4pt;" coordsize="5427980,3167380" editas="canvas" o:gfxdata="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26s9i9YAAAAFAQAADwAAAAAAAAABACAAAAAiAAAAZHJzL2Rv&#10;d25yZXYueG1sUEsBAhQAFAAAAAgAh07iQJKMU8Y+BgAAHTIAAA4AAAAAAAAAAQAgAAAAJQEAAGRy&#10;cy9lMm9Eb2MueG1sUEsFBgAAAAAGAAYAWQEAANUJAAAAAA==&#10;">
                      <o:lock v:ext="edit" aspectratio="f"/>
                      <v:shape id="_x0000_s1026" o:spid="_x0000_s1026" style="position:absolute;left:0;top:0;height:3167380;width:5427980;" filled="f" stroked="f" coordsize="21600,21600" o:gfxdata="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NurPYvWAAAABQEAAA8AAAAAAAAAAQAgAAAAIgAAAGRycy9kb3ducmV2LnhtbFBL&#10;AQIUABQAAAAIAIdO4kCQ42gH+gUAAJYxAAAOAAAAAAAAAAEAIAAAACUBAABkcnMvZTJvRG9jLnht&#10;bFBLBQYAAAAABgAGAFkBAACRCQAAAAA=&#10;">
                        <v:fill on="f" focussize="0,0"/>
                        <v:stroke on="f"/>
                        <v:imagedata o:title=""/>
                        <o:lock v:ext="edit" aspectratio="f"/>
                      </v:shape>
                      <v:shape id="_x0000_s1026" o:spid="_x0000_s1026" o:spt="202" type="#_x0000_t202" style="position:absolute;left:55880;top:1189990;height:415290;width:561975;" fillcolor="#FFFFFF" filled="t" stroked="f" coordsize="21600,21600" o:gfxdata="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4c52zVAAAABQEAAA8AAAAAAAAAAQAg&#10;AAAAIgAAAGRycy9kb3ducmV2LnhtbFBLAQIUABQAAAAIAIdO4kDREN1G2AEAAKQDAAAOAAAAAAAA&#10;AAEAIAAAACQBAABkcnMvZTJvRG9jLnhtbFBLBQYAAAAABgAGAFkBAABuBQAAAAA=&#10;">
                        <v:fill on="t" focussize="0,0"/>
                        <v:stroke on="f"/>
                        <v:imagedata o:title=""/>
                        <o:lock v:ext="edit" aspectratio="f"/>
                        <v:textbox inset="0mm,0mm,0mm,0mm">
                          <w:txbxContent>
                            <w:p>
                              <w:pPr>
                                <w:pStyle w:val="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eastAsia="zh-CN"/>
                                </w:rPr>
                              </w:pPr>
                              <w:r>
                                <w:rPr>
                                  <w:rFonts w:hint="eastAsia"/>
                                  <w:sz w:val="21"/>
                                  <w:szCs w:val="21"/>
                                  <w:lang w:eastAsia="zh-CN"/>
                                </w:rPr>
                                <w:t>生物质</w:t>
                              </w:r>
                            </w:p>
                            <w:p>
                              <w:pPr>
                                <w:pStyle w:val="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lang w:eastAsia="zh-CN"/>
                                </w:rPr>
                              </w:pPr>
                              <w:r>
                                <w:rPr>
                                  <w:rFonts w:hint="eastAsia"/>
                                  <w:sz w:val="21"/>
                                  <w:szCs w:val="21"/>
                                  <w:lang w:eastAsia="zh-CN"/>
                                </w:rPr>
                                <w:t>燃料</w:t>
                              </w:r>
                            </w:p>
                          </w:txbxContent>
                        </v:textbox>
                      </v:shape>
                      <v:line id="直接连接符 2" o:spid="_x0000_s1026" o:spt="20" style="position:absolute;left:112395;top:1562100;height:635;width:467995;" filled="f" stroked="t" coordsize="21600,21600" o:gfxdata="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bboJTWAAAABQEAAA8AAAAAAAAAAQAgAAAAIgAAAGRy&#10;cy9kb3ducmV2LnhtbFBLAQIUABQAAAAIAIdO4kAvVL53BwIAAPYDAAAOAAAAAAAAAAEAIAAAACUB&#10;AABkcnMvZTJvRG9jLnhtbFBLBQYAAAAABgAGAFkBAACeBQAAAAA=&#10;">
                        <v:fill on="f" focussize="0,0"/>
                        <v:stroke color="#000000" joinstyle="round" endarrow="block"/>
                        <v:imagedata o:title=""/>
                        <o:lock v:ext="edit" aspectratio="f"/>
                      </v:line>
                      <v:shape id="文本框 3" o:spid="_x0000_s1026" o:spt="202" type="#_x0000_t202" style="position:absolute;left:1970405;top:74930;height:254000;width:587375;" fillcolor="#FFFFFF" filled="t" stroked="f" coordsize="21600,21600" o:gfxdata="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hznbNUAAAAFAQAADwAAAAAAAAAB&#10;ACAAAAAiAAAAZHJzL2Rvd25yZXYueG1sUEsBAhQAFAAAAAgAh07iQOrWLxPaAQAApgMAAA4AAAAA&#10;AAAAAQAgAAAAJAEAAGRycy9lMm9Eb2MueG1sUEsFBgAAAAAGAAYAWQEAAHAFAAAAAA==&#10;">
                        <v:fill on="t" focussize="0,0"/>
                        <v:stroke on="f"/>
                        <v:imagedata o:title=""/>
                        <o:lock v:ext="edit" aspectratio="f"/>
                        <v:textbox inset="0mm,0mm,0mm,0mm">
                          <w:txbxContent>
                            <w:p>
                              <w:pPr>
                                <w:pStyle w:val="6"/>
                                <w:widowControl/>
                                <w:spacing w:line="360" w:lineRule="exact"/>
                                <w:ind w:firstLine="0" w:firstLineChars="0"/>
                                <w:jc w:val="center"/>
                                <w:rPr>
                                  <w:rFonts w:hint="eastAsia" w:eastAsia="宋体"/>
                                  <w:sz w:val="21"/>
                                  <w:szCs w:val="21"/>
                                  <w:lang w:eastAsia="zh-CN"/>
                                </w:rPr>
                              </w:pPr>
                              <w:r>
                                <w:rPr>
                                  <w:rFonts w:hint="eastAsia"/>
                                  <w:sz w:val="21"/>
                                  <w:szCs w:val="21"/>
                                  <w:lang w:eastAsia="zh-CN"/>
                                </w:rPr>
                                <w:t>湿煤泥</w:t>
                              </w:r>
                            </w:p>
                          </w:txbxContent>
                        </v:textbox>
                      </v:shape>
                      <v:line id="直接连接符 4" o:spid="_x0000_s1026" o:spt="20" style="position:absolute;left:2070100;top:509270;height:0;width:396240;rotation:5898240f;" filled="f" stroked="t" coordsize="21600,21600" o:gfxdata="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aN+qtUAAAAFAQAADwAAAAAAAAABACAA&#10;AAAiAAAAZHJzL2Rvd25yZXYueG1sUEsBAhQAFAAAAAgAh07iQGpVUhgQAgAAAgQAAA4AAAAAAAAA&#10;AQAgAAAAJAEAAGRycy9lMm9Eb2MueG1sUEsFBgAAAAAGAAYAWQEAAKYFAAAAAA==&#10;">
                        <v:fill on="f" focussize="0,0"/>
                        <v:stroke color="#000000" joinstyle="round" endarrow="block"/>
                        <v:imagedata o:title=""/>
                        <o:lock v:ext="edit" aspectratio="f"/>
                      </v:line>
                      <v:shape id="文本框 5" o:spid="_x0000_s1026" o:spt="202" type="#_x0000_t202" style="position:absolute;left:1856105;top:703580;height:279400;width:828040;" fillcolor="#FFFFFF" filled="t" stroked="t" coordsize="21600,21600" o:gfxdata="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91h01gAAAAUBAAAPAAAAAAAAAAEAIAAAACIAAABkcnMvZG93bnJldi54bWxQSwECFAAUAAAACACH&#10;TuJAo/91MSYCAABmBAAADgAAAAAAAAABACAAAAAlAQAAZHJzL2Uyb0RvYy54bWxQSwUGAAAAAAYA&#10;BgBZAQAAvQUAAAAA&#10;">
                        <v:fill on="t" focussize="0,0"/>
                        <v:stroke color="#000000" joinstyle="miter"/>
                        <v:imagedata o:title=""/>
                        <o:lock v:ext="edit" aspectratio="f"/>
                        <v:textbox inset="0mm,0mm,0mm,0mm">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喂料口</w:t>
                              </w:r>
                            </w:p>
                          </w:txbxContent>
                        </v:textbox>
                      </v:shape>
                      <v:line id="直接连接符 6" o:spid="_x0000_s1026" o:spt="20" style="position:absolute;left:2070100;top:1185545;height:0;width:396240;rotation:5898240f;" filled="f" stroked="t" coordsize="21600,21600" o:gfxdata="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aN+qtUAAAAFAQAADwAAAAAAAAAB&#10;ACAAAAAiAAAAZHJzL2Rvd25yZXYueG1sUEsBAhQAFAAAAAgAh07iQBBj8E4TAgAAAwQAAA4AAAAA&#10;AAAAAQAgAAAAJAEAAGRycy9lMm9Eb2MueG1sUEsFBgAAAAAGAAYAWQEAAKkFAAAAAA==&#10;">
                        <v:fill on="f" focussize="0,0"/>
                        <v:stroke color="#000000" joinstyle="round" endarrow="block"/>
                        <v:imagedata o:title=""/>
                        <o:lock v:ext="edit" aspectratio="f"/>
                      </v:line>
                      <v:shape id="文本框 17" o:spid="_x0000_s1026" o:spt="202" type="#_x0000_t202" style="position:absolute;left:1856105;top:1398905;height:279400;width:828040;" fillcolor="#FFFFFF" filled="t" stroked="t" coordsize="21600,21600" o:gfxdata="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91h01gAAAAUBAAAPAAAAAAAAAAEAIAAAACIAAABkcnMvZG93bnJldi54bWxQSwECFAAUAAAACACH&#10;TuJAN/BZdCYCAABoBAAADgAAAAAAAAABACAAAAAlAQAAZHJzL2Uyb0RvYy54bWxQSwUGAAAAAAYA&#10;BgBZAQAAvQUAAAAA&#10;">
                        <v:fill on="t" focussize="0,0"/>
                        <v:stroke color="#000000" joinstyle="miter"/>
                        <v:imagedata o:title=""/>
                        <o:lock v:ext="edit" aspectratio="f"/>
                        <v:textbox inset="0mm,0mm,0mm,0mm">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滚筒干燥机</w:t>
                              </w:r>
                            </w:p>
                          </w:txbxContent>
                        </v:textbox>
                      </v:shape>
                      <v:line id="直接连接符 20" o:spid="_x0000_s1026" o:spt="20" style="position:absolute;left:2060575;top:1880870;height:0;width:396240;rotation:5898240f;" filled="f" stroked="t" coordsize="21600,21600" o:gfxdata="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aN+qtUAAAAFAQAADwAAAAAAAAAB&#10;ACAAAAAiAAAAZHJzL2Rvd25yZXYueG1sUEsBAhQAFAAAAAgAh07iQGDTRuITAgAABAQAAA4AAAAA&#10;AAAAAQAgAAAAJAEAAGRycy9lMm9Eb2MueG1sUEsFBgAAAAAGAAYAWQEAAKkFAAAAAA==&#10;">
                        <v:fill on="f" focussize="0,0"/>
                        <v:stroke color="#000000" joinstyle="round" endarrow="block"/>
                        <v:imagedata o:title=""/>
                        <o:lock v:ext="edit" aspectratio="f"/>
                      </v:line>
                      <v:shape id="文本框 24" o:spid="_x0000_s1026" o:spt="202" type="#_x0000_t202" style="position:absolute;left:1846580;top:2103755;height:279400;width:828040;" fillcolor="#FFFFFF" filled="t" stroked="t" coordsize="21600,21600" o:gfxdata="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j3WHTWAAAABQEAAA8AAAAAAAAAAQAgAAAAIgAAAGRycy9kb3ducmV2LnhtbFBLAQIUABQAAAAI&#10;AIdO4kAVCKSOKAIAAGgEAAAOAAAAAAAAAAEAIAAAACUBAABkcnMvZTJvRG9jLnhtbFBLBQYAAAAA&#10;BgAGAFkBAAC/BQAAAAA=&#10;">
                        <v:fill on="t" focussize="0,0"/>
                        <v:stroke color="#000000" joinstyle="miter"/>
                        <v:imagedata o:title=""/>
                        <o:lock v:ext="edit" aspectratio="f"/>
                        <v:textbox inset="0mm,0mm,0mm,0mm">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封闭皮带</w:t>
                              </w:r>
                            </w:p>
                          </w:txbxContent>
                        </v:textbox>
                      </v:shape>
                      <v:line id="直接连接符 26" o:spid="_x0000_s1026" o:spt="20" style="position:absolute;left:2079625;top:2585720;height:0;width:396240;rotation:5898240f;" filled="f" stroked="t" coordsize="21600,21600" o:gfxdata="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No36q1QAAAAUBAAAPAAAAAAAAAAEA&#10;IAAAACIAAABkcnMvZG93bnJldi54bWxQSwECFAAUAAAACACHTuJAKaTc8xICAAAEBAAADgAAAAAA&#10;AAABACAAAAAkAQAAZHJzL2Uyb0RvYy54bWxQSwUGAAAAAAYABgBZAQAAqAUAAAAA&#10;">
                        <v:fill on="f" focussize="0,0"/>
                        <v:stroke color="#000000" joinstyle="round" endarrow="block"/>
                        <v:imagedata o:title=""/>
                        <o:lock v:ext="edit" aspectratio="f"/>
                      </v:line>
                      <v:shape id="文本框 33" o:spid="_x0000_s1026" o:spt="202" type="#_x0000_t202" style="position:absolute;left:1865630;top:2789555;height:279400;width:828040;" fillcolor="#FFFFFF" filled="t" stroked="t" coordsize="21600,21600" o:gfxdata="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YdNYAAAAFAQAADwAAAAAAAAABACAAAAAiAAAAZHJzL2Rvd25yZXYueG1sUEsBAhQAFAAAAAgA&#10;h07iQIyWl2snAgAAaAQAAA4AAAAAAAAAAQAgAAAAJQEAAGRycy9lMm9Eb2MueG1sUEsFBgAAAAAG&#10;AAYAWQEAAL4FAAAAAA==&#10;">
                        <v:fill on="t" focussize="0,0"/>
                        <v:stroke color="#000000" joinstyle="miter"/>
                        <v:imagedata o:title=""/>
                        <o:lock v:ext="edit" aspectratio="f"/>
                        <v:textbox inset="0mm,0mm,0mm,0mm">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干煤泥库</w:t>
                              </w:r>
                            </w:p>
                          </w:txbxContent>
                        </v:textbox>
                      </v:shape>
                      <v:shape id="文本框 35" o:spid="_x0000_s1026" o:spt="202" type="#_x0000_t202" style="position:absolute;left:589280;top:1408430;height:279400;width:539996;" fillcolor="#FFFFFF" filled="t" stroked="t" coordsize="21600,21600" o:gfxdata="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YdNYAAAAFAQAADwAAAAAAAAABACAAAAAiAAAAZHJzL2Rvd25yZXYueG1sUEsBAhQAFAAAAAgA&#10;h07iQOzzrtonAgAAZwQAAA4AAAAAAAAAAQAgAAAAJQEAAGRycy9lMm9Eb2MueG1sUEsFBgAAAAAG&#10;AAYAWQEAAL4FAAAAAA==&#10;">
                        <v:fill on="t" focussize="0,0"/>
                        <v:stroke color="#000000" joinstyle="miter"/>
                        <v:imagedata o:title=""/>
                        <o:lock v:ext="edit" aspectratio="f"/>
                        <v:textbox inset="0mm,0mm,0mm,0mm">
                          <w:txbxContent>
                            <w:p>
                              <w:pPr>
                                <w:spacing w:line="360" w:lineRule="exact"/>
                                <w:ind w:firstLine="0" w:firstLineChars="0"/>
                                <w:jc w:val="center"/>
                                <w:rPr>
                                  <w:rFonts w:hint="eastAsia" w:eastAsia="宋体"/>
                                  <w:sz w:val="21"/>
                                  <w:szCs w:val="21"/>
                                  <w:lang w:eastAsia="zh-CN"/>
                                </w:rPr>
                              </w:pPr>
                              <w:r>
                                <w:rPr>
                                  <w:rFonts w:hint="eastAsia" w:ascii="宋体" w:hAnsi="宋体" w:cs="宋体"/>
                                  <w:sz w:val="21"/>
                                  <w:szCs w:val="21"/>
                                  <w:lang w:eastAsia="zh-CN"/>
                                </w:rPr>
                                <w:t>热风炉</w:t>
                              </w:r>
                            </w:p>
                          </w:txbxContent>
                        </v:textbox>
                      </v:shape>
                      <v:line id="直接连接符 39" o:spid="_x0000_s1026" o:spt="20" style="position:absolute;left:1131570;top:1552575;height:0;width:720090;" filled="f" stroked="t" coordsize="21600,21600" o:gfxdata="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boJTWAAAABQEAAA8AAAAAAAAAAQAgAAAAIgAA&#10;AGRycy9kb3ducmV2LnhtbFBLAQIUABQAAAAIAIdO4kBZEoAqCgIAAPYDAAAOAAAAAAAAAAEAIAAA&#10;ACUBAABkcnMvZTJvRG9jLnhtbFBLBQYAAAAABgAGAFkBAAChBQAAAAA=&#10;">
                        <v:fill on="f" focussize="0,0"/>
                        <v:stroke color="#000000" joinstyle="round" endarrow="block"/>
                        <v:imagedata o:title=""/>
                        <o:lock v:ext="edit" aspectratio="f"/>
                      </v:line>
                      <v:shape id="文本框 41" o:spid="_x0000_s1026" o:spt="202" type="#_x0000_t202" style="position:absolute;left:1142365;top:1294130;height:254000;width:634365;" filled="f" stroked="f" coordsize="21600,21600" o:gfxdata="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yQTP1QAAAAUBAAAPAAAAAAAAAAEAIAAAACIAAABkcnMvZG93bnJldi54&#10;bWxQSwECFAAUAAAACACHTuJAB+ksKcQBAACAAwAADgAAAAAAAAABACAAAAAkAQAAZHJzL2Uyb0Rv&#10;Yy54bWxQSwUGAAAAAAYABgBZAQAAWgUAAAAA&#10;">
                        <v:fill on="f" focussize="0,0"/>
                        <v:stroke on="f"/>
                        <v:imagedata o:title=""/>
                        <o:lock v:ext="edit" aspectratio="f"/>
                        <v:textbox inset="0mm,0mm,0mm,0mm">
                          <w:txbxContent>
                            <w:p>
                              <w:pPr>
                                <w:pStyle w:val="6"/>
                                <w:widowControl/>
                                <w:spacing w:line="360" w:lineRule="exact"/>
                                <w:ind w:firstLine="0" w:firstLineChars="0"/>
                                <w:jc w:val="center"/>
                                <w:rPr>
                                  <w:rFonts w:hint="eastAsia" w:eastAsia="宋体"/>
                                  <w:sz w:val="21"/>
                                  <w:szCs w:val="21"/>
                                  <w:lang w:eastAsia="zh-CN"/>
                                </w:rPr>
                              </w:pPr>
                              <w:r>
                                <w:rPr>
                                  <w:rFonts w:hint="eastAsia"/>
                                  <w:sz w:val="21"/>
                                  <w:szCs w:val="21"/>
                                  <w:lang w:eastAsia="zh-CN"/>
                                </w:rPr>
                                <w:t>高温气体</w:t>
                              </w:r>
                            </w:p>
                          </w:txbxContent>
                        </v:textbox>
                      </v:shape>
                      <v:shape id="文本框 43" o:spid="_x0000_s1026" o:spt="202" type="#_x0000_t202" style="position:absolute;left:2313940;top:1036955;height:254000;width:622300;" filled="f" stroked="f" coordsize="21600,21600" o:gfxdata="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rJBM/VAAAABQEAAA8AAAAAAAAAAQAgAAAAIgAAAGRycy9kb3ducmV2&#10;LnhtbFBLAQIUABQAAAAIAIdO4kB4xamGxgEAAIADAAAOAAAAAAAAAAEAIAAAACQBAABkcnMvZTJv&#10;RG9jLnhtbFBLBQYAAAAABgAGAFkBAABcBQAAAAA=&#10;">
                        <v:fill on="f" focussize="0,0"/>
                        <v:stroke on="f"/>
                        <v:imagedata o:title=""/>
                        <o:lock v:ext="edit" aspectratio="f"/>
                        <v:textbox inset="0mm,0mm,0mm,0mm">
                          <w:txbxContent>
                            <w:p>
                              <w:pPr>
                                <w:pStyle w:val="6"/>
                                <w:widowControl/>
                                <w:spacing w:line="360" w:lineRule="exact"/>
                                <w:ind w:firstLine="0" w:firstLineChars="0"/>
                                <w:jc w:val="center"/>
                                <w:rPr>
                                  <w:rFonts w:hint="eastAsia" w:eastAsia="宋体"/>
                                  <w:sz w:val="21"/>
                                  <w:szCs w:val="21"/>
                                  <w:lang w:eastAsia="zh-CN"/>
                                </w:rPr>
                              </w:pPr>
                              <w:r>
                                <w:rPr>
                                  <w:rFonts w:hint="eastAsia"/>
                                  <w:sz w:val="21"/>
                                  <w:szCs w:val="21"/>
                                  <w:lang w:eastAsia="zh-CN"/>
                                </w:rPr>
                                <w:t>封闭皮带</w:t>
                              </w:r>
                            </w:p>
                          </w:txbxContent>
                        </v:textbox>
                      </v:shape>
                      <v:line id="直接连接符 46" o:spid="_x0000_s1026" o:spt="20" style="position:absolute;left:2693670;top:1543050;height:0;width:395997;" filled="f" stroked="t" coordsize="21600,21600" o:gfxdata="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bboJTWAAAABQEAAA8AAAAAAAAAAQAgAAAA&#10;IgAAAGRycy9kb3ducmV2LnhtbFBLAQIUABQAAAAIAIdO4kDPa4LdDQIAAPYDAAAOAAAAAAAAAAEA&#10;IAAAACUBAABkcnMvZTJvRG9jLnhtbFBLBQYAAAAABgAGAFkBAACkBQAAAAA=&#10;">
                        <v:fill on="f" focussize="0,0"/>
                        <v:stroke color="#000000" joinstyle="round" endarrow="block"/>
                        <v:imagedata o:title=""/>
                        <o:lock v:ext="edit" aspectratio="f"/>
                      </v:line>
                      <v:shape id="文本框 48" o:spid="_x0000_s1026" o:spt="202" type="#_x0000_t202" style="position:absolute;left:3094355;top:1322705;height:431800;width:539996;" fillcolor="#FFFFFF" filled="t" stroked="t" coordsize="21600,21600" o:gfxdata="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491h01gAAAAUBAAAPAAAAAAAAAAEAIAAAACIAAABkcnMvZG93bnJldi54bWxQSwECFAAUAAAA&#10;CACHTuJAJP/csykCAABoBAAADgAAAAAAAAABACAAAAAlAQAAZHJzL2Uyb0RvYy54bWxQSwUGAAAA&#10;AAYABgBZAQAAwAU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lang w:eastAsia="zh-CN"/>
                                </w:rPr>
                              </w:pPr>
                              <w:r>
                                <w:rPr>
                                  <w:rFonts w:hint="eastAsia" w:ascii="宋体" w:hAnsi="宋体" w:cs="宋体"/>
                                  <w:sz w:val="21"/>
                                  <w:szCs w:val="21"/>
                                  <w:lang w:eastAsia="zh-CN"/>
                                </w:rPr>
                                <w:t>旋风</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ascii="宋体" w:hAnsi="宋体" w:cs="宋体"/>
                                  <w:sz w:val="21"/>
                                  <w:szCs w:val="21"/>
                                  <w:lang w:eastAsia="zh-CN"/>
                                </w:rPr>
                                <w:t>除尘器</w:t>
                              </w:r>
                            </w:p>
                          </w:txbxContent>
                        </v:textbox>
                      </v:shape>
                      <v:shape id="文本框 80" o:spid="_x0000_s1026" o:spt="202" type="#_x0000_t202" style="position:absolute;left:4052570;top:1301115;height:431800;width:539750;" fillcolor="#FFFFFF" filled="t" stroked="t" coordsize="21600,21600" o:gfxdata="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YdNYAAAAFAQAADwAAAAAAAAABACAAAAAiAAAAZHJzL2Rvd25yZXYueG1sUEsBAhQAFAAAAAgA&#10;h07iQI4ofdknAgAAaAQAAA4AAAAAAAAAAQAgAAAAJQEAAGRycy9lMm9Eb2MueG1sUEsFBgAAAAAG&#10;AAYAWQEAAL4F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ascii="宋体" w:hAnsi="宋体" w:cs="宋体"/>
                                  <w:sz w:val="21"/>
                                  <w:szCs w:val="21"/>
                                  <w:lang w:eastAsia="zh-CN"/>
                                </w:rPr>
                                <w:t>布袋除尘器</w:t>
                              </w:r>
                            </w:p>
                          </w:txbxContent>
                        </v:textbox>
                      </v:shape>
                      <v:line id="直接连接符 114" o:spid="_x0000_s1026" o:spt="20" style="position:absolute;left:4173220;top:1135380;flip:x y;height:0;width:317500;rotation:5898240f;" filled="f" stroked="t" coordsize="21600,21600" o:gfxdata="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5XVDW1QAAAAUB&#10;AAAPAAAAAAAAAAEAIAAAACIAAABkcnMvZG93bnJldi54bWxQSwECFAAUAAAACACHTuJA282u6h4C&#10;AAAYBAAADgAAAAAAAAABACAAAAAkAQAAZHJzL2Uyb0RvYy54bWxQSwUGAAAAAAYABgBZAQAAtAUA&#10;AAAA&#10;">
                        <v:fill on="f" focussize="0,0"/>
                        <v:stroke color="#000000" joinstyle="round" dashstyle="dash" endarrow="block"/>
                        <v:imagedata o:title=""/>
                        <o:lock v:ext="edit" aspectratio="f"/>
                      </v:line>
                      <v:shape id="文本框 116" o:spid="_x0000_s1026" o:spt="202" type="#_x0000_t202" style="position:absolute;left:4066540;top:741045;height:254000;width:584200;" filled="f" stroked="f" coordsize="21600,21600" o:gfxdata="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rJBM/VAAAABQEAAA8AAAAAAAAAAQAgAAAAIgAAAGRycy9kb3ducmV2&#10;LnhtbFBLAQIUABQAAAAIAIdO4kBkArvAxgEAAIADAAAOAAAAAAAAAAEAIAAAACQBAABkcnMvZTJv&#10;RG9jLnhtbFBLBQYAAAAABgAGAFkBAABcBQAAAAA=&#10;">
                        <v:fill on="f" focussize="0,0"/>
                        <v:stroke on="f"/>
                        <v:imagedata o:title=""/>
                        <o:lock v:ext="edit" aspectratio="f"/>
                        <v:textbox inset="0mm,0mm,0mm,0mm">
                          <w:txbxContent>
                            <w:p>
                              <w:pPr>
                                <w:pStyle w:val="6"/>
                                <w:widowControl/>
                                <w:spacing w:line="360" w:lineRule="exact"/>
                                <w:ind w:firstLine="0" w:firstLineChars="0"/>
                                <w:jc w:val="center"/>
                                <w:rPr>
                                  <w:rFonts w:hint="eastAsia" w:eastAsia="宋体"/>
                                  <w:sz w:val="21"/>
                                  <w:szCs w:val="21"/>
                                  <w:lang w:eastAsia="zh-CN"/>
                                </w:rPr>
                              </w:pPr>
                              <w:r>
                                <w:rPr>
                                  <w:rFonts w:hint="eastAsia"/>
                                  <w:sz w:val="21"/>
                                  <w:szCs w:val="21"/>
                                  <w:lang w:eastAsia="zh-CN"/>
                                </w:rPr>
                                <w:t>废气</w:t>
                              </w:r>
                            </w:p>
                          </w:txbxContent>
                        </v:textbox>
                      </v:shape>
                      <v:shape id="文本框 146" o:spid="_x0000_s1026" o:spt="202" type="#_x0000_t202" style="position:absolute;left:1161415;top:1570355;height:234950;width:539750;" filled="f" stroked="f" coordsize="21600,21600" o:gfxdata="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skEz9UAAAAFAQAADwAAAAAAAAABACAAAAAiAAAAZHJzL2Rvd25y&#10;ZXYueG1sUEsBAhQAFAAAAAgAh07iQIH1ctTIAQAAgQMAAA4AAAAAAAAAAQAgAAAAJAEAAGRycy9l&#10;Mm9Eb2MueG1sUEsFBgAAAAAGAAYAWQEAAF4FAAAAAA==&#10;">
                        <v:fill on="f" focussize="0,0"/>
                        <v:stroke on="f"/>
                        <v:imagedata o:title=""/>
                        <o:lock v:ext="edit" aspectratio="f"/>
                        <v:textbox inset="0mm,0mm,0mm,0mm">
                          <w:txbxContent>
                            <w:p>
                              <w:pPr>
                                <w:pStyle w:val="6"/>
                                <w:widowControl/>
                                <w:spacing w:line="360" w:lineRule="exact"/>
                                <w:ind w:firstLine="0" w:firstLineChars="0"/>
                                <w:jc w:val="center"/>
                                <w:rPr>
                                  <w:rFonts w:hint="default" w:eastAsia="宋体"/>
                                  <w:sz w:val="21"/>
                                  <w:szCs w:val="21"/>
                                  <w:lang w:val="en-US" w:eastAsia="zh-CN"/>
                                </w:rPr>
                              </w:pPr>
                              <w:r>
                                <w:rPr>
                                  <w:rFonts w:hint="eastAsia"/>
                                  <w:sz w:val="21"/>
                                  <w:szCs w:val="21"/>
                                  <w:lang w:val="en-US" w:eastAsia="zh-CN"/>
                                </w:rPr>
                                <w:t>SNCR</w:t>
                              </w:r>
                            </w:p>
                          </w:txbxContent>
                        </v:textbox>
                      </v:shape>
                      <v:line id="直接连接符 148" o:spid="_x0000_s1026" o:spt="20" style="position:absolute;left:3636645;top:1543050;height:0;width:396240;" filled="f" stroked="t" coordsize="21600,21600" o:gfxdata="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tuglNYAAAAFAQAADwAAAAAAAAABACAAAAAi&#10;AAAAZHJzL2Rvd25yZXYueG1sUEsBAhQAFAAAAAgAh07iQF6kl5oMAgAA9wMAAA4AAAAAAAAAAQAg&#10;AAAAJQEAAGRycy9lMm9Eb2MueG1sUEsFBgAAAAAGAAYAWQEAAKMFAAAAAA==&#10;">
                        <v:fill on="f" focussize="0,0"/>
                        <v:stroke color="#000000" joinstyle="round" endarrow="block"/>
                        <v:imagedata o:title=""/>
                        <o:lock v:ext="edit" aspectratio="f"/>
                      </v:line>
                      <w10:wrap type="none"/>
                      <w10:anchorlock/>
                    </v:group>
                  </w:pict>
                </mc:Fallback>
              </mc:AlternateContent>
            </w:r>
          </w:p>
          <w:p>
            <w:pPr>
              <w:pStyle w:val="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4"/>
                <w:szCs w:val="24"/>
                <w:highlight w:val="none"/>
              </w:rPr>
            </w:pPr>
            <w:r>
              <w:rPr>
                <w:b/>
                <w:bCs/>
                <w:color w:val="auto"/>
                <w:sz w:val="24"/>
                <w:szCs w:val="24"/>
                <w:highlight w:val="none"/>
              </w:rPr>
              <w:t>图</w:t>
            </w:r>
            <w:r>
              <w:rPr>
                <w:rFonts w:hint="eastAsia"/>
                <w:b/>
                <w:bCs/>
                <w:color w:val="auto"/>
                <w:sz w:val="24"/>
                <w:szCs w:val="24"/>
                <w:highlight w:val="none"/>
                <w:lang w:val="en-US" w:eastAsia="zh-CN"/>
              </w:rPr>
              <w:t>2</w:t>
            </w:r>
            <w:r>
              <w:rPr>
                <w:b/>
                <w:bCs/>
                <w:color w:val="auto"/>
                <w:sz w:val="24"/>
                <w:szCs w:val="24"/>
                <w:highlight w:val="none"/>
              </w:rPr>
              <w:t xml:space="preserve">     项目运营期工艺流程及产污环节图</w:t>
            </w:r>
          </w:p>
          <w:p>
            <w:pPr>
              <w:keepNext w:val="0"/>
              <w:keepLines w:val="0"/>
              <w:pageBreakBefore w:val="0"/>
              <w:widowControl w:val="0"/>
              <w:tabs>
                <w:tab w:val="left" w:pos="1500"/>
              </w:tabs>
              <w:kinsoku/>
              <w:wordWrap/>
              <w:overflowPunct/>
              <w:topLinePunct w:val="0"/>
              <w:autoSpaceDE/>
              <w:autoSpaceDN/>
              <w:bidi w:val="0"/>
              <w:spacing w:line="520" w:lineRule="exact"/>
              <w:ind w:firstLine="482"/>
              <w:textAlignment w:val="auto"/>
              <w:rPr>
                <w:b/>
                <w:bCs/>
                <w:color w:val="auto"/>
                <w:sz w:val="24"/>
                <w:szCs w:val="24"/>
                <w:highlight w:val="none"/>
              </w:rPr>
            </w:pPr>
            <w:r>
              <w:rPr>
                <w:b/>
                <w:bCs/>
                <w:color w:val="auto"/>
                <w:sz w:val="24"/>
                <w:szCs w:val="24"/>
                <w:highlight w:val="none"/>
              </w:rPr>
              <w:t>工艺流程简述：</w:t>
            </w:r>
          </w:p>
          <w:p>
            <w:pPr>
              <w:keepNext w:val="0"/>
              <w:keepLines w:val="0"/>
              <w:pageBreakBefore w:val="0"/>
              <w:widowControl w:val="0"/>
              <w:kinsoku/>
              <w:wordWrap/>
              <w:overflowPunct/>
              <w:topLinePunct w:val="0"/>
              <w:autoSpaceDE/>
              <w:autoSpaceDN/>
              <w:bidi w:val="0"/>
              <w:adjustRightInd w:val="0"/>
              <w:snapToGrid/>
              <w:spacing w:line="480" w:lineRule="exact"/>
              <w:ind w:firstLine="482"/>
              <w:jc w:val="left"/>
              <w:textAlignment w:val="auto"/>
              <w:rPr>
                <w:color w:val="auto"/>
                <w:highlight w:val="none"/>
              </w:rPr>
            </w:pPr>
            <w:r>
              <w:rPr>
                <w:rFonts w:hint="eastAsia"/>
                <w:color w:val="auto"/>
                <w:highlight w:val="none"/>
              </w:rPr>
              <w:t>①湿煤泥储存及给料：运入的湿煤泥暂时堆存在湿</w:t>
            </w:r>
            <w:r>
              <w:rPr>
                <w:rFonts w:hint="eastAsia"/>
                <w:color w:val="auto"/>
                <w:highlight w:val="none"/>
                <w:lang w:eastAsia="zh-CN"/>
              </w:rPr>
              <w:t>煤泥库内</w:t>
            </w:r>
            <w:r>
              <w:rPr>
                <w:rFonts w:hint="eastAsia"/>
                <w:color w:val="auto"/>
                <w:highlight w:val="none"/>
              </w:rPr>
              <w:t>，</w:t>
            </w:r>
            <w:r>
              <w:rPr>
                <w:rFonts w:hint="eastAsia"/>
                <w:color w:val="auto"/>
                <w:highlight w:val="none"/>
                <w:lang w:eastAsia="zh-CN"/>
              </w:rPr>
              <w:t>根据企业介绍，</w:t>
            </w:r>
            <w:r>
              <w:rPr>
                <w:rFonts w:hint="eastAsia"/>
                <w:color w:val="auto"/>
                <w:highlight w:val="none"/>
                <w:lang w:val="en-US" w:eastAsia="zh-CN"/>
              </w:rPr>
              <w:t>25%含水率的</w:t>
            </w:r>
            <w:r>
              <w:rPr>
                <w:rFonts w:hint="eastAsia"/>
                <w:color w:val="auto"/>
                <w:highlight w:val="none"/>
                <w:lang w:eastAsia="zh-CN"/>
              </w:rPr>
              <w:t>湿煤泥无需打散，直接通过封闭皮带输送到烘干车间的</w:t>
            </w:r>
            <w:r>
              <w:rPr>
                <w:color w:val="auto"/>
                <w:highlight w:val="none"/>
              </w:rPr>
              <w:t>滚筒干燥机进行烘干</w:t>
            </w:r>
            <w:r>
              <w:rPr>
                <w:rFonts w:hint="eastAsia"/>
                <w:color w:val="auto"/>
                <w:highlight w:val="none"/>
                <w:lang w:eastAsia="zh-CN"/>
              </w:rPr>
              <w:t>，且由于煤泥含水率较大，不会起尘，无需收集治理。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eastAsia="宋体"/>
                <w:color w:val="auto"/>
                <w:sz w:val="24"/>
                <w:szCs w:val="24"/>
                <w:highlight w:val="none"/>
                <w:lang w:eastAsia="zh-CN"/>
              </w:rPr>
            </w:pPr>
            <w:r>
              <w:rPr>
                <w:rFonts w:hint="eastAsia"/>
                <w:color w:val="auto"/>
                <w:highlight w:val="none"/>
              </w:rPr>
              <w:t>②湿煤泥烘干：</w:t>
            </w:r>
            <w:r>
              <w:rPr>
                <w:rFonts w:hint="eastAsia"/>
                <w:color w:val="auto"/>
                <w:highlight w:val="none"/>
                <w:lang w:eastAsia="zh-CN"/>
              </w:rPr>
              <w:t>煤泥烘干车间</w:t>
            </w:r>
            <w:r>
              <w:rPr>
                <w:rFonts w:hint="eastAsia"/>
                <w:color w:val="auto"/>
                <w:highlight w:val="none"/>
              </w:rPr>
              <w:t>采用全封闭式建筑结构，地面硬化，进行防腐、防渗处理</w:t>
            </w:r>
            <w:r>
              <w:rPr>
                <w:rFonts w:hint="eastAsia"/>
                <w:color w:val="auto"/>
                <w:highlight w:val="none"/>
                <w:lang w:eastAsia="zh-CN"/>
              </w:rPr>
              <w:t>，内设一台滚筒干燥机</w:t>
            </w:r>
            <w:r>
              <w:rPr>
                <w:rFonts w:hint="eastAsia"/>
                <w:color w:val="auto"/>
                <w:highlight w:val="none"/>
              </w:rPr>
              <w:t>。本项目供热系统热风炉燃料为生物质</w:t>
            </w:r>
            <w:r>
              <w:rPr>
                <w:rFonts w:hint="eastAsia"/>
                <w:color w:val="auto"/>
                <w:highlight w:val="none"/>
                <w:lang w:eastAsia="zh-CN"/>
              </w:rPr>
              <w:t>成型颗粒</w:t>
            </w:r>
            <w:r>
              <w:rPr>
                <w:rFonts w:hint="eastAsia"/>
                <w:color w:val="auto"/>
                <w:highlight w:val="none"/>
              </w:rPr>
              <w:t>燃料，由热风炉产生的约</w:t>
            </w:r>
            <w:r>
              <w:rPr>
                <w:rFonts w:hint="eastAsia"/>
                <w:color w:val="auto"/>
                <w:highlight w:val="none"/>
                <w:lang w:val="en-US" w:eastAsia="zh-CN"/>
              </w:rPr>
              <w:t>85</w:t>
            </w:r>
            <w:r>
              <w:rPr>
                <w:rFonts w:hint="eastAsia"/>
                <w:color w:val="auto"/>
                <w:highlight w:val="none"/>
              </w:rPr>
              <w:t>0℃</w:t>
            </w:r>
            <w:r>
              <w:rPr>
                <w:rFonts w:hint="eastAsia"/>
                <w:color w:val="auto"/>
                <w:highlight w:val="none"/>
                <w:lang w:val="en-US" w:eastAsia="zh-CN"/>
              </w:rPr>
              <w:t>以上</w:t>
            </w:r>
            <w:r>
              <w:rPr>
                <w:rFonts w:hint="eastAsia"/>
                <w:color w:val="auto"/>
                <w:highlight w:val="none"/>
              </w:rPr>
              <w:t>高温烟气</w:t>
            </w:r>
            <w:r>
              <w:rPr>
                <w:rFonts w:hint="eastAsia"/>
                <w:color w:val="auto"/>
                <w:highlight w:val="none"/>
                <w:lang w:eastAsia="zh-CN"/>
              </w:rPr>
              <w:t>经</w:t>
            </w:r>
            <w:r>
              <w:rPr>
                <w:rFonts w:hint="eastAsia"/>
                <w:color w:val="auto"/>
                <w:highlight w:val="none"/>
                <w:lang w:val="en-US" w:eastAsia="zh-CN"/>
              </w:rPr>
              <w:t>SNCR脱销后，脱硝效率为30%，产生的热风送入蓄热室，进而进入滚筒干燥机，</w:t>
            </w:r>
            <w:r>
              <w:rPr>
                <w:rFonts w:hint="eastAsia"/>
                <w:color w:val="auto"/>
                <w:highlight w:val="none"/>
              </w:rPr>
              <w:t>后与湿煤泥进行直接接触，并蒸发其中的水分。</w:t>
            </w:r>
            <w:r>
              <w:rPr>
                <w:rFonts w:hint="eastAsia"/>
                <w:color w:val="auto"/>
                <w:highlight w:val="none"/>
                <w:lang w:eastAsia="zh-CN"/>
              </w:rPr>
              <w:t>热风炉产的高温气体</w:t>
            </w:r>
            <w:r>
              <w:rPr>
                <w:rFonts w:hint="eastAsia"/>
                <w:color w:val="auto"/>
                <w:highlight w:val="none"/>
              </w:rPr>
              <w:t>随着滚筒的转动和筒体的倾斜度，被自筒底提至筒顶落下，形成“料幕”，与同一端进入干燥筒的高温烟气从中穿过使湿物料形成传导和对流质热交换，预热湿物料并蒸发部分水分。同时，高温烟气的温度快速下降，经预热的湿物料进入中温干燥阶段，大部分水分在此阶段被蒸发掉。随着物料与烟气的反复混合交换，直至达到物料的水分要求后，物料被排出干燥滚筒。干燥后的煤泥含水率小于1</w:t>
            </w:r>
            <w:r>
              <w:rPr>
                <w:rFonts w:hint="eastAsia"/>
                <w:color w:val="auto"/>
                <w:highlight w:val="none"/>
                <w:lang w:val="en-US" w:eastAsia="zh-CN"/>
              </w:rPr>
              <w:t>4.5</w:t>
            </w:r>
            <w:r>
              <w:rPr>
                <w:rFonts w:hint="eastAsia"/>
                <w:color w:val="auto"/>
                <w:highlight w:val="none"/>
              </w:rPr>
              <w:t>%，产出的干煤泥通过封闭皮带直接送入干煤泥库，外售。经过热交换之后</w:t>
            </w:r>
            <w:r>
              <w:rPr>
                <w:rFonts w:hint="eastAsia"/>
                <w:color w:val="auto"/>
                <w:highlight w:val="none"/>
                <w:lang w:eastAsia="zh-CN"/>
              </w:rPr>
              <w:t>，尾蒸汽先经旋风除尘器除尘，后</w:t>
            </w:r>
            <w:r>
              <w:rPr>
                <w:rFonts w:hint="eastAsia"/>
                <w:color w:val="auto"/>
                <w:highlight w:val="none"/>
              </w:rPr>
              <w:t>经</w:t>
            </w:r>
            <w:r>
              <w:rPr>
                <w:rFonts w:hint="eastAsia"/>
                <w:color w:val="auto"/>
                <w:highlight w:val="none"/>
                <w:lang w:eastAsia="zh-CN"/>
              </w:rPr>
              <w:t>布袋除尘</w:t>
            </w:r>
            <w:r>
              <w:rPr>
                <w:rFonts w:hint="eastAsia"/>
                <w:color w:val="auto"/>
                <w:highlight w:val="none"/>
              </w:rPr>
              <w:t>，除尘效率≥</w:t>
            </w:r>
            <w:r>
              <w:rPr>
                <w:rFonts w:hint="eastAsia"/>
                <w:color w:val="auto"/>
                <w:highlight w:val="none"/>
                <w:lang w:eastAsia="zh-CN"/>
              </w:rPr>
              <w:t>99.</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最后</w:t>
            </w:r>
            <w:r>
              <w:rPr>
                <w:rFonts w:hint="eastAsia"/>
                <w:color w:val="auto"/>
                <w:highlight w:val="none"/>
              </w:rPr>
              <w:t>由1</w:t>
            </w:r>
            <w:r>
              <w:rPr>
                <w:rFonts w:hint="eastAsia"/>
                <w:color w:val="auto"/>
                <w:highlight w:val="none"/>
                <w:lang w:eastAsia="zh-CN"/>
              </w:rPr>
              <w:t>根</w:t>
            </w:r>
            <w:r>
              <w:rPr>
                <w:rFonts w:hint="eastAsia"/>
                <w:color w:val="auto"/>
                <w:highlight w:val="none"/>
                <w:lang w:val="en-US" w:eastAsia="zh-CN"/>
              </w:rPr>
              <w:t>15</w:t>
            </w:r>
            <w:r>
              <w:rPr>
                <w:rFonts w:hint="eastAsia"/>
                <w:color w:val="auto"/>
                <w:highlight w:val="none"/>
              </w:rPr>
              <w:t>m高烟囱排放。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jc w:val="both"/>
              <w:textAlignment w:val="auto"/>
              <w:rPr>
                <w:b/>
                <w:bCs/>
                <w:color w:val="auto"/>
                <w:sz w:val="24"/>
                <w:szCs w:val="24"/>
                <w:highlight w:val="none"/>
              </w:rPr>
            </w:pPr>
            <w:r>
              <w:rPr>
                <w:rFonts w:hint="eastAsia"/>
                <w:b/>
                <w:bCs/>
                <w:color w:val="auto"/>
                <w:sz w:val="24"/>
                <w:szCs w:val="24"/>
                <w:highlight w:val="none"/>
                <w:lang w:eastAsia="zh-CN"/>
              </w:rPr>
              <w:t>二、产排污环节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本项目运营期产排污环节见下表</w:t>
            </w:r>
            <w:r>
              <w:rPr>
                <w:rFonts w:hint="eastAsia" w:ascii="Times New Roman" w:hAnsi="Times New Roman" w:cs="Times New Roman"/>
                <w:color w:val="auto"/>
                <w:sz w:val="24"/>
                <w:szCs w:val="24"/>
                <w:highlight w:val="none"/>
                <w:lang w:val="en-US" w:eastAsia="zh-CN"/>
              </w:rPr>
              <w:t>。</w:t>
            </w:r>
          </w:p>
          <w:p>
            <w:pPr>
              <w:pStyle w:val="39"/>
              <w:bidi w:val="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w:t>
            </w:r>
            <w:r>
              <w:rPr>
                <w:rFonts w:hint="eastAsia"/>
                <w:b/>
                <w:color w:val="auto"/>
                <w:sz w:val="24"/>
                <w:szCs w:val="24"/>
                <w:highlight w:val="none"/>
                <w:lang w:val="en-US" w:eastAsia="zh-CN"/>
              </w:rPr>
              <w:t>2-7</w:t>
            </w:r>
            <w:r>
              <w:rPr>
                <w:rFonts w:hint="default" w:ascii="Times New Roman" w:hAnsi="Times New Roman" w:cs="Times New Roman"/>
                <w:b/>
                <w:bCs/>
                <w:color w:val="auto"/>
                <w:sz w:val="24"/>
                <w:szCs w:val="24"/>
                <w:highlight w:val="none"/>
                <w:lang w:val="en-US" w:eastAsia="zh-CN"/>
              </w:rPr>
              <w:t xml:space="preserve">    污染物产生环节汇总一览表</w:t>
            </w:r>
          </w:p>
          <w:tbl>
            <w:tblPr>
              <w:tblStyle w:val="23"/>
              <w:tblW w:w="8522" w:type="dxa"/>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99"/>
              <w:gridCol w:w="3465"/>
              <w:gridCol w:w="28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类别</w:t>
                  </w:r>
                </w:p>
              </w:tc>
              <w:tc>
                <w:tcPr>
                  <w:tcW w:w="6323" w:type="dxa"/>
                  <w:gridSpan w:val="2"/>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主要污染物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3465"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生活污水</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red"/>
                    </w:rPr>
                  </w:pPr>
                </w:p>
              </w:tc>
              <w:tc>
                <w:tcPr>
                  <w:tcW w:w="3465"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车辆冲洗废水</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red"/>
                    </w:rPr>
                  </w:pPr>
                </w:p>
              </w:tc>
              <w:tc>
                <w:tcPr>
                  <w:tcW w:w="3465"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煤泥淋控水</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red"/>
                    </w:rPr>
                  </w:pPr>
                </w:p>
              </w:tc>
              <w:tc>
                <w:tcPr>
                  <w:tcW w:w="3465" w:type="dxa"/>
                  <w:tcBorders>
                    <w:bottom w:val="single" w:color="auto" w:sz="4" w:space="0"/>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初期雨水</w:t>
                  </w:r>
                </w:p>
              </w:tc>
              <w:tc>
                <w:tcPr>
                  <w:tcW w:w="2858" w:type="dxa"/>
                  <w:tcBorders>
                    <w:bottom w:val="single" w:color="auto" w:sz="4" w:space="0"/>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c>
                <w:tcPr>
                  <w:tcW w:w="3465"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滚筒干燥机</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风</w:t>
                  </w:r>
                  <w:r>
                    <w:rPr>
                      <w:rFonts w:hint="default" w:ascii="Times New Roman" w:hAnsi="Times New Roman" w:eastAsia="宋体" w:cs="Times New Roman"/>
                      <w:color w:val="auto"/>
                      <w:sz w:val="21"/>
                      <w:szCs w:val="21"/>
                      <w:highlight w:val="none"/>
                      <w:lang w:eastAsia="zh-CN"/>
                    </w:rPr>
                    <w:t>机</w:t>
                  </w:r>
                  <w:r>
                    <w:rPr>
                      <w:rFonts w:hint="eastAsia" w:ascii="Times New Roman" w:hAnsi="Times New Roman" w:eastAsia="宋体" w:cs="Times New Roman"/>
                      <w:color w:val="auto"/>
                      <w:sz w:val="21"/>
                      <w:szCs w:val="21"/>
                      <w:highlight w:val="none"/>
                      <w:lang w:eastAsia="zh-CN"/>
                    </w:rPr>
                    <w:t>等</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3465"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煤泥烘干</w:t>
                  </w:r>
                  <w:r>
                    <w:rPr>
                      <w:rFonts w:hint="eastAsia" w:cs="Times New Roman"/>
                      <w:color w:val="auto"/>
                      <w:sz w:val="21"/>
                      <w:szCs w:val="21"/>
                      <w:highlight w:val="none"/>
                      <w:lang w:eastAsia="zh-CN"/>
                    </w:rPr>
                    <w:t>及落料</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颗粒物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p>
              </w:tc>
              <w:tc>
                <w:tcPr>
                  <w:tcW w:w="3465"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煤泥堆放、装卸、转载</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rPr>
                  </w:pPr>
                </w:p>
              </w:tc>
              <w:tc>
                <w:tcPr>
                  <w:tcW w:w="3465"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厂内运输</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扬尘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固体废物</w:t>
                  </w:r>
                </w:p>
              </w:tc>
              <w:tc>
                <w:tcPr>
                  <w:tcW w:w="3465"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员工生活垃圾</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纸屑、果皮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eastAsia" w:ascii="Times New Roman" w:hAnsi="Times New Roman" w:eastAsia="宋体" w:cs="Times New Roman"/>
                      <w:color w:val="auto"/>
                      <w:sz w:val="21"/>
                      <w:szCs w:val="21"/>
                      <w:highlight w:val="none"/>
                      <w:lang w:eastAsia="zh-CN"/>
                    </w:rPr>
                  </w:pPr>
                </w:p>
              </w:tc>
              <w:tc>
                <w:tcPr>
                  <w:tcW w:w="3465" w:type="dxa"/>
                  <w:tcBorders>
                    <w:bottom w:val="single" w:color="auto" w:sz="4" w:space="0"/>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default"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废机油、废机油桶</w:t>
                  </w:r>
                </w:p>
              </w:tc>
              <w:tc>
                <w:tcPr>
                  <w:tcW w:w="2858" w:type="dxa"/>
                  <w:tcBorders>
                    <w:bottom w:val="single" w:color="auto" w:sz="4" w:space="0"/>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含油物质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eastAsia" w:ascii="Times New Roman" w:hAnsi="Times New Roman" w:eastAsia="宋体" w:cs="Times New Roman"/>
                      <w:color w:val="auto"/>
                      <w:sz w:val="21"/>
                      <w:szCs w:val="21"/>
                      <w:highlight w:val="none"/>
                      <w:lang w:eastAsia="zh-CN"/>
                    </w:rPr>
                  </w:pPr>
                </w:p>
              </w:tc>
              <w:tc>
                <w:tcPr>
                  <w:tcW w:w="3465" w:type="dxa"/>
                  <w:tcBorders>
                    <w:top w:val="single" w:color="auto" w:sz="4" w:space="0"/>
                    <w:bottom w:val="single" w:color="auto" w:sz="4" w:space="0"/>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eastAsia="zh-CN"/>
                    </w:rPr>
                    <w:t>热风炉炉渣</w:t>
                  </w:r>
                </w:p>
              </w:tc>
              <w:tc>
                <w:tcPr>
                  <w:tcW w:w="2858" w:type="dxa"/>
                  <w:tcBorders>
                    <w:top w:val="single" w:color="auto" w:sz="4" w:space="0"/>
                    <w:bottom w:val="single" w:color="auto" w:sz="4" w:space="0"/>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钙镁等无机物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eastAsia" w:ascii="Times New Roman" w:hAnsi="Times New Roman" w:cs="Times New Roman"/>
                      <w:color w:val="auto"/>
                      <w:sz w:val="21"/>
                      <w:szCs w:val="21"/>
                      <w:highlight w:val="none"/>
                      <w:lang w:eastAsia="zh-CN"/>
                    </w:rPr>
                  </w:pPr>
                </w:p>
              </w:tc>
              <w:tc>
                <w:tcPr>
                  <w:tcW w:w="3465"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eastAsia" w:ascii="Times New Roman" w:hAnsi="Times New Roman"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除尘灰</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煤泥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99"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textAlignment w:val="auto"/>
                    <w:rPr>
                      <w:rFonts w:hint="eastAsia" w:cs="Times New Roman"/>
                      <w:color w:val="auto"/>
                      <w:sz w:val="21"/>
                      <w:szCs w:val="21"/>
                      <w:highlight w:val="none"/>
                      <w:lang w:eastAsia="zh-CN"/>
                    </w:rPr>
                  </w:pPr>
                </w:p>
              </w:tc>
              <w:tc>
                <w:tcPr>
                  <w:tcW w:w="3465"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eastAsia"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沉泥固废</w:t>
                  </w:r>
                </w:p>
              </w:tc>
              <w:tc>
                <w:tcPr>
                  <w:tcW w:w="2858" w:type="dxa"/>
                  <w:tcBorders>
                    <w:tl2br w:val="nil"/>
                    <w:tr2bl w:val="nil"/>
                  </w:tcBorders>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煤泥</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red"/>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331" w:type="pct"/>
            <w:noWrap w:val="0"/>
            <w:vAlign w:val="center"/>
          </w:tcPr>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ind w:left="-120" w:leftChars="-50" w:right="-120" w:rightChars="-50"/>
              <w:jc w:val="center"/>
              <w:textAlignment w:val="auto"/>
              <w:rPr>
                <w:rFonts w:hint="eastAsia" w:cs="宋体"/>
                <w:color w:val="auto"/>
                <w:sz w:val="24"/>
                <w:szCs w:val="24"/>
                <w:highlight w:val="none"/>
              </w:rPr>
            </w:pPr>
            <w:r>
              <w:rPr>
                <w:rFonts w:hint="eastAsia" w:cs="宋体"/>
                <w:bCs/>
                <w:color w:val="auto"/>
                <w:kern w:val="2"/>
                <w:sz w:val="24"/>
                <w:szCs w:val="24"/>
                <w:highlight w:val="none"/>
              </w:rPr>
              <w:t>与项目有关的原有环境污染问题</w:t>
            </w:r>
          </w:p>
        </w:tc>
        <w:tc>
          <w:tcPr>
            <w:tcW w:w="4668" w:type="pct"/>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lang w:val="en-US" w:eastAsia="zh-CN"/>
              </w:rPr>
            </w:pPr>
            <w:r>
              <w:rPr>
                <w:rFonts w:hint="eastAsia" w:eastAsia="宋体"/>
                <w:color w:val="auto"/>
                <w:highlight w:val="none"/>
                <w:lang w:eastAsia="zh-CN"/>
              </w:rPr>
              <w:t>本项目</w:t>
            </w:r>
            <w:r>
              <w:rPr>
                <w:rFonts w:hint="eastAsia"/>
                <w:color w:val="auto"/>
                <w:highlight w:val="none"/>
                <w:lang w:eastAsia="zh-CN"/>
              </w:rPr>
              <w:t>占地（面积为</w:t>
            </w:r>
            <w:r>
              <w:rPr>
                <w:rFonts w:hint="eastAsia"/>
                <w:color w:val="auto"/>
                <w:highlight w:val="none"/>
                <w:lang w:val="en-US" w:eastAsia="zh-CN"/>
              </w:rPr>
              <w:t>8750m</w:t>
            </w:r>
            <w:r>
              <w:rPr>
                <w:rFonts w:hint="eastAsia"/>
                <w:color w:val="auto"/>
                <w:highlight w:val="none"/>
                <w:vertAlign w:val="superscript"/>
                <w:lang w:val="en-US" w:eastAsia="zh-CN"/>
              </w:rPr>
              <w:t>2</w:t>
            </w:r>
            <w:r>
              <w:rPr>
                <w:rFonts w:hint="eastAsia"/>
                <w:color w:val="auto"/>
                <w:highlight w:val="none"/>
                <w:lang w:eastAsia="zh-CN"/>
              </w:rPr>
              <w:t>）为山西中源拓森煤炭销售有限公司储煤场空地，占地范围内无任何构筑物及设备，无</w:t>
            </w:r>
            <w:r>
              <w:rPr>
                <w:rFonts w:hint="eastAsia" w:cs="宋体"/>
                <w:bCs/>
                <w:color w:val="auto"/>
                <w:kern w:val="2"/>
                <w:sz w:val="24"/>
                <w:szCs w:val="24"/>
                <w:highlight w:val="none"/>
              </w:rPr>
              <w:t>与项目有关的原有环境污染问题</w:t>
            </w:r>
            <w:r>
              <w:rPr>
                <w:rFonts w:hint="eastAsia"/>
                <w:highlight w:val="none"/>
                <w:lang w:eastAsia="zh-CN"/>
              </w:rPr>
              <w:t>。</w:t>
            </w:r>
          </w:p>
        </w:tc>
      </w:tr>
    </w:tbl>
    <w:p>
      <w:pPr>
        <w:outlineLvl w:val="0"/>
        <w:rPr>
          <w:rFonts w:hint="eastAsia" w:ascii="Times New Roman" w:hAnsi="Times New Roman" w:eastAsia="宋体" w:cs="Times New Roman"/>
          <w:b/>
          <w:bCs/>
          <w:color w:val="auto"/>
          <w:kern w:val="0"/>
          <w:sz w:val="32"/>
          <w:szCs w:val="32"/>
          <w:highlight w:val="red"/>
          <w:lang w:val="en-US" w:eastAsia="zh-CN" w:bidi="ar-SA"/>
        </w:rPr>
        <w:sectPr>
          <w:pgSz w:w="11906" w:h="16838"/>
          <w:pgMar w:top="1417" w:right="1418"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eastAsia" w:ascii="黑体" w:hAnsi="黑体" w:eastAsia="黑体" w:cs="黑体"/>
          <w:b/>
          <w:bCs/>
          <w:color w:val="auto"/>
          <w:kern w:val="44"/>
          <w:sz w:val="30"/>
          <w:szCs w:val="30"/>
          <w:highlight w:val="none"/>
          <w:lang w:val="en-US" w:eastAsia="zh-CN" w:bidi="ar-SA"/>
        </w:rPr>
      </w:pPr>
      <w:r>
        <w:rPr>
          <w:rFonts w:hint="eastAsia" w:ascii="黑体" w:hAnsi="黑体" w:eastAsia="黑体" w:cs="黑体"/>
          <w:b/>
          <w:bCs/>
          <w:color w:val="auto"/>
          <w:kern w:val="44"/>
          <w:sz w:val="30"/>
          <w:szCs w:val="30"/>
          <w:highlight w:val="none"/>
          <w:lang w:val="en-US" w:eastAsia="zh-CN" w:bidi="ar-SA"/>
        </w:rPr>
        <w:t>三、区域环境质量现状、环境保护目标及评价标准</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8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444" w:type="pct"/>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区域</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质量</w:t>
            </w:r>
          </w:p>
          <w:p>
            <w:pPr>
              <w:adjustRightInd w:val="0"/>
              <w:snapToGrid w:val="0"/>
              <w:jc w:val="center"/>
              <w:rPr>
                <w:rFonts w:ascii="宋体" w:hAnsi="宋体" w:cs="宋体"/>
                <w:color w:val="auto"/>
                <w:kern w:val="0"/>
                <w:sz w:val="24"/>
                <w:szCs w:val="24"/>
                <w:highlight w:val="red"/>
              </w:rPr>
            </w:pPr>
            <w:r>
              <w:rPr>
                <w:rFonts w:hint="eastAsia" w:ascii="宋体" w:hAnsi="宋体" w:cs="宋体"/>
                <w:color w:val="auto"/>
                <w:kern w:val="0"/>
                <w:sz w:val="24"/>
                <w:szCs w:val="24"/>
                <w:highlight w:val="none"/>
              </w:rPr>
              <w:t>现状</w:t>
            </w:r>
          </w:p>
        </w:tc>
        <w:tc>
          <w:tcPr>
            <w:tcW w:w="45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1</w:t>
            </w:r>
            <w:r>
              <w:rPr>
                <w:b/>
                <w:bCs/>
                <w:color w:val="auto"/>
                <w:sz w:val="24"/>
                <w:szCs w:val="24"/>
                <w:highlight w:val="none"/>
              </w:rPr>
              <w:t>、</w:t>
            </w:r>
            <w:r>
              <w:rPr>
                <w:rFonts w:hint="eastAsia"/>
                <w:b/>
                <w:bCs/>
                <w:color w:val="auto"/>
                <w:sz w:val="24"/>
                <w:szCs w:val="24"/>
                <w:highlight w:val="none"/>
              </w:rPr>
              <w:t>环境空气</w:t>
            </w:r>
            <w:r>
              <w:rPr>
                <w:b/>
                <w:bCs/>
                <w:color w:val="auto"/>
                <w:sz w:val="24"/>
                <w:szCs w:val="24"/>
                <w:highlight w:val="none"/>
              </w:rPr>
              <w:t>质量现状分析</w:t>
            </w:r>
          </w:p>
          <w:p>
            <w:pPr>
              <w:spacing w:line="440" w:lineRule="exact"/>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（1）常规污染物环境现状</w:t>
            </w:r>
          </w:p>
          <w:p>
            <w:pPr>
              <w:spacing w:line="44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根据</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年1-12月份全省县（市、区）环境空气质量主要污染物浓度及同比改善情况</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bCs/>
                <w:color w:val="auto"/>
                <w:sz w:val="24"/>
                <w:szCs w:val="24"/>
                <w:highlight w:val="none"/>
              </w:rPr>
              <w:t>项目所在地</w:t>
            </w:r>
            <w:r>
              <w:rPr>
                <w:rFonts w:hint="eastAsia" w:cs="Times New Roman"/>
                <w:bCs/>
                <w:color w:val="auto"/>
                <w:sz w:val="24"/>
                <w:szCs w:val="24"/>
                <w:highlight w:val="none"/>
                <w:lang w:val="en-US" w:eastAsia="zh-CN"/>
              </w:rPr>
              <w:t>PM</w:t>
            </w:r>
            <w:r>
              <w:rPr>
                <w:rFonts w:hint="eastAsia" w:cs="Times New Roman"/>
                <w:bCs/>
                <w:color w:val="auto"/>
                <w:sz w:val="24"/>
                <w:szCs w:val="24"/>
                <w:highlight w:val="none"/>
                <w:vertAlign w:val="subscript"/>
                <w:lang w:val="en-US" w:eastAsia="zh-CN"/>
              </w:rPr>
              <w:t>10</w:t>
            </w:r>
            <w:r>
              <w:rPr>
                <w:rFonts w:hint="eastAsia" w:cs="Times New Roman"/>
                <w:bCs/>
                <w:color w:val="auto"/>
                <w:sz w:val="24"/>
                <w:szCs w:val="24"/>
                <w:highlight w:val="none"/>
                <w:vertAlign w:val="baseline"/>
                <w:lang w:eastAsia="zh-CN"/>
              </w:rPr>
              <w:t>、</w:t>
            </w:r>
            <w:r>
              <w:rPr>
                <w:rFonts w:hint="eastAsia" w:cs="Times New Roman"/>
                <w:bCs/>
                <w:color w:val="auto"/>
                <w:sz w:val="24"/>
                <w:szCs w:val="24"/>
                <w:highlight w:val="none"/>
                <w:lang w:val="en-US" w:eastAsia="zh-CN"/>
              </w:rPr>
              <w:t>PM</w:t>
            </w:r>
            <w:r>
              <w:rPr>
                <w:rFonts w:hint="eastAsia" w:cs="Times New Roman"/>
                <w:bCs/>
                <w:color w:val="auto"/>
                <w:sz w:val="24"/>
                <w:szCs w:val="24"/>
                <w:highlight w:val="none"/>
                <w:vertAlign w:val="subscript"/>
                <w:lang w:val="en-US" w:eastAsia="zh-CN"/>
              </w:rPr>
              <w:t>2.5</w:t>
            </w:r>
            <w:r>
              <w:rPr>
                <w:rFonts w:hint="eastAsia" w:cs="Times New Roman"/>
                <w:bCs/>
                <w:color w:val="auto"/>
                <w:sz w:val="24"/>
                <w:szCs w:val="24"/>
                <w:highlight w:val="none"/>
                <w:vertAlign w:val="baseline"/>
                <w:lang w:val="en-US" w:eastAsia="zh-CN"/>
              </w:rPr>
              <w:t>、SO</w:t>
            </w:r>
            <w:r>
              <w:rPr>
                <w:rFonts w:hint="eastAsia" w:cs="Times New Roman"/>
                <w:bCs/>
                <w:color w:val="auto"/>
                <w:sz w:val="24"/>
                <w:szCs w:val="24"/>
                <w:highlight w:val="none"/>
                <w:vertAlign w:val="subscript"/>
                <w:lang w:val="en-US" w:eastAsia="zh-CN"/>
              </w:rPr>
              <w:t>2</w:t>
            </w:r>
            <w:r>
              <w:rPr>
                <w:rFonts w:hint="eastAsia" w:cs="Times New Roman"/>
                <w:bCs/>
                <w:color w:val="auto"/>
                <w:sz w:val="24"/>
                <w:szCs w:val="24"/>
                <w:highlight w:val="none"/>
                <w:vertAlign w:val="baseline"/>
                <w:lang w:val="en-US" w:eastAsia="zh-CN"/>
              </w:rPr>
              <w:t>、</w:t>
            </w:r>
            <w:r>
              <w:rPr>
                <w:rFonts w:hint="default" w:ascii="Times New Roman" w:hAnsi="Times New Roman" w:eastAsia="宋体" w:cs="Times New Roman"/>
                <w:bCs/>
                <w:color w:val="auto"/>
                <w:sz w:val="24"/>
                <w:szCs w:val="24"/>
                <w:highlight w:val="none"/>
              </w:rPr>
              <w:t>NO</w:t>
            </w:r>
            <w:r>
              <w:rPr>
                <w:rFonts w:hint="default" w:ascii="Times New Roman" w:hAnsi="Times New Roman" w:eastAsia="宋体" w:cs="Times New Roman"/>
                <w:bCs/>
                <w:color w:val="auto"/>
                <w:sz w:val="24"/>
                <w:szCs w:val="24"/>
                <w:highlight w:val="none"/>
                <w:vertAlign w:val="subscript"/>
              </w:rPr>
              <w:t>2</w:t>
            </w:r>
            <w:r>
              <w:rPr>
                <w:rFonts w:hint="default" w:ascii="Times New Roman" w:hAnsi="Times New Roman" w:eastAsia="宋体" w:cs="Times New Roman"/>
                <w:bCs/>
                <w:color w:val="auto"/>
                <w:sz w:val="24"/>
                <w:szCs w:val="24"/>
                <w:highlight w:val="none"/>
              </w:rPr>
              <w:t>、</w:t>
            </w:r>
            <w:r>
              <w:rPr>
                <w:rFonts w:hint="eastAsia" w:cs="Times New Roman"/>
                <w:bCs/>
                <w:color w:val="auto"/>
                <w:sz w:val="24"/>
                <w:szCs w:val="24"/>
                <w:highlight w:val="none"/>
                <w:lang w:val="en-US" w:eastAsia="zh-CN"/>
              </w:rPr>
              <w:t>CO、</w:t>
            </w:r>
            <w:r>
              <w:rPr>
                <w:rFonts w:hint="default" w:ascii="Times New Roman" w:hAnsi="Times New Roman" w:eastAsia="宋体" w:cs="Times New Roman"/>
                <w:bCs/>
                <w:color w:val="auto"/>
                <w:sz w:val="24"/>
                <w:szCs w:val="24"/>
                <w:highlight w:val="none"/>
              </w:rPr>
              <w:t>O</w:t>
            </w:r>
            <w:r>
              <w:rPr>
                <w:rFonts w:hint="default" w:ascii="Times New Roman" w:hAnsi="Times New Roman" w:eastAsia="宋体" w:cs="Times New Roman"/>
                <w:bCs/>
                <w:color w:val="auto"/>
                <w:sz w:val="24"/>
                <w:szCs w:val="24"/>
                <w:highlight w:val="none"/>
                <w:vertAlign w:val="subscript"/>
              </w:rPr>
              <w:t>3</w:t>
            </w:r>
            <w:r>
              <w:rPr>
                <w:rFonts w:hint="default" w:ascii="Times New Roman" w:hAnsi="Times New Roman" w:eastAsia="宋体" w:cs="Times New Roman"/>
                <w:bCs/>
                <w:color w:val="auto"/>
                <w:sz w:val="24"/>
                <w:szCs w:val="24"/>
                <w:highlight w:val="none"/>
              </w:rPr>
              <w:t>均满足《环境空气质量标准》</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GB3095-2012</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二级</w:t>
            </w:r>
            <w:r>
              <w:rPr>
                <w:rFonts w:hint="eastAsia" w:cs="Times New Roman"/>
                <w:bCs/>
                <w:color w:val="auto"/>
                <w:sz w:val="24"/>
                <w:szCs w:val="24"/>
                <w:highlight w:val="none"/>
                <w:lang w:eastAsia="zh-CN"/>
              </w:rPr>
              <w:t>及其修改单中</w:t>
            </w:r>
            <w:r>
              <w:rPr>
                <w:rFonts w:hint="default" w:ascii="Times New Roman" w:hAnsi="Times New Roman" w:eastAsia="宋体" w:cs="Times New Roman"/>
                <w:bCs/>
                <w:color w:val="auto"/>
                <w:sz w:val="24"/>
                <w:szCs w:val="24"/>
                <w:highlight w:val="none"/>
              </w:rPr>
              <w:t>标准要求，</w:t>
            </w:r>
            <w:r>
              <w:rPr>
                <w:rFonts w:hint="eastAsia" w:cs="Times New Roman"/>
                <w:bCs/>
                <w:color w:val="auto"/>
                <w:sz w:val="24"/>
                <w:szCs w:val="24"/>
                <w:highlight w:val="none"/>
                <w:lang w:eastAsia="zh-CN"/>
              </w:rPr>
              <w:t>朔州市平鲁区</w:t>
            </w:r>
            <w:r>
              <w:rPr>
                <w:rFonts w:hint="default" w:ascii="Times New Roman" w:hAnsi="Times New Roman" w:eastAsia="宋体" w:cs="Times New Roman"/>
                <w:bCs/>
                <w:color w:val="auto"/>
                <w:sz w:val="24"/>
                <w:szCs w:val="24"/>
                <w:highlight w:val="none"/>
              </w:rPr>
              <w:t>为达标区</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监测数据见下表</w:t>
            </w:r>
            <w:r>
              <w:rPr>
                <w:rFonts w:hint="default" w:ascii="Times New Roman" w:hAnsi="Times New Roman" w:eastAsia="宋体" w:cs="Times New Roman"/>
                <w:bCs/>
                <w:color w:val="auto"/>
                <w:sz w:val="24"/>
                <w:szCs w:val="24"/>
                <w:highlight w:val="none"/>
                <w:lang w:eastAsia="zh-CN"/>
              </w:rPr>
              <w:t>。</w:t>
            </w:r>
          </w:p>
          <w:p>
            <w:pPr>
              <w:pStyle w:val="39"/>
              <w:bidi w:val="0"/>
              <w:rPr>
                <w:rFonts w:hint="eastAsia" w:ascii="Times New Roman" w:hAnsi="Times New Roman" w:cs="Times New Roman" w:eastAsiaTheme="majorEastAsia"/>
                <w:b/>
                <w:bCs/>
                <w:color w:val="auto"/>
                <w:sz w:val="24"/>
                <w:szCs w:val="24"/>
                <w:highlight w:val="none"/>
                <w:lang w:val="en-US" w:eastAsia="zh-CN"/>
              </w:rPr>
            </w:pPr>
            <w:r>
              <w:rPr>
                <w:rFonts w:hint="eastAsia" w:ascii="Times New Roman" w:hAnsi="Times New Roman" w:cs="Times New Roman" w:eastAsiaTheme="majorEastAsia"/>
                <w:b/>
                <w:bCs/>
                <w:color w:val="auto"/>
                <w:sz w:val="24"/>
                <w:szCs w:val="24"/>
                <w:highlight w:val="none"/>
                <w:lang w:val="en-US" w:eastAsia="zh-CN"/>
              </w:rPr>
              <w:t>表</w:t>
            </w:r>
            <w:r>
              <w:rPr>
                <w:rFonts w:hint="eastAsia" w:cs="Times New Roman" w:eastAsiaTheme="majorEastAsia"/>
                <w:b/>
                <w:bCs/>
                <w:color w:val="auto"/>
                <w:sz w:val="24"/>
                <w:szCs w:val="24"/>
                <w:highlight w:val="none"/>
                <w:lang w:val="en-US" w:eastAsia="zh-CN"/>
              </w:rPr>
              <w:t>3-1</w:t>
            </w:r>
            <w:r>
              <w:rPr>
                <w:rFonts w:hint="eastAsia" w:ascii="Times New Roman" w:hAnsi="Times New Roman" w:cs="Times New Roman" w:eastAsiaTheme="majorEastAsia"/>
                <w:b/>
                <w:bCs/>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平鲁区</w:t>
            </w:r>
            <w:r>
              <w:rPr>
                <w:rFonts w:hint="eastAsia" w:ascii="Times New Roman" w:hAnsi="Times New Roman" w:cs="Times New Roman" w:eastAsiaTheme="majorEastAsia"/>
                <w:b/>
                <w:bCs/>
                <w:color w:val="auto"/>
                <w:sz w:val="24"/>
                <w:szCs w:val="24"/>
                <w:highlight w:val="none"/>
                <w:lang w:val="en-US" w:eastAsia="zh-CN"/>
              </w:rPr>
              <w:t>20</w:t>
            </w:r>
            <w:r>
              <w:rPr>
                <w:rFonts w:hint="eastAsia" w:cs="Times New Roman" w:eastAsiaTheme="majorEastAsia"/>
                <w:b/>
                <w:bCs/>
                <w:color w:val="auto"/>
                <w:sz w:val="24"/>
                <w:szCs w:val="24"/>
                <w:highlight w:val="none"/>
                <w:lang w:val="en-US" w:eastAsia="zh-CN"/>
              </w:rPr>
              <w:t>22</w:t>
            </w:r>
            <w:r>
              <w:rPr>
                <w:rFonts w:hint="eastAsia" w:ascii="Times New Roman" w:hAnsi="Times New Roman" w:cs="Times New Roman" w:eastAsiaTheme="majorEastAsia"/>
                <w:b/>
                <w:bCs/>
                <w:color w:val="auto"/>
                <w:sz w:val="24"/>
                <w:szCs w:val="24"/>
                <w:highlight w:val="none"/>
                <w:lang w:val="en-US" w:eastAsia="zh-CN"/>
              </w:rPr>
              <w:t>年环境空气质量现状评价表</w:t>
            </w:r>
          </w:p>
          <w:tbl>
            <w:tblPr>
              <w:tblStyle w:val="22"/>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17"/>
              <w:gridCol w:w="2860"/>
              <w:gridCol w:w="1108"/>
              <w:gridCol w:w="1267"/>
              <w:gridCol w:w="1134"/>
              <w:gridCol w:w="8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trPr>
              <w:tc>
                <w:tcPr>
                  <w:tcW w:w="618" w:type="pct"/>
                  <w:tcBorders>
                    <w:tl2br w:val="nil"/>
                    <w:tr2bl w:val="nil"/>
                  </w:tcBorders>
                  <w:noWrap w:val="0"/>
                  <w:vAlign w:val="center"/>
                </w:tcPr>
                <w:p>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738" w:type="pct"/>
                  <w:tcBorders>
                    <w:tl2br w:val="nil"/>
                    <w:tr2bl w:val="nil"/>
                  </w:tcBorders>
                  <w:noWrap w:val="0"/>
                  <w:vAlign w:val="center"/>
                </w:tcPr>
                <w:p>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评价指标</w:t>
                  </w:r>
                </w:p>
              </w:tc>
              <w:tc>
                <w:tcPr>
                  <w:tcW w:w="673" w:type="pct"/>
                  <w:tcBorders>
                    <w:tl2br w:val="nil"/>
                    <w:tr2bl w:val="nil"/>
                  </w:tcBorders>
                  <w:noWrap w:val="0"/>
                  <w:vAlign w:val="center"/>
                </w:tcPr>
                <w:p>
                  <w:pPr>
                    <w:spacing w:line="300" w:lineRule="exact"/>
                    <w:jc w:val="center"/>
                    <w:rPr>
                      <w:rFonts w:hint="default"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现状</w:t>
                  </w:r>
                  <w:r>
                    <w:rPr>
                      <w:rFonts w:hint="default" w:ascii="Times New Roman" w:hAnsi="Times New Roman" w:eastAsia="宋体" w:cs="Times New Roman"/>
                      <w:b/>
                      <w:bCs/>
                      <w:color w:val="auto"/>
                      <w:sz w:val="21"/>
                      <w:szCs w:val="21"/>
                      <w:highlight w:val="none"/>
                    </w:rPr>
                    <w:t>浓度μg/</w:t>
                  </w:r>
                  <w:r>
                    <w:rPr>
                      <w:rFonts w:hint="default" w:ascii="Times New Roman" w:hAnsi="Times New Roman" w:eastAsia="宋体" w:cs="Times New Roman"/>
                      <w:b/>
                      <w:bCs/>
                      <w:color w:val="auto"/>
                      <w:sz w:val="21"/>
                      <w:szCs w:val="21"/>
                      <w:highlight w:val="none"/>
                      <w:lang w:eastAsia="zh-CN"/>
                    </w:rPr>
                    <w:t>m³</w:t>
                  </w:r>
                </w:p>
              </w:tc>
              <w:tc>
                <w:tcPr>
                  <w:tcW w:w="770" w:type="pct"/>
                  <w:tcBorders>
                    <w:tl2br w:val="nil"/>
                    <w:tr2bl w:val="nil"/>
                  </w:tcBorders>
                  <w:noWrap w:val="0"/>
                  <w:vAlign w:val="center"/>
                </w:tcPr>
                <w:p>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p>
                  <w:pPr>
                    <w:spacing w:line="300" w:lineRule="exact"/>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μg/</w:t>
                  </w:r>
                  <w:r>
                    <w:rPr>
                      <w:rFonts w:hint="default" w:ascii="Times New Roman" w:hAnsi="Times New Roman" w:eastAsia="宋体" w:cs="Times New Roman"/>
                      <w:b/>
                      <w:bCs/>
                      <w:color w:val="auto"/>
                      <w:sz w:val="21"/>
                      <w:szCs w:val="21"/>
                      <w:highlight w:val="none"/>
                      <w:lang w:eastAsia="zh-CN"/>
                    </w:rPr>
                    <w:t>m³</w:t>
                  </w:r>
                </w:p>
              </w:tc>
              <w:tc>
                <w:tcPr>
                  <w:tcW w:w="689" w:type="pct"/>
                  <w:tcBorders>
                    <w:tl2br w:val="nil"/>
                    <w:tr2bl w:val="nil"/>
                  </w:tcBorders>
                  <w:noWrap w:val="0"/>
                  <w:vAlign w:val="center"/>
                </w:tcPr>
                <w:p>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508" w:type="pct"/>
                  <w:tcBorders>
                    <w:tl2br w:val="nil"/>
                    <w:tr2bl w:val="nil"/>
                  </w:tcBorders>
                  <w:noWrap w:val="0"/>
                  <w:vAlign w:val="center"/>
                </w:tcPr>
                <w:p>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1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snapToGrid w:val="0"/>
                      <w:color w:val="auto"/>
                      <w:kern w:val="0"/>
                      <w:sz w:val="21"/>
                      <w:szCs w:val="21"/>
                      <w:highlight w:val="none"/>
                    </w:rPr>
                    <w:t>SO</w:t>
                  </w:r>
                  <w:r>
                    <w:rPr>
                      <w:rFonts w:hint="eastAsia" w:ascii="Times New Roman" w:hAnsi="Times New Roman" w:eastAsia="宋体"/>
                      <w:snapToGrid w:val="0"/>
                      <w:color w:val="auto"/>
                      <w:kern w:val="0"/>
                      <w:sz w:val="21"/>
                      <w:szCs w:val="21"/>
                      <w:highlight w:val="none"/>
                      <w:vertAlign w:val="subscript"/>
                    </w:rPr>
                    <w:t>2</w:t>
                  </w:r>
                </w:p>
              </w:tc>
              <w:tc>
                <w:tcPr>
                  <w:tcW w:w="1738" w:type="pct"/>
                  <w:vMerge w:val="restart"/>
                  <w:tcBorders>
                    <w:tl2br w:val="nil"/>
                    <w:tr2bl w:val="nil"/>
                  </w:tcBorders>
                  <w:noWrap w:val="0"/>
                  <w:vAlign w:val="center"/>
                </w:tcPr>
                <w:p>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1108"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4</w:t>
                  </w:r>
                </w:p>
              </w:tc>
              <w:tc>
                <w:tcPr>
                  <w:tcW w:w="1267"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1134"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23.3</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达</w:t>
                  </w:r>
                  <w:r>
                    <w:rPr>
                      <w:rFonts w:hint="default" w:ascii="Times New Roman" w:hAnsi="Times New Roman" w:eastAsia="宋体" w:cs="Times New Roman"/>
                      <w:color w:val="auto"/>
                      <w:sz w:val="21"/>
                      <w:szCs w:val="21"/>
                      <w:highlight w:val="none"/>
                    </w:rPr>
                    <w:t>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1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snapToGrid w:val="0"/>
                      <w:color w:val="auto"/>
                      <w:kern w:val="0"/>
                      <w:sz w:val="21"/>
                      <w:szCs w:val="21"/>
                      <w:highlight w:val="none"/>
                    </w:rPr>
                    <w:t>NO</w:t>
                  </w:r>
                  <w:r>
                    <w:rPr>
                      <w:rFonts w:hint="eastAsia" w:ascii="Times New Roman" w:hAnsi="Times New Roman" w:eastAsia="宋体"/>
                      <w:snapToGrid w:val="0"/>
                      <w:color w:val="auto"/>
                      <w:kern w:val="0"/>
                      <w:sz w:val="21"/>
                      <w:szCs w:val="21"/>
                      <w:highlight w:val="none"/>
                      <w:vertAlign w:val="subscript"/>
                    </w:rPr>
                    <w:t>2</w:t>
                  </w:r>
                </w:p>
              </w:tc>
              <w:tc>
                <w:tcPr>
                  <w:tcW w:w="1738" w:type="pct"/>
                  <w:vMerge w:val="continue"/>
                  <w:tcBorders>
                    <w:tl2br w:val="nil"/>
                    <w:tr2bl w:val="nil"/>
                  </w:tcBorders>
                  <w:noWrap w:val="0"/>
                  <w:vAlign w:val="center"/>
                </w:tcPr>
                <w:p>
                  <w:pPr>
                    <w:spacing w:line="300" w:lineRule="exact"/>
                    <w:jc w:val="center"/>
                    <w:rPr>
                      <w:rFonts w:hint="default" w:ascii="Times New Roman" w:hAnsi="Times New Roman" w:eastAsia="宋体" w:cs="Times New Roman"/>
                      <w:color w:val="auto"/>
                      <w:sz w:val="21"/>
                      <w:szCs w:val="21"/>
                      <w:highlight w:val="none"/>
                    </w:rPr>
                  </w:pPr>
                </w:p>
              </w:tc>
              <w:tc>
                <w:tcPr>
                  <w:tcW w:w="1108"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267"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1134"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6</w:t>
                  </w:r>
                  <w:r>
                    <w:rPr>
                      <w:rFonts w:hint="eastAsia" w:cs="Times New Roman"/>
                      <w:color w:val="auto"/>
                      <w:sz w:val="21"/>
                      <w:szCs w:val="21"/>
                      <w:highlight w:val="none"/>
                      <w:lang w:val="en-US" w:eastAsia="zh-CN"/>
                    </w:rPr>
                    <w:t>5.0</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1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snapToGrid w:val="0"/>
                      <w:color w:val="auto"/>
                      <w:kern w:val="0"/>
                      <w:sz w:val="21"/>
                      <w:szCs w:val="21"/>
                      <w:highlight w:val="none"/>
                    </w:rPr>
                    <w:t>PM</w:t>
                  </w:r>
                  <w:r>
                    <w:rPr>
                      <w:rFonts w:hint="eastAsia" w:ascii="Times New Roman" w:hAnsi="Times New Roman" w:eastAsia="宋体"/>
                      <w:snapToGrid w:val="0"/>
                      <w:color w:val="auto"/>
                      <w:kern w:val="0"/>
                      <w:sz w:val="21"/>
                      <w:szCs w:val="21"/>
                      <w:highlight w:val="none"/>
                      <w:vertAlign w:val="subscript"/>
                    </w:rPr>
                    <w:t>10</w:t>
                  </w:r>
                </w:p>
              </w:tc>
              <w:tc>
                <w:tcPr>
                  <w:tcW w:w="1738" w:type="pct"/>
                  <w:vMerge w:val="continue"/>
                  <w:tcBorders>
                    <w:tl2br w:val="nil"/>
                    <w:tr2bl w:val="nil"/>
                  </w:tcBorders>
                  <w:noWrap w:val="0"/>
                  <w:vAlign w:val="center"/>
                </w:tcPr>
                <w:p>
                  <w:pPr>
                    <w:spacing w:line="300" w:lineRule="exact"/>
                    <w:jc w:val="center"/>
                    <w:rPr>
                      <w:rFonts w:hint="default" w:ascii="Times New Roman" w:hAnsi="Times New Roman" w:eastAsia="宋体" w:cs="Times New Roman"/>
                      <w:color w:val="auto"/>
                      <w:sz w:val="21"/>
                      <w:szCs w:val="21"/>
                      <w:highlight w:val="none"/>
                    </w:rPr>
                  </w:pPr>
                </w:p>
              </w:tc>
              <w:tc>
                <w:tcPr>
                  <w:tcW w:w="1108"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67</w:t>
                  </w:r>
                </w:p>
              </w:tc>
              <w:tc>
                <w:tcPr>
                  <w:tcW w:w="1267"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1134"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95.7</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1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napToGrid w:val="0"/>
                      <w:color w:val="auto"/>
                      <w:kern w:val="0"/>
                      <w:sz w:val="21"/>
                      <w:szCs w:val="21"/>
                      <w:highlight w:val="none"/>
                    </w:rPr>
                    <w:t>PM</w:t>
                  </w:r>
                  <w:r>
                    <w:rPr>
                      <w:rFonts w:hint="eastAsia" w:ascii="Times New Roman" w:hAnsi="Times New Roman" w:eastAsia="宋体"/>
                      <w:snapToGrid w:val="0"/>
                      <w:color w:val="auto"/>
                      <w:kern w:val="0"/>
                      <w:sz w:val="21"/>
                      <w:szCs w:val="21"/>
                      <w:highlight w:val="none"/>
                      <w:vertAlign w:val="subscript"/>
                    </w:rPr>
                    <w:t>2.5</w:t>
                  </w:r>
                </w:p>
              </w:tc>
              <w:tc>
                <w:tcPr>
                  <w:tcW w:w="1738" w:type="pct"/>
                  <w:vMerge w:val="continue"/>
                  <w:tcBorders>
                    <w:tl2br w:val="nil"/>
                    <w:tr2bl w:val="nil"/>
                  </w:tcBorders>
                  <w:noWrap w:val="0"/>
                  <w:vAlign w:val="center"/>
                </w:tcPr>
                <w:p>
                  <w:pPr>
                    <w:spacing w:line="300" w:lineRule="exact"/>
                    <w:jc w:val="center"/>
                    <w:rPr>
                      <w:rFonts w:hint="default" w:ascii="Times New Roman" w:hAnsi="Times New Roman" w:eastAsia="宋体" w:cs="Times New Roman"/>
                      <w:color w:val="auto"/>
                      <w:sz w:val="21"/>
                      <w:szCs w:val="21"/>
                      <w:highlight w:val="none"/>
                    </w:rPr>
                  </w:pPr>
                </w:p>
              </w:tc>
              <w:tc>
                <w:tcPr>
                  <w:tcW w:w="1108"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1267"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1134"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80.0</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达</w:t>
                  </w:r>
                  <w:r>
                    <w:rPr>
                      <w:rFonts w:hint="default" w:ascii="Times New Roman" w:hAnsi="Times New Roman" w:eastAsia="宋体" w:cs="Times New Roman"/>
                      <w:color w:val="auto"/>
                      <w:sz w:val="21"/>
                      <w:szCs w:val="21"/>
                      <w:highlight w:val="none"/>
                    </w:rPr>
                    <w:t>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1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snapToGrid w:val="0"/>
                      <w:color w:val="auto"/>
                      <w:kern w:val="0"/>
                      <w:sz w:val="21"/>
                      <w:szCs w:val="21"/>
                      <w:highlight w:val="none"/>
                    </w:rPr>
                    <w:t>CO</w:t>
                  </w:r>
                </w:p>
              </w:tc>
              <w:tc>
                <w:tcPr>
                  <w:tcW w:w="173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snapToGrid w:val="0"/>
                      <w:color w:val="auto"/>
                      <w:kern w:val="0"/>
                      <w:sz w:val="21"/>
                      <w:szCs w:val="21"/>
                      <w:highlight w:val="none"/>
                    </w:rPr>
                    <w:t>24小时平均第95%百分位值</w:t>
                  </w:r>
                </w:p>
              </w:tc>
              <w:tc>
                <w:tcPr>
                  <w:tcW w:w="1108"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000</w:t>
                  </w:r>
                </w:p>
              </w:tc>
              <w:tc>
                <w:tcPr>
                  <w:tcW w:w="1267"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4</w:t>
                  </w:r>
                  <w:r>
                    <w:rPr>
                      <w:rFonts w:hint="eastAsia" w:ascii="Times New Roman" w:hAnsi="Times New Roman" w:cs="Times New Roman"/>
                      <w:color w:val="auto"/>
                      <w:sz w:val="21"/>
                      <w:szCs w:val="21"/>
                      <w:highlight w:val="none"/>
                      <w:lang w:val="en-US" w:eastAsia="zh-CN"/>
                    </w:rPr>
                    <w:t>000</w:t>
                  </w:r>
                </w:p>
              </w:tc>
              <w:tc>
                <w:tcPr>
                  <w:tcW w:w="1134"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25.0</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1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snapToGrid w:val="0"/>
                      <w:color w:val="auto"/>
                      <w:kern w:val="0"/>
                      <w:sz w:val="21"/>
                      <w:szCs w:val="21"/>
                      <w:highlight w:val="none"/>
                    </w:rPr>
                    <w:t>O</w:t>
                  </w:r>
                  <w:r>
                    <w:rPr>
                      <w:rFonts w:hint="eastAsia" w:ascii="Times New Roman" w:hAnsi="Times New Roman" w:eastAsia="宋体"/>
                      <w:snapToGrid w:val="0"/>
                      <w:color w:val="auto"/>
                      <w:kern w:val="0"/>
                      <w:sz w:val="21"/>
                      <w:szCs w:val="21"/>
                      <w:highlight w:val="none"/>
                      <w:vertAlign w:val="subscript"/>
                    </w:rPr>
                    <w:t>3</w:t>
                  </w:r>
                </w:p>
              </w:tc>
              <w:tc>
                <w:tcPr>
                  <w:tcW w:w="173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snapToGrid w:val="0"/>
                      <w:color w:val="auto"/>
                      <w:kern w:val="0"/>
                      <w:sz w:val="21"/>
                      <w:szCs w:val="21"/>
                      <w:highlight w:val="none"/>
                    </w:rPr>
                    <w:t>8小时平均第90%百分位值</w:t>
                  </w:r>
                </w:p>
              </w:tc>
              <w:tc>
                <w:tcPr>
                  <w:tcW w:w="1108"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r>
                    <w:rPr>
                      <w:rFonts w:hint="eastAsia" w:cs="Times New Roman"/>
                      <w:color w:val="auto"/>
                      <w:sz w:val="21"/>
                      <w:szCs w:val="21"/>
                      <w:highlight w:val="none"/>
                      <w:lang w:val="en-US" w:eastAsia="zh-CN"/>
                    </w:rPr>
                    <w:t>4</w:t>
                  </w:r>
                </w:p>
              </w:tc>
              <w:tc>
                <w:tcPr>
                  <w:tcW w:w="1267"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1134" w:type="dxa"/>
                  <w:tcBorders>
                    <w:tl2br w:val="nil"/>
                    <w:tr2bl w:val="nil"/>
                  </w:tcBorders>
                  <w:noWrap w:val="0"/>
                  <w:vAlign w:val="center"/>
                </w:tcPr>
                <w:p>
                  <w:pPr>
                    <w:keepNext w:val="0"/>
                    <w:keepLines w:val="0"/>
                    <w:pageBreakBefore w:val="0"/>
                    <w:widowControl w:val="0"/>
                    <w:tabs>
                      <w:tab w:val="left" w:pos="460"/>
                    </w:tabs>
                    <w:kinsoku/>
                    <w:wordWrap/>
                    <w:overflowPunct/>
                    <w:topLinePunct w:val="0"/>
                    <w:autoSpaceDE/>
                    <w:autoSpaceDN/>
                    <w:bidi w:val="0"/>
                    <w:adjustRightInd/>
                    <w:snapToGrid/>
                    <w:spacing w:line="300" w:lineRule="exact"/>
                    <w:ind w:firstLine="0" w:firstLineChars="0"/>
                    <w:jc w:val="center"/>
                    <w:textAlignment w:val="auto"/>
                    <w:outlineLvl w:val="9"/>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89.4</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imes New Roman" w:hAnsi="Times New Roman" w:eastAsia="宋体"/>
                <w:b/>
                <w:color w:val="auto"/>
                <w:sz w:val="24"/>
                <w:szCs w:val="24"/>
                <w:highlight w:val="none"/>
                <w:lang w:val="en-US" w:eastAsia="zh-CN"/>
              </w:rPr>
            </w:pPr>
            <w:r>
              <w:rPr>
                <w:rFonts w:hint="eastAsia"/>
                <w:b/>
                <w:color w:val="auto"/>
                <w:sz w:val="24"/>
                <w:szCs w:val="24"/>
                <w:highlight w:val="none"/>
                <w:lang w:val="en-US" w:eastAsia="zh-CN"/>
              </w:rPr>
              <w:t>（2）其他污染物环境现状</w:t>
            </w:r>
          </w:p>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①监测布点与监测项目</w:t>
            </w:r>
          </w:p>
          <w:p>
            <w:pPr>
              <w:bidi w:val="0"/>
              <w:adjustRightInd w:val="0"/>
              <w:snapToGrid w:val="0"/>
              <w:spacing w:line="500" w:lineRule="exact"/>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eastAsia="zh-CN"/>
              </w:rPr>
              <w:t>依据</w:t>
            </w:r>
            <w:r>
              <w:rPr>
                <w:rFonts w:hint="default" w:ascii="Times New Roman" w:hAnsi="Times New Roman" w:eastAsia="宋体" w:cs="Times New Roman"/>
                <w:color w:val="auto"/>
                <w:sz w:val="24"/>
                <w:szCs w:val="24"/>
                <w:highlight w:val="none"/>
              </w:rPr>
              <w:t>《建设项目环境影响报告表编制技术指南》（污染影响类）（试行）</w:t>
            </w:r>
            <w:r>
              <w:rPr>
                <w:rFonts w:hint="default" w:ascii="Times New Roman" w:hAnsi="Times New Roman" w:eastAsia="宋体" w:cs="Times New Roman"/>
                <w:color w:val="auto"/>
                <w:sz w:val="24"/>
                <w:szCs w:val="24"/>
                <w:highlight w:val="none"/>
                <w:lang w:eastAsia="zh-CN"/>
              </w:rPr>
              <w:t>，排放特征污染物时无相关数据的选择当季主导风向下风向1个点位补充不少于3天的监测数据，本项目所在地</w:t>
            </w:r>
            <w:r>
              <w:rPr>
                <w:rFonts w:hint="eastAsia" w:cs="Times New Roman"/>
                <w:color w:val="auto"/>
                <w:sz w:val="24"/>
                <w:szCs w:val="24"/>
                <w:highlight w:val="none"/>
                <w:lang w:eastAsia="zh-CN"/>
              </w:rPr>
              <w:t>平鲁</w:t>
            </w:r>
            <w:r>
              <w:rPr>
                <w:rFonts w:hint="default" w:ascii="Times New Roman" w:hAnsi="Times New Roman" w:eastAsia="宋体" w:cs="Times New Roman"/>
                <w:color w:val="auto"/>
                <w:sz w:val="24"/>
                <w:szCs w:val="24"/>
                <w:highlight w:val="none"/>
                <w:lang w:eastAsia="zh-CN"/>
              </w:rPr>
              <w:t>区</w:t>
            </w:r>
            <w:r>
              <w:rPr>
                <w:rFonts w:hint="eastAsia" w:eastAsia="宋体" w:cs="Times New Roman"/>
                <w:color w:val="auto"/>
                <w:sz w:val="24"/>
                <w:szCs w:val="24"/>
                <w:highlight w:val="none"/>
                <w:lang w:eastAsia="zh-CN"/>
              </w:rPr>
              <w:t>春</w:t>
            </w:r>
            <w:r>
              <w:rPr>
                <w:rFonts w:hint="default" w:ascii="Times New Roman" w:hAnsi="Times New Roman" w:eastAsia="宋体" w:cs="Times New Roman"/>
                <w:color w:val="auto"/>
                <w:sz w:val="24"/>
                <w:szCs w:val="24"/>
                <w:highlight w:val="none"/>
                <w:lang w:eastAsia="zh-CN"/>
              </w:rPr>
              <w:t>季</w:t>
            </w:r>
            <w:r>
              <w:rPr>
                <w:rFonts w:hint="default" w:ascii="Times New Roman" w:hAnsi="Times New Roman" w:eastAsia="宋体" w:cs="Times New Roman"/>
                <w:color w:val="auto"/>
                <w:sz w:val="24"/>
                <w:szCs w:val="24"/>
                <w:highlight w:val="none"/>
              </w:rPr>
              <w:t>主导风向</w:t>
            </w:r>
            <w:r>
              <w:rPr>
                <w:rFonts w:hint="default" w:ascii="Times New Roman" w:hAnsi="Times New Roman" w:eastAsia="宋体" w:cs="Times New Roman"/>
                <w:color w:val="auto"/>
                <w:sz w:val="24"/>
                <w:szCs w:val="24"/>
                <w:highlight w:val="none"/>
                <w:lang w:eastAsia="zh-CN"/>
              </w:rPr>
              <w:t>为</w:t>
            </w:r>
            <w:r>
              <w:rPr>
                <w:rFonts w:hint="eastAsia" w:ascii="Times New Roman" w:hAnsi="Times New Roman" w:eastAsia="宋体" w:cs="Times New Roman"/>
                <w:color w:val="auto"/>
                <w:sz w:val="24"/>
                <w:szCs w:val="24"/>
                <w:highlight w:val="none"/>
                <w:lang w:eastAsia="zh-CN"/>
              </w:rPr>
              <w:t>西</w:t>
            </w:r>
            <w:r>
              <w:rPr>
                <w:rFonts w:hint="eastAsia" w:eastAsia="宋体" w:cs="Times New Roman"/>
                <w:color w:val="auto"/>
                <w:sz w:val="24"/>
                <w:szCs w:val="24"/>
                <w:highlight w:val="none"/>
                <w:lang w:eastAsia="zh-CN"/>
              </w:rPr>
              <w:t>北</w:t>
            </w:r>
            <w:r>
              <w:rPr>
                <w:rFonts w:hint="eastAsia" w:ascii="Times New Roman" w:hAnsi="Times New Roman" w:eastAsia="宋体" w:cs="Times New Roman"/>
                <w:color w:val="auto"/>
                <w:sz w:val="24"/>
                <w:szCs w:val="24"/>
                <w:highlight w:val="none"/>
                <w:lang w:eastAsia="zh-CN"/>
              </w:rPr>
              <w:t>风</w:t>
            </w:r>
            <w:r>
              <w:rPr>
                <w:rFonts w:hint="default" w:ascii="Times New Roman" w:hAnsi="Times New Roman" w:eastAsia="宋体" w:cs="Times New Roman"/>
                <w:color w:val="auto"/>
                <w:sz w:val="24"/>
                <w:szCs w:val="24"/>
                <w:highlight w:val="none"/>
                <w:lang w:eastAsia="zh-CN"/>
              </w:rPr>
              <w:t>，而</w:t>
            </w:r>
            <w:r>
              <w:rPr>
                <w:rFonts w:hint="eastAsia" w:eastAsia="宋体" w:cs="Times New Roman"/>
                <w:color w:val="auto"/>
                <w:sz w:val="24"/>
                <w:szCs w:val="24"/>
                <w:highlight w:val="none"/>
                <w:lang w:eastAsia="zh-CN"/>
              </w:rPr>
              <w:t>韩佐沟</w:t>
            </w:r>
            <w:r>
              <w:rPr>
                <w:rFonts w:hint="eastAsia" w:ascii="Times New Roman" w:hAnsi="Times New Roman" w:eastAsia="宋体" w:cs="Times New Roman"/>
                <w:color w:val="auto"/>
                <w:sz w:val="24"/>
                <w:szCs w:val="24"/>
                <w:highlight w:val="none"/>
                <w:lang w:eastAsia="zh-CN"/>
              </w:rPr>
              <w:t>村</w:t>
            </w:r>
            <w:r>
              <w:rPr>
                <w:rFonts w:hint="default" w:ascii="Times New Roman" w:hAnsi="Times New Roman" w:eastAsia="宋体" w:cs="Times New Roman"/>
                <w:color w:val="auto"/>
                <w:sz w:val="24"/>
                <w:szCs w:val="24"/>
                <w:highlight w:val="none"/>
                <w:lang w:eastAsia="zh-CN"/>
              </w:rPr>
              <w:t>位于本项目东南方向，因此符合指南规定的主导风向下风向要求，同时根据</w:t>
            </w:r>
            <w:r>
              <w:rPr>
                <w:rFonts w:hint="default" w:ascii="Times New Roman" w:hAnsi="Times New Roman" w:eastAsia="宋体" w:cs="Times New Roman"/>
                <w:color w:val="auto"/>
                <w:sz w:val="24"/>
                <w:szCs w:val="24"/>
                <w:highlight w:val="none"/>
              </w:rPr>
              <w:t>本项目大气污染源的排污特点，本次评价设置1个大气现状监测点进行监测。监测布点见表</w:t>
            </w:r>
            <w:r>
              <w:rPr>
                <w:rFonts w:hint="eastAsia"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lang w:eastAsia="zh-CN"/>
              </w:rPr>
              <w:t>和附图</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p>
          <w:p>
            <w:pPr>
              <w:pStyle w:val="39"/>
              <w:bidi w:val="0"/>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w:t>
            </w:r>
            <w:r>
              <w:rPr>
                <w:rFonts w:hint="eastAsia" w:cs="Times New Roman" w:eastAsiaTheme="majorEastAsia"/>
                <w:b/>
                <w:bCs/>
                <w:color w:val="auto"/>
                <w:sz w:val="24"/>
                <w:szCs w:val="24"/>
                <w:highlight w:val="none"/>
                <w:lang w:val="en-US" w:eastAsia="zh-CN"/>
              </w:rPr>
              <w:t>3-2</w:t>
            </w:r>
            <w:r>
              <w:rPr>
                <w:rFonts w:hint="default" w:ascii="Times New Roman" w:hAnsi="Times New Roman" w:eastAsia="宋体" w:cs="Times New Roman"/>
                <w:b/>
                <w:bCs/>
                <w:color w:val="auto"/>
                <w:kern w:val="0"/>
                <w:sz w:val="24"/>
                <w:szCs w:val="24"/>
                <w:highlight w:val="none"/>
                <w:lang w:val="en-US" w:eastAsia="zh-CN" w:bidi="ar-SA"/>
              </w:rPr>
              <w:t xml:space="preserve">    环境空气现状监测布点</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3601"/>
              <w:gridCol w:w="3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896"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编号</w:t>
                  </w:r>
                </w:p>
              </w:tc>
              <w:tc>
                <w:tcPr>
                  <w:tcW w:w="2187"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监测点位</w:t>
                  </w:r>
                </w:p>
              </w:tc>
              <w:tc>
                <w:tcPr>
                  <w:tcW w:w="1916"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96"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2187"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韩佐沟村（当季主导风向下风向）</w:t>
                  </w:r>
                </w:p>
              </w:tc>
              <w:tc>
                <w:tcPr>
                  <w:tcW w:w="1916"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TSP</w:t>
                  </w:r>
                </w:p>
              </w:tc>
            </w:tr>
          </w:tbl>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②监测时间与平均时间</w:t>
            </w:r>
          </w:p>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TSP</w:t>
            </w:r>
            <w:r>
              <w:rPr>
                <w:rFonts w:hint="default" w:ascii="Times New Roman" w:hAnsi="Times New Roman" w:eastAsia="宋体" w:cs="Times New Roman"/>
                <w:color w:val="auto"/>
                <w:sz w:val="24"/>
                <w:szCs w:val="24"/>
                <w:highlight w:val="none"/>
              </w:rPr>
              <w:t>监测时间为202</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日</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日，连续监测</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天。TSP每天采样1次，每次连续24h。</w:t>
            </w:r>
          </w:p>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③采样和分析方法</w:t>
            </w:r>
          </w:p>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样品采集和分析严格按照《环境空气质量手工监测技术规范》（HJ 194-2017）和《环境空气质量标准》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GB3095-2012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等规定的分析方法执行。</w:t>
            </w:r>
          </w:p>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④监测结果</w:t>
            </w:r>
          </w:p>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现状监测结果见</w:t>
            </w:r>
            <w:r>
              <w:rPr>
                <w:rFonts w:hint="eastAsia"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w:t>
            </w:r>
          </w:p>
          <w:p>
            <w:pPr>
              <w:pStyle w:val="39"/>
              <w:bidi w:val="0"/>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w:t>
            </w:r>
            <w:r>
              <w:rPr>
                <w:rFonts w:hint="eastAsia" w:cs="Times New Roman" w:eastAsiaTheme="majorEastAsia"/>
                <w:b/>
                <w:bCs/>
                <w:color w:val="auto"/>
                <w:sz w:val="24"/>
                <w:szCs w:val="24"/>
                <w:highlight w:val="none"/>
                <w:lang w:val="en-US" w:eastAsia="zh-CN"/>
              </w:rPr>
              <w:t>3-3</w:t>
            </w:r>
            <w:r>
              <w:rPr>
                <w:rFonts w:hint="default" w:ascii="Times New Roman" w:hAnsi="Times New Roman" w:eastAsia="宋体" w:cs="Times New Roman"/>
                <w:b/>
                <w:bCs/>
                <w:color w:val="auto"/>
                <w:kern w:val="0"/>
                <w:sz w:val="24"/>
                <w:szCs w:val="24"/>
                <w:highlight w:val="none"/>
                <w:lang w:val="en-US" w:eastAsia="zh-CN" w:bidi="ar-SA"/>
              </w:rPr>
              <w:t xml:space="preserve">    项目现状监测结果</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1612"/>
              <w:gridCol w:w="1474"/>
              <w:gridCol w:w="1083"/>
              <w:gridCol w:w="1528"/>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63" w:type="pct"/>
                  <w:vMerge w:val="restar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监测点位</w:t>
                  </w:r>
                </w:p>
              </w:tc>
              <w:tc>
                <w:tcPr>
                  <w:tcW w:w="979" w:type="pct"/>
                  <w:vMerge w:val="restar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监测时间</w:t>
                  </w:r>
                </w:p>
              </w:tc>
              <w:tc>
                <w:tcPr>
                  <w:tcW w:w="3157" w:type="pct"/>
                  <w:gridSpan w:val="4"/>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TSP（mg/m</w:t>
                  </w:r>
                  <w:r>
                    <w:rPr>
                      <w:rFonts w:hint="default" w:ascii="Times New Roman" w:hAnsi="Times New Roman" w:eastAsia="宋体" w:cs="Times New Roman"/>
                      <w:b/>
                      <w:bCs/>
                      <w:color w:val="auto"/>
                      <w:kern w:val="2"/>
                      <w:sz w:val="21"/>
                      <w:szCs w:val="21"/>
                      <w:highlight w:val="none"/>
                      <w:vertAlign w:val="superscript"/>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63" w:type="pct"/>
                  <w:vMerge w:val="continue"/>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979" w:type="pct"/>
                  <w:vMerge w:val="continue"/>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p>
              </w:tc>
              <w:tc>
                <w:tcPr>
                  <w:tcW w:w="89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现状监测值</w:t>
                  </w:r>
                </w:p>
              </w:tc>
              <w:tc>
                <w:tcPr>
                  <w:tcW w:w="658"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标准值</w:t>
                  </w:r>
                </w:p>
              </w:tc>
              <w:tc>
                <w:tcPr>
                  <w:tcW w:w="928"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占标率（%）</w:t>
                  </w:r>
                </w:p>
              </w:tc>
              <w:tc>
                <w:tcPr>
                  <w:tcW w:w="6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63" w:type="pct"/>
                  <w:vMerge w:val="restar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韩佐沟村</w:t>
                  </w:r>
                </w:p>
              </w:tc>
              <w:tc>
                <w:tcPr>
                  <w:tcW w:w="979"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.2</w:t>
                  </w:r>
                  <w:r>
                    <w:rPr>
                      <w:rFonts w:hint="eastAsia" w:cs="Times New Roman"/>
                      <w:color w:val="auto"/>
                      <w:kern w:val="2"/>
                      <w:sz w:val="21"/>
                      <w:szCs w:val="21"/>
                      <w:highlight w:val="none"/>
                      <w:lang w:val="en-US" w:eastAsia="zh-CN" w:bidi="ar-SA"/>
                    </w:rPr>
                    <w:t>4</w:t>
                  </w:r>
                </w:p>
              </w:tc>
              <w:tc>
                <w:tcPr>
                  <w:tcW w:w="89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0.241</w:t>
                  </w:r>
                </w:p>
              </w:tc>
              <w:tc>
                <w:tcPr>
                  <w:tcW w:w="658"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w:t>
                  </w:r>
                </w:p>
              </w:tc>
              <w:tc>
                <w:tcPr>
                  <w:tcW w:w="1528" w:type="dxa"/>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80.3</w:t>
                  </w:r>
                </w:p>
              </w:tc>
              <w:tc>
                <w:tcPr>
                  <w:tcW w:w="6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63" w:type="pct"/>
                  <w:vMerge w:val="continue"/>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79"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.2</w:t>
                  </w:r>
                  <w:r>
                    <w:rPr>
                      <w:rFonts w:hint="eastAsia" w:cs="Times New Roman"/>
                      <w:color w:val="auto"/>
                      <w:kern w:val="2"/>
                      <w:sz w:val="21"/>
                      <w:szCs w:val="21"/>
                      <w:highlight w:val="none"/>
                      <w:lang w:val="en-US" w:eastAsia="zh-CN" w:bidi="ar-SA"/>
                    </w:rPr>
                    <w:t>5</w:t>
                  </w:r>
                </w:p>
              </w:tc>
              <w:tc>
                <w:tcPr>
                  <w:tcW w:w="89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0.239</w:t>
                  </w:r>
                </w:p>
              </w:tc>
              <w:tc>
                <w:tcPr>
                  <w:tcW w:w="658"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w:t>
                  </w:r>
                </w:p>
              </w:tc>
              <w:tc>
                <w:tcPr>
                  <w:tcW w:w="1528" w:type="dxa"/>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79.7</w:t>
                  </w:r>
                </w:p>
              </w:tc>
              <w:tc>
                <w:tcPr>
                  <w:tcW w:w="6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63" w:type="pct"/>
                  <w:vMerge w:val="continue"/>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79"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.2</w:t>
                  </w:r>
                  <w:r>
                    <w:rPr>
                      <w:rFonts w:hint="eastAsia" w:cs="Times New Roman"/>
                      <w:color w:val="auto"/>
                      <w:kern w:val="2"/>
                      <w:sz w:val="21"/>
                      <w:szCs w:val="21"/>
                      <w:highlight w:val="none"/>
                      <w:lang w:val="en-US" w:eastAsia="zh-CN" w:bidi="ar-SA"/>
                    </w:rPr>
                    <w:t>6</w:t>
                  </w:r>
                </w:p>
              </w:tc>
              <w:tc>
                <w:tcPr>
                  <w:tcW w:w="89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0.215</w:t>
                  </w:r>
                </w:p>
              </w:tc>
              <w:tc>
                <w:tcPr>
                  <w:tcW w:w="658"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w:t>
                  </w:r>
                </w:p>
              </w:tc>
              <w:tc>
                <w:tcPr>
                  <w:tcW w:w="1528" w:type="dxa"/>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71.7</w:t>
                  </w:r>
                </w:p>
              </w:tc>
              <w:tc>
                <w:tcPr>
                  <w:tcW w:w="6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达标</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eastAsia="zh-CN"/>
              </w:rPr>
            </w:pPr>
            <w:r>
              <w:rPr>
                <w:rFonts w:hint="default" w:ascii="Times New Roman" w:hAnsi="Times New Roman" w:eastAsia="宋体" w:cs="Times New Roman"/>
                <w:color w:val="auto"/>
                <w:sz w:val="24"/>
                <w:szCs w:val="24"/>
                <w:highlight w:val="none"/>
              </w:rPr>
              <w:t>由上表监测数据可知，</w:t>
            </w:r>
            <w:r>
              <w:rPr>
                <w:rFonts w:hint="eastAsia" w:eastAsia="宋体" w:cs="Times New Roman"/>
                <w:color w:val="auto"/>
                <w:sz w:val="24"/>
                <w:szCs w:val="24"/>
                <w:highlight w:val="none"/>
                <w:lang w:eastAsia="zh-CN"/>
              </w:rPr>
              <w:t>朔州市鸿通源运输有限公司</w:t>
            </w:r>
            <w:r>
              <w:rPr>
                <w:rFonts w:hint="default" w:ascii="Times New Roman" w:hAnsi="Times New Roman" w:eastAsia="宋体" w:cs="Times New Roman"/>
                <w:color w:val="auto"/>
                <w:sz w:val="24"/>
                <w:szCs w:val="24"/>
                <w:highlight w:val="none"/>
              </w:rPr>
              <w:t>委托</w:t>
            </w:r>
            <w:r>
              <w:rPr>
                <w:rFonts w:hint="default" w:ascii="Times New Roman" w:hAnsi="Times New Roman" w:eastAsia="宋体" w:cs="Times New Roman"/>
                <w:color w:val="auto"/>
                <w:sz w:val="24"/>
                <w:szCs w:val="24"/>
                <w:highlight w:val="none"/>
                <w:lang w:eastAsia="zh-CN"/>
              </w:rPr>
              <w:t>山西科维检测技术有限公司</w:t>
            </w:r>
            <w:r>
              <w:rPr>
                <w:rFonts w:hint="default" w:ascii="Times New Roman" w:hAnsi="Times New Roman" w:eastAsia="宋体" w:cs="Times New Roman"/>
                <w:color w:val="auto"/>
                <w:sz w:val="24"/>
                <w:szCs w:val="24"/>
                <w:highlight w:val="none"/>
              </w:rPr>
              <w:t>于202</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日</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日对本项目厂址</w:t>
            </w:r>
            <w:r>
              <w:rPr>
                <w:rFonts w:hint="default" w:ascii="Times New Roman" w:hAnsi="Times New Roman" w:eastAsia="宋体" w:cs="Times New Roman"/>
                <w:color w:val="auto"/>
                <w:sz w:val="24"/>
                <w:szCs w:val="24"/>
                <w:highlight w:val="none"/>
                <w:lang w:eastAsia="zh-CN"/>
              </w:rPr>
              <w:t>当季主导风向的下风向</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eastAsia="zh-CN"/>
              </w:rPr>
              <w:t>TSP的</w:t>
            </w:r>
            <w:r>
              <w:rPr>
                <w:rFonts w:hint="default" w:ascii="Times New Roman" w:hAnsi="Times New Roman" w:eastAsia="宋体" w:cs="Times New Roman"/>
                <w:color w:val="auto"/>
                <w:sz w:val="24"/>
                <w:szCs w:val="24"/>
                <w:highlight w:val="none"/>
              </w:rPr>
              <w:t>质量现状进行了监测，监测报告见附件。监测结果显示</w:t>
            </w:r>
            <w:r>
              <w:rPr>
                <w:rFonts w:hint="default" w:ascii="Times New Roman" w:hAnsi="Times New Roman" w:eastAsia="宋体" w:cs="Times New Roman"/>
                <w:color w:val="auto"/>
                <w:sz w:val="24"/>
                <w:szCs w:val="24"/>
                <w:highlight w:val="none"/>
                <w:lang w:eastAsia="zh-CN"/>
              </w:rPr>
              <w:t>TSP</w:t>
            </w:r>
            <w:r>
              <w:rPr>
                <w:rFonts w:hint="default" w:ascii="Times New Roman" w:hAnsi="Times New Roman" w:eastAsia="宋体" w:cs="Times New Roman"/>
                <w:color w:val="auto"/>
                <w:sz w:val="24"/>
                <w:szCs w:val="24"/>
                <w:highlight w:val="none"/>
              </w:rPr>
              <w:t>的浓度范围在0.</w:t>
            </w:r>
            <w:r>
              <w:rPr>
                <w:rFonts w:hint="eastAsia" w:ascii="Times New Roman" w:hAnsi="Times New Roman" w:eastAsia="宋体" w:cs="Times New Roman"/>
                <w:color w:val="auto"/>
                <w:sz w:val="24"/>
                <w:szCs w:val="24"/>
                <w:highlight w:val="none"/>
                <w:lang w:val="en-US" w:eastAsia="zh-CN"/>
              </w:rPr>
              <w:t>21</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241</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，均小于《环境空气质量标准》（GB3095–2012）及其修改清单表1中二级标准限值要求</w:t>
            </w:r>
            <w:r>
              <w:rPr>
                <w:rFonts w:hint="default" w:ascii="Times New Roman" w:hAnsi="Times New Roman" w:eastAsia="宋体"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Times New Roman" w:hAnsi="Times New Roman" w:eastAsia="宋体"/>
                <w:b/>
                <w:color w:val="auto"/>
                <w:sz w:val="24"/>
                <w:szCs w:val="24"/>
                <w:highlight w:val="none"/>
              </w:rPr>
            </w:pPr>
            <w:r>
              <w:rPr>
                <w:rFonts w:hint="eastAsia"/>
                <w:b/>
                <w:color w:val="auto"/>
                <w:sz w:val="24"/>
                <w:szCs w:val="24"/>
                <w:highlight w:val="none"/>
                <w:lang w:val="en-US" w:eastAsia="zh-CN"/>
              </w:rPr>
              <w:t>2</w:t>
            </w:r>
            <w:r>
              <w:rPr>
                <w:rFonts w:hint="eastAsia" w:ascii="Times New Roman" w:hAnsi="Times New Roman" w:eastAsia="宋体"/>
                <w:b/>
                <w:color w:val="auto"/>
                <w:sz w:val="24"/>
                <w:szCs w:val="24"/>
                <w:highlight w:val="none"/>
              </w:rPr>
              <w:t>、</w:t>
            </w:r>
            <w:r>
              <w:rPr>
                <w:rFonts w:hint="eastAsia"/>
                <w:b/>
                <w:color w:val="auto"/>
                <w:sz w:val="24"/>
                <w:szCs w:val="24"/>
                <w:highlight w:val="none"/>
                <w:lang w:eastAsia="zh-CN"/>
              </w:rPr>
              <w:t>地表</w:t>
            </w:r>
            <w:r>
              <w:rPr>
                <w:rFonts w:hint="eastAsia" w:ascii="Times New Roman" w:hAnsi="Times New Roman" w:eastAsia="宋体"/>
                <w:b/>
                <w:color w:val="auto"/>
                <w:sz w:val="24"/>
                <w:szCs w:val="24"/>
                <w:highlight w:val="none"/>
              </w:rPr>
              <w:t>水环境质量现状分析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距离本项目最近的河流为</w:t>
            </w:r>
            <w:r>
              <w:rPr>
                <w:rFonts w:hint="eastAsia" w:ascii="Times New Roman" w:hAnsi="Times New Roman" w:eastAsia="宋体" w:cs="Times New Roman"/>
                <w:color w:val="auto"/>
                <w:sz w:val="24"/>
                <w:szCs w:val="24"/>
                <w:highlight w:val="none"/>
                <w:lang w:val="en-US" w:eastAsia="zh-CN"/>
              </w:rPr>
              <w:t>西</w:t>
            </w:r>
            <w:r>
              <w:rPr>
                <w:rFonts w:hint="eastAsia" w:ascii="Times New Roman" w:hAnsi="Times New Roman" w:eastAsia="宋体" w:cs="Times New Roman"/>
                <w:color w:val="auto"/>
                <w:sz w:val="24"/>
                <w:szCs w:val="24"/>
                <w:highlight w:val="none"/>
                <w:lang w:eastAsia="zh-CN"/>
              </w:rPr>
              <w:t>侧</w:t>
            </w:r>
            <w:r>
              <w:rPr>
                <w:rFonts w:hint="eastAsia" w:ascii="Times New Roman" w:hAnsi="Times New Roman" w:eastAsia="宋体" w:cs="Times New Roman"/>
                <w:color w:val="auto"/>
                <w:sz w:val="24"/>
                <w:szCs w:val="24"/>
                <w:highlight w:val="none"/>
                <w:lang w:val="en-US" w:eastAsia="zh-CN"/>
              </w:rPr>
              <w:t>2.8km</w:t>
            </w:r>
            <w:r>
              <w:rPr>
                <w:rFonts w:hint="default" w:ascii="Times New Roman" w:hAnsi="Times New Roman" w:eastAsia="宋体" w:cs="Times New Roman"/>
                <w:color w:val="auto"/>
                <w:sz w:val="24"/>
                <w:szCs w:val="24"/>
                <w:highlight w:val="none"/>
                <w:lang w:eastAsia="zh-CN"/>
              </w:rPr>
              <w:t>的</w:t>
            </w:r>
            <w:r>
              <w:rPr>
                <w:rFonts w:hint="eastAsia" w:cs="Times New Roman"/>
                <w:color w:val="auto"/>
                <w:sz w:val="24"/>
                <w:szCs w:val="24"/>
                <w:highlight w:val="none"/>
                <w:lang w:val="en-US" w:eastAsia="zh-CN"/>
              </w:rPr>
              <w:t>歇马关河</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根据《山西省地表水功能区划》（DB14/67-2019），本河段执行《地表水环境质量标准》（GB3838-2002）中Ⅳ类标准。</w:t>
            </w:r>
            <w:r>
              <w:rPr>
                <w:rFonts w:hint="eastAsia" w:ascii="Times New Roman" w:hAnsi="Times New Roman" w:eastAsia="宋体" w:cs="Times New Roman"/>
                <w:color w:val="auto"/>
                <w:sz w:val="24"/>
                <w:szCs w:val="24"/>
                <w:highlight w:val="none"/>
                <w:lang w:val="en-US" w:eastAsia="zh-CN"/>
              </w:rPr>
              <w:t>本项目河段对应省考控制断面为赵家口监测断面。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本次评价收集到</w:t>
            </w:r>
            <w:r>
              <w:rPr>
                <w:rFonts w:hint="eastAsia" w:ascii="Times New Roman" w:hAnsi="Times New Roman" w:eastAsia="宋体" w:cs="Times New Roman"/>
                <w:color w:val="auto"/>
                <w:sz w:val="24"/>
                <w:szCs w:val="24"/>
                <w:highlight w:val="none"/>
                <w:lang w:eastAsia="zh-CN"/>
              </w:rPr>
              <w:t>了朔州市生态环境局</w:t>
            </w:r>
            <w:r>
              <w:rPr>
                <w:rFonts w:hint="default" w:ascii="Times New Roman" w:hAnsi="Times New Roman" w:eastAsia="宋体" w:cs="Times New Roman"/>
                <w:color w:val="auto"/>
                <w:sz w:val="24"/>
                <w:szCs w:val="24"/>
                <w:highlight w:val="none"/>
                <w:lang w:eastAsia="zh-CN"/>
              </w:rPr>
              <w:t>公布的2022年1月~12月</w:t>
            </w:r>
            <w:r>
              <w:rPr>
                <w:rFonts w:hint="eastAsia" w:ascii="Times New Roman" w:hAnsi="Times New Roman" w:eastAsia="宋体" w:cs="Times New Roman"/>
                <w:color w:val="auto"/>
                <w:sz w:val="24"/>
                <w:szCs w:val="24"/>
                <w:highlight w:val="none"/>
                <w:lang w:val="en-US" w:eastAsia="zh-CN"/>
              </w:rPr>
              <w:t>赵家口监测断面</w:t>
            </w:r>
            <w:r>
              <w:rPr>
                <w:rFonts w:hint="default" w:ascii="Times New Roman" w:hAnsi="Times New Roman" w:eastAsia="宋体" w:cs="Times New Roman"/>
                <w:color w:val="auto"/>
                <w:sz w:val="24"/>
                <w:szCs w:val="24"/>
                <w:highlight w:val="none"/>
                <w:lang w:eastAsia="zh-CN"/>
              </w:rPr>
              <w:t>地表水环境质量报告，环境质量状况见</w:t>
            </w:r>
            <w:r>
              <w:rPr>
                <w:rFonts w:hint="eastAsia"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lang w:eastAsia="zh-CN"/>
              </w:rPr>
              <w:t>表。</w:t>
            </w:r>
          </w:p>
          <w:p>
            <w:pPr>
              <w:pStyle w:val="39"/>
              <w:bidi w:val="0"/>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表3-</w:t>
            </w:r>
            <w:r>
              <w:rPr>
                <w:rFonts w:hint="eastAsia" w:ascii="Times New Roman" w:hAnsi="Times New Roman" w:eastAsia="宋体" w:cs="Times New Roman"/>
                <w:b/>
                <w:bCs/>
                <w:color w:val="auto"/>
                <w:kern w:val="0"/>
                <w:sz w:val="24"/>
                <w:szCs w:val="24"/>
                <w:highlight w:val="none"/>
                <w:lang w:val="en-US" w:eastAsia="zh-CN" w:bidi="ar-SA"/>
              </w:rPr>
              <w:t>4</w:t>
            </w:r>
            <w:r>
              <w:rPr>
                <w:rFonts w:hint="default" w:ascii="Times New Roman" w:hAnsi="Times New Roman" w:eastAsia="宋体" w:cs="Times New Roman"/>
                <w:b/>
                <w:bCs/>
                <w:color w:val="auto"/>
                <w:kern w:val="0"/>
                <w:sz w:val="24"/>
                <w:szCs w:val="24"/>
                <w:highlight w:val="none"/>
                <w:lang w:val="en-US" w:eastAsia="zh-CN" w:bidi="ar-SA"/>
              </w:rPr>
              <w:t xml:space="preserve">       </w:t>
            </w:r>
            <w:r>
              <w:rPr>
                <w:rFonts w:hint="eastAsia" w:ascii="Times New Roman" w:hAnsi="Times New Roman" w:eastAsia="宋体" w:cs="Times New Roman"/>
                <w:b/>
                <w:bCs/>
                <w:color w:val="auto"/>
                <w:kern w:val="0"/>
                <w:sz w:val="24"/>
                <w:szCs w:val="24"/>
                <w:highlight w:val="none"/>
                <w:lang w:val="en-US" w:eastAsia="zh-CN" w:bidi="ar-SA"/>
              </w:rPr>
              <w:t>赵</w:t>
            </w:r>
            <w:r>
              <w:rPr>
                <w:rFonts w:hint="default" w:ascii="Times New Roman" w:hAnsi="Times New Roman" w:eastAsia="宋体" w:cs="Times New Roman"/>
                <w:b/>
                <w:bCs/>
                <w:color w:val="auto"/>
                <w:kern w:val="0"/>
                <w:sz w:val="24"/>
                <w:szCs w:val="24"/>
                <w:highlight w:val="none"/>
                <w:lang w:val="en-US" w:eastAsia="zh-CN" w:bidi="ar-SA"/>
              </w:rPr>
              <w:t>家口监测断面</w:t>
            </w:r>
            <w:r>
              <w:rPr>
                <w:rFonts w:hint="eastAsia" w:ascii="Times New Roman" w:hAnsi="Times New Roman" w:eastAsia="宋体" w:cs="Times New Roman"/>
                <w:b/>
                <w:bCs/>
                <w:color w:val="auto"/>
                <w:kern w:val="0"/>
                <w:sz w:val="24"/>
                <w:szCs w:val="24"/>
                <w:highlight w:val="none"/>
                <w:lang w:val="en-US" w:eastAsia="zh-CN" w:bidi="ar-SA"/>
              </w:rPr>
              <w:t>水质状况</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206"/>
              <w:gridCol w:w="992"/>
              <w:gridCol w:w="1115"/>
              <w:gridCol w:w="1178"/>
              <w:gridCol w:w="1193"/>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月份</w:t>
                  </w:r>
                </w:p>
              </w:tc>
              <w:tc>
                <w:tcPr>
                  <w:tcW w:w="73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1月</w:t>
                  </w:r>
                </w:p>
              </w:tc>
              <w:tc>
                <w:tcPr>
                  <w:tcW w:w="60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2月</w:t>
                  </w:r>
                </w:p>
              </w:tc>
              <w:tc>
                <w:tcPr>
                  <w:tcW w:w="676"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3月</w:t>
                  </w:r>
                </w:p>
              </w:tc>
              <w:tc>
                <w:tcPr>
                  <w:tcW w:w="714"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4月</w:t>
                  </w:r>
                </w:p>
              </w:tc>
              <w:tc>
                <w:tcPr>
                  <w:tcW w:w="723"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5月</w:t>
                  </w:r>
                </w:p>
              </w:tc>
              <w:tc>
                <w:tcPr>
                  <w:tcW w:w="7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水质类别</w:t>
                  </w:r>
                </w:p>
              </w:tc>
              <w:tc>
                <w:tcPr>
                  <w:tcW w:w="73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r>
                    <w:rPr>
                      <w:rFonts w:hint="eastAsia" w:cs="Times New Roman"/>
                      <w:color w:val="auto"/>
                      <w:kern w:val="2"/>
                      <w:sz w:val="21"/>
                      <w:szCs w:val="21"/>
                      <w:highlight w:val="none"/>
                      <w:lang w:val="en-US" w:eastAsia="zh-CN" w:bidi="ar-SA"/>
                    </w:rPr>
                    <w:t>类</w:t>
                  </w:r>
                </w:p>
              </w:tc>
              <w:tc>
                <w:tcPr>
                  <w:tcW w:w="60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--（断流）</w:t>
                  </w:r>
                </w:p>
              </w:tc>
              <w:tc>
                <w:tcPr>
                  <w:tcW w:w="676"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Ⅲ类</w:t>
                  </w:r>
                </w:p>
              </w:tc>
              <w:tc>
                <w:tcPr>
                  <w:tcW w:w="714"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Ⅲ类</w:t>
                  </w:r>
                </w:p>
              </w:tc>
              <w:tc>
                <w:tcPr>
                  <w:tcW w:w="723"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Ⅲ类</w:t>
                  </w:r>
                </w:p>
              </w:tc>
              <w:tc>
                <w:tcPr>
                  <w:tcW w:w="7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月份</w:t>
                  </w:r>
                </w:p>
              </w:tc>
              <w:tc>
                <w:tcPr>
                  <w:tcW w:w="73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7月</w:t>
                  </w:r>
                </w:p>
              </w:tc>
              <w:tc>
                <w:tcPr>
                  <w:tcW w:w="60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8月</w:t>
                  </w:r>
                </w:p>
              </w:tc>
              <w:tc>
                <w:tcPr>
                  <w:tcW w:w="676"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9月</w:t>
                  </w:r>
                </w:p>
              </w:tc>
              <w:tc>
                <w:tcPr>
                  <w:tcW w:w="714"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10月</w:t>
                  </w:r>
                </w:p>
              </w:tc>
              <w:tc>
                <w:tcPr>
                  <w:tcW w:w="723"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11月</w:t>
                  </w:r>
                </w:p>
              </w:tc>
              <w:tc>
                <w:tcPr>
                  <w:tcW w:w="7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水质</w:t>
                  </w:r>
                </w:p>
              </w:tc>
              <w:tc>
                <w:tcPr>
                  <w:tcW w:w="73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Ⅲ类</w:t>
                  </w:r>
                </w:p>
              </w:tc>
              <w:tc>
                <w:tcPr>
                  <w:tcW w:w="60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Ⅲ类</w:t>
                  </w:r>
                </w:p>
              </w:tc>
              <w:tc>
                <w:tcPr>
                  <w:tcW w:w="676"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Ⅳ类</w:t>
                  </w:r>
                </w:p>
              </w:tc>
              <w:tc>
                <w:tcPr>
                  <w:tcW w:w="714"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Ⅲ类</w:t>
                  </w:r>
                </w:p>
              </w:tc>
              <w:tc>
                <w:tcPr>
                  <w:tcW w:w="723"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Ⅳ类</w:t>
                  </w:r>
                </w:p>
              </w:tc>
              <w:tc>
                <w:tcPr>
                  <w:tcW w:w="775"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Ⅲ类</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根据上表</w:t>
            </w:r>
            <w:r>
              <w:rPr>
                <w:rFonts w:hint="eastAsia" w:ascii="Times New Roman" w:hAnsi="Times New Roman" w:eastAsia="宋体" w:cs="Times New Roman"/>
                <w:color w:val="auto"/>
                <w:sz w:val="24"/>
                <w:szCs w:val="24"/>
                <w:highlight w:val="none"/>
                <w:lang w:val="en-US" w:eastAsia="zh-CN"/>
              </w:rPr>
              <w:t>数据可知，2022年</w:t>
            </w:r>
            <w:r>
              <w:rPr>
                <w:rFonts w:hint="eastAsia" w:cs="Times New Roman"/>
                <w:color w:val="auto"/>
                <w:sz w:val="24"/>
                <w:szCs w:val="24"/>
                <w:highlight w:val="none"/>
                <w:lang w:val="en-US" w:eastAsia="zh-CN"/>
              </w:rPr>
              <w:t>歇马关河</w:t>
            </w:r>
            <w:r>
              <w:rPr>
                <w:rFonts w:hint="eastAsia" w:ascii="Times New Roman" w:hAnsi="Times New Roman" w:eastAsia="宋体" w:cs="Times New Roman"/>
                <w:color w:val="auto"/>
                <w:sz w:val="24"/>
                <w:szCs w:val="24"/>
                <w:highlight w:val="none"/>
                <w:lang w:val="en-US" w:eastAsia="zh-CN"/>
              </w:rPr>
              <w:t>存在一定污染，主要污染物为</w:t>
            </w:r>
            <w:r>
              <w:rPr>
                <w:rFonts w:hint="eastAsia" w:cs="Times New Roman"/>
                <w:color w:val="auto"/>
                <w:sz w:val="24"/>
                <w:szCs w:val="24"/>
                <w:highlight w:val="none"/>
                <w:lang w:val="en-US" w:eastAsia="zh-CN"/>
              </w:rPr>
              <w:t>高锰酸盐指数和化学需氧量</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Times New Roman" w:hAnsi="Times New Roman" w:eastAsia="宋体"/>
                <w:b/>
                <w:color w:val="auto"/>
                <w:sz w:val="24"/>
                <w:szCs w:val="24"/>
                <w:highlight w:val="none"/>
                <w:lang w:eastAsia="zh-CN"/>
              </w:rPr>
            </w:pPr>
            <w:r>
              <w:rPr>
                <w:rFonts w:hint="eastAsia"/>
                <w:b/>
                <w:color w:val="auto"/>
                <w:sz w:val="24"/>
                <w:szCs w:val="24"/>
                <w:highlight w:val="none"/>
                <w:lang w:val="en-US" w:eastAsia="zh-CN"/>
              </w:rPr>
              <w:t>3</w:t>
            </w:r>
            <w:r>
              <w:rPr>
                <w:rFonts w:hint="eastAsia" w:ascii="Times New Roman" w:hAnsi="Times New Roman" w:eastAsia="宋体"/>
                <w:b/>
                <w:color w:val="auto"/>
                <w:sz w:val="24"/>
                <w:szCs w:val="24"/>
                <w:highlight w:val="none"/>
              </w:rPr>
              <w:t>、声环境质量现状分析</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依据《建设项目环境影响报告表编制技术指南》（污染影响类）（试行），本项目厂界外周边50米范围内</w:t>
            </w:r>
            <w:r>
              <w:rPr>
                <w:rFonts w:hint="eastAsia" w:ascii="Times New Roman" w:hAnsi="Times New Roman" w:cs="Times New Roman"/>
                <w:color w:val="auto"/>
                <w:sz w:val="24"/>
                <w:szCs w:val="24"/>
                <w:highlight w:val="none"/>
                <w:lang w:eastAsia="zh-CN"/>
              </w:rPr>
              <w:t>不</w:t>
            </w:r>
            <w:r>
              <w:rPr>
                <w:rFonts w:hint="default" w:ascii="Times New Roman" w:hAnsi="Times New Roman" w:cs="Times New Roman"/>
                <w:color w:val="auto"/>
                <w:sz w:val="24"/>
                <w:szCs w:val="24"/>
                <w:highlight w:val="none"/>
                <w:lang w:eastAsia="zh-CN"/>
              </w:rPr>
              <w:t>存在声环境保护目标，因此，本次评价不进行</w:t>
            </w:r>
            <w:r>
              <w:rPr>
                <w:rFonts w:hint="eastAsia" w:ascii="Times New Roman" w:hAnsi="Times New Roman" w:cs="Times New Roman"/>
                <w:color w:val="auto"/>
                <w:sz w:val="24"/>
                <w:szCs w:val="24"/>
                <w:highlight w:val="none"/>
                <w:lang w:eastAsia="zh-CN"/>
              </w:rPr>
              <w:t>声环境</w:t>
            </w:r>
            <w:r>
              <w:rPr>
                <w:rFonts w:hint="default" w:ascii="Times New Roman" w:hAnsi="Times New Roman" w:cs="Times New Roman"/>
                <w:color w:val="auto"/>
                <w:sz w:val="24"/>
                <w:szCs w:val="24"/>
                <w:highlight w:val="none"/>
                <w:lang w:eastAsia="zh-CN"/>
              </w:rPr>
              <w:t>现状</w:t>
            </w:r>
            <w:r>
              <w:rPr>
                <w:rFonts w:hint="eastAsia" w:ascii="Times New Roman" w:hAnsi="Times New Roman" w:cs="Times New Roman"/>
                <w:color w:val="auto"/>
                <w:sz w:val="24"/>
                <w:szCs w:val="24"/>
                <w:highlight w:val="none"/>
                <w:lang w:eastAsia="zh-CN"/>
              </w:rPr>
              <w:t>监测</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、地下水、土壤环境质量现状</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本项目对地下水、土壤的污染途径主要来自</w:t>
            </w:r>
            <w:r>
              <w:rPr>
                <w:rFonts w:hint="eastAsia" w:ascii="Times New Roman" w:hAnsi="Times New Roman" w:cs="Times New Roman"/>
                <w:color w:val="auto"/>
                <w:sz w:val="24"/>
                <w:szCs w:val="24"/>
                <w:highlight w:val="none"/>
                <w:lang w:val="en-US" w:eastAsia="zh-CN"/>
              </w:rPr>
              <w:t>淋控水池</w:t>
            </w:r>
            <w:r>
              <w:rPr>
                <w:rFonts w:hint="default" w:ascii="Times New Roman" w:hAnsi="Times New Roman" w:cs="Times New Roman"/>
                <w:color w:val="auto"/>
                <w:sz w:val="24"/>
                <w:szCs w:val="24"/>
                <w:highlight w:val="none"/>
                <w:lang w:val="en-US" w:eastAsia="zh-CN"/>
              </w:rPr>
              <w:t>的</w:t>
            </w:r>
            <w:r>
              <w:rPr>
                <w:rFonts w:hint="eastAsia" w:ascii="Times New Roman" w:hAnsi="Times New Roman" w:cs="Times New Roman"/>
                <w:color w:val="auto"/>
                <w:sz w:val="24"/>
                <w:szCs w:val="24"/>
                <w:highlight w:val="none"/>
                <w:lang w:val="en-US" w:eastAsia="zh-CN"/>
              </w:rPr>
              <w:t>破损</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因此，本次评价要求淋控水池</w:t>
            </w:r>
            <w:r>
              <w:rPr>
                <w:rFonts w:hint="default" w:ascii="Times New Roman" w:hAnsi="Times New Roman" w:cs="Times New Roman"/>
                <w:color w:val="auto"/>
                <w:sz w:val="24"/>
                <w:szCs w:val="24"/>
                <w:highlight w:val="none"/>
                <w:lang w:val="en-US" w:eastAsia="zh-CN"/>
              </w:rPr>
              <w:t>采用在防渗素混凝土内掺加水泥基渗透结晶型防水剂构成防渗层，等效黏土防渗层Mb≥6.0m，K≤1×10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1"/>
                <w:szCs w:val="21"/>
                <w:highlight w:val="none"/>
                <w:lang w:val="en-US" w:eastAsia="zh-CN"/>
              </w:rPr>
              <w:t>煤泥烘干车间</w:t>
            </w:r>
            <w:r>
              <w:rPr>
                <w:rFonts w:hint="eastAsia" w:cs="Times New Roman"/>
                <w:color w:val="auto"/>
                <w:sz w:val="21"/>
                <w:szCs w:val="21"/>
                <w:highlight w:val="none"/>
                <w:lang w:val="en-US" w:eastAsia="zh-CN"/>
              </w:rPr>
              <w:t>、湿煤泥库、</w:t>
            </w:r>
            <w:r>
              <w:rPr>
                <w:rFonts w:hint="eastAsia" w:ascii="Times New Roman" w:hAnsi="Times New Roman" w:cs="Times New Roman"/>
                <w:color w:val="auto"/>
                <w:sz w:val="21"/>
                <w:szCs w:val="21"/>
                <w:highlight w:val="none"/>
                <w:lang w:eastAsia="zh-CN"/>
              </w:rPr>
              <w:t>干煤泥库</w:t>
            </w:r>
            <w:r>
              <w:rPr>
                <w:rFonts w:hint="eastAsia" w:ascii="Times New Roman" w:hAnsi="Times New Roman" w:cs="Times New Roman"/>
                <w:color w:val="auto"/>
                <w:sz w:val="24"/>
                <w:szCs w:val="24"/>
                <w:highlight w:val="none"/>
                <w:lang w:val="en-US" w:eastAsia="zh-CN"/>
              </w:rPr>
              <w:t>采用在防渗素混凝土内掺加水泥基渗透结晶型防水剂构成防渗层，等效黏土防渗层Mb≥1.5m，K≤1×10</w:t>
            </w:r>
            <w:r>
              <w:rPr>
                <w:rFonts w:hint="eastAsia" w:ascii="Times New Roman" w:hAnsi="Times New Roman" w:cs="Times New Roman"/>
                <w:color w:val="auto"/>
                <w:sz w:val="24"/>
                <w:szCs w:val="24"/>
                <w:highlight w:val="none"/>
                <w:vertAlign w:val="superscript"/>
                <w:lang w:val="en-US" w:eastAsia="zh-CN"/>
              </w:rPr>
              <w:t>-7</w:t>
            </w:r>
            <w:r>
              <w:rPr>
                <w:rFonts w:hint="eastAsia" w:ascii="Times New Roman" w:hAnsi="Times New Roman" w:cs="Times New Roman"/>
                <w:color w:val="auto"/>
                <w:sz w:val="24"/>
                <w:szCs w:val="24"/>
                <w:highlight w:val="none"/>
                <w:lang w:val="en-US" w:eastAsia="zh-CN"/>
              </w:rPr>
              <w:t>cm/s</w:t>
            </w:r>
            <w:r>
              <w:rPr>
                <w:rFonts w:hint="default" w:ascii="Times New Roman" w:hAnsi="Times New Roman" w:cs="Times New Roman"/>
                <w:color w:val="auto"/>
                <w:sz w:val="24"/>
                <w:szCs w:val="24"/>
                <w:highlight w:val="none"/>
                <w:lang w:val="en-US" w:eastAsia="zh-CN"/>
              </w:rPr>
              <w:t>。采取上述措施后本项目正常运营期可有效切断对土壤、地下水环境的污染途径，因此，本次评价不开展地下水、土壤环境质量现状调查。</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eastAsia="zh-CN"/>
              </w:rPr>
              <w:t>生态环境质量现状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ascii="宋体" w:hAnsi="宋体" w:cs="宋体"/>
                <w:color w:val="auto"/>
                <w:kern w:val="0"/>
                <w:sz w:val="24"/>
                <w:szCs w:val="24"/>
                <w:highlight w:val="none"/>
              </w:rPr>
            </w:pPr>
            <w:r>
              <w:rPr>
                <w:rFonts w:hint="default" w:ascii="Times New Roman" w:hAnsi="Times New Roman" w:cs="Times New Roman"/>
                <w:color w:val="auto"/>
                <w:sz w:val="24"/>
                <w:szCs w:val="24"/>
                <w:highlight w:val="none"/>
                <w:lang w:eastAsia="zh-CN"/>
              </w:rPr>
              <w:t>依据《建设项目环境影响报告表编制技术指南》（污染影响类）（试行），本项目用地范围内不含有生态环境保护目标，因此，本次评价不进行生态现状调查。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44" w:type="pct"/>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保护</w:t>
            </w:r>
          </w:p>
          <w:p>
            <w:pPr>
              <w:adjustRightInd w:val="0"/>
              <w:snapToGrid w:val="0"/>
              <w:jc w:val="center"/>
              <w:rPr>
                <w:rFonts w:hint="eastAsia" w:ascii="宋体" w:hAnsi="宋体" w:cs="宋体"/>
                <w:color w:val="auto"/>
                <w:kern w:val="0"/>
                <w:sz w:val="24"/>
                <w:szCs w:val="24"/>
                <w:highlight w:val="red"/>
              </w:rPr>
            </w:pPr>
            <w:r>
              <w:rPr>
                <w:rFonts w:hint="eastAsia" w:ascii="宋体" w:hAnsi="宋体" w:cs="宋体"/>
                <w:color w:val="auto"/>
                <w:kern w:val="0"/>
                <w:sz w:val="24"/>
                <w:szCs w:val="24"/>
                <w:highlight w:val="none"/>
              </w:rPr>
              <w:t>目标</w:t>
            </w:r>
          </w:p>
        </w:tc>
        <w:tc>
          <w:tcPr>
            <w:tcW w:w="45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1、大气环境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本项目厂界外500米范围内</w:t>
            </w:r>
            <w:r>
              <w:rPr>
                <w:rFonts w:hint="eastAsia" w:cs="Times New Roman"/>
                <w:color w:val="auto"/>
                <w:sz w:val="24"/>
                <w:szCs w:val="24"/>
                <w:highlight w:val="none"/>
                <w:lang w:eastAsia="zh-CN"/>
              </w:rPr>
              <w:t>大气环境</w:t>
            </w:r>
            <w:r>
              <w:rPr>
                <w:rFonts w:hint="default" w:ascii="Times New Roman" w:hAnsi="Times New Roman" w:cs="Times New Roman"/>
                <w:color w:val="auto"/>
                <w:sz w:val="24"/>
                <w:szCs w:val="24"/>
                <w:highlight w:val="none"/>
                <w:lang w:eastAsia="zh-CN"/>
              </w:rPr>
              <w:t>保护目标</w:t>
            </w:r>
            <w:r>
              <w:rPr>
                <w:rFonts w:hint="eastAsia" w:cs="Times New Roman"/>
                <w:color w:val="auto"/>
                <w:sz w:val="24"/>
                <w:szCs w:val="24"/>
                <w:highlight w:val="none"/>
                <w:lang w:eastAsia="zh-CN"/>
              </w:rPr>
              <w:t>主要为杏园村居民</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声环境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本项目厂界外50米范围内无声环境保护目标。</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eastAsia="zh-CN"/>
              </w:rPr>
              <w:t>地下水环境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本项目厂界外500米范围内无地下水集中式饮用水水源和热水、矿泉水、温泉等特殊地下水资源。</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eastAsia="zh-CN"/>
              </w:rPr>
              <w:t>生态环境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s="Times New Roman"/>
                <w:bCs/>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本项目用地范围内不含有生态环境保护目标。</w:t>
            </w:r>
          </w:p>
          <w:p>
            <w:pPr>
              <w:pStyle w:val="39"/>
              <w:bidi w:val="0"/>
              <w:rPr>
                <w:rFonts w:hint="eastAsia" w:ascii="Times New Roman" w:hAnsi="Times New Roman" w:eastAsia="宋体" w:cs="Times New Roman"/>
                <w:b/>
                <w:color w:val="auto"/>
                <w:spacing w:val="0"/>
                <w:sz w:val="24"/>
                <w:szCs w:val="24"/>
                <w:highlight w:val="none"/>
                <w:lang w:val="en-US" w:eastAsia="zh-CN"/>
              </w:rPr>
            </w:pPr>
          </w:p>
          <w:p>
            <w:pPr>
              <w:pStyle w:val="39"/>
              <w:bidi w:val="0"/>
              <w:rPr>
                <w:rFonts w:hint="default" w:ascii="Times New Roman" w:hAnsi="Times New Roman" w:eastAsia="宋体" w:cs="Times New Roman"/>
                <w:b/>
                <w:color w:val="auto"/>
                <w:spacing w:val="0"/>
                <w:sz w:val="24"/>
                <w:szCs w:val="24"/>
                <w:highlight w:val="none"/>
                <w:lang w:val="en-US" w:eastAsia="zh-CN"/>
              </w:rPr>
            </w:pPr>
            <w:r>
              <w:rPr>
                <w:rFonts w:hint="eastAsia" w:ascii="Times New Roman" w:hAnsi="Times New Roman" w:eastAsia="宋体" w:cs="Times New Roman"/>
                <w:b/>
                <w:color w:val="auto"/>
                <w:spacing w:val="0"/>
                <w:sz w:val="24"/>
                <w:szCs w:val="24"/>
                <w:highlight w:val="none"/>
                <w:lang w:val="en-US" w:eastAsia="zh-CN"/>
              </w:rPr>
              <w:t>表</w:t>
            </w:r>
            <w:r>
              <w:rPr>
                <w:rFonts w:hint="eastAsia" w:cs="Times New Roman" w:eastAsiaTheme="majorEastAsia"/>
                <w:b/>
                <w:bCs/>
                <w:color w:val="auto"/>
                <w:sz w:val="24"/>
                <w:szCs w:val="24"/>
                <w:highlight w:val="none"/>
                <w:lang w:val="en-US" w:eastAsia="zh-CN"/>
              </w:rPr>
              <w:t>3-5</w:t>
            </w:r>
            <w:r>
              <w:rPr>
                <w:rFonts w:hint="default" w:ascii="Times New Roman" w:hAnsi="Times New Roman" w:eastAsia="宋体" w:cs="Times New Roman"/>
                <w:b/>
                <w:color w:val="auto"/>
                <w:spacing w:val="0"/>
                <w:sz w:val="24"/>
                <w:szCs w:val="24"/>
                <w:highlight w:val="none"/>
                <w:lang w:val="en-US" w:eastAsia="zh-CN"/>
              </w:rPr>
              <w:t xml:space="preserve">    环境保护目标一览表</w:t>
            </w:r>
          </w:p>
          <w:tbl>
            <w:tblPr>
              <w:tblStyle w:val="23"/>
              <w:tblW w:w="4998"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69"/>
              <w:gridCol w:w="3007"/>
              <w:gridCol w:w="1963"/>
              <w:gridCol w:w="1145"/>
              <w:gridCol w:w="12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28" w:type="pct"/>
                  <w:vMerge w:val="restart"/>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827" w:type="pct"/>
                  <w:vMerge w:val="restart"/>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lang w:eastAsia="zh-CN"/>
                    </w:rPr>
                    <w:t>保护类别</w:t>
                  </w:r>
                </w:p>
              </w:tc>
              <w:tc>
                <w:tcPr>
                  <w:tcW w:w="1193" w:type="pct"/>
                  <w:vMerge w:val="restart"/>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lang w:eastAsia="zh-CN"/>
                    </w:rPr>
                    <w:t>环境保护目标名称</w:t>
                  </w:r>
                </w:p>
              </w:tc>
              <w:tc>
                <w:tcPr>
                  <w:tcW w:w="1450" w:type="pct"/>
                  <w:gridSpan w:val="2"/>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lang w:eastAsia="zh-CN"/>
                    </w:rPr>
                    <w:t>与厂界位置关系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p>
              </w:tc>
              <w:tc>
                <w:tcPr>
                  <w:tcW w:w="1827" w:type="pct"/>
                  <w:vMerge w:val="continue"/>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p>
              </w:tc>
              <w:tc>
                <w:tcPr>
                  <w:tcW w:w="1193" w:type="pct"/>
                  <w:vMerge w:val="continue"/>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p>
              </w:tc>
              <w:tc>
                <w:tcPr>
                  <w:tcW w:w="696" w:type="pct"/>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lang w:eastAsia="zh-CN"/>
                    </w:rPr>
                    <w:t>方位</w:t>
                  </w:r>
                </w:p>
              </w:tc>
              <w:tc>
                <w:tcPr>
                  <w:tcW w:w="754" w:type="pct"/>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lang w:eastAsia="zh-CN"/>
                    </w:rPr>
                    <w:t>距离（</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28" w:type="pct"/>
                  <w:tcBorders>
                    <w:tl2br w:val="nil"/>
                    <w:tr2bl w:val="nil"/>
                  </w:tcBorders>
                  <w:noWrap w:val="0"/>
                  <w:vAlign w:val="center"/>
                </w:tcPr>
                <w:p>
                  <w:pPr>
                    <w:pStyle w:val="53"/>
                    <w:bidi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27" w:type="pct"/>
                  <w:tcBorders>
                    <w:tl2br w:val="nil"/>
                    <w:tr2bl w:val="nil"/>
                  </w:tcBorders>
                  <w:noWrap w:val="0"/>
                  <w:vAlign w:val="center"/>
                </w:tcPr>
                <w:p>
                  <w:pPr>
                    <w:pStyle w:val="53"/>
                    <w:bidi w:val="0"/>
                    <w:jc w:val="center"/>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1"/>
                      <w:szCs w:val="21"/>
                      <w:highlight w:val="none"/>
                      <w:lang w:eastAsia="zh-CN"/>
                    </w:rPr>
                    <w:t>声环境（</w:t>
                  </w:r>
                  <w:r>
                    <w:rPr>
                      <w:rFonts w:hint="default" w:ascii="Times New Roman" w:hAnsi="Times New Roman" w:eastAsia="宋体" w:cs="Times New Roman"/>
                      <w:color w:val="auto"/>
                      <w:sz w:val="21"/>
                      <w:szCs w:val="21"/>
                      <w:highlight w:val="none"/>
                      <w:lang w:val="en-US" w:eastAsia="zh-CN"/>
                    </w:rPr>
                    <w:t>50m范围内</w:t>
                  </w:r>
                  <w:r>
                    <w:rPr>
                      <w:rFonts w:hint="default" w:ascii="Times New Roman" w:hAnsi="Times New Roman" w:eastAsia="宋体" w:cs="Times New Roman"/>
                      <w:color w:val="auto"/>
                      <w:sz w:val="21"/>
                      <w:szCs w:val="21"/>
                      <w:highlight w:val="none"/>
                      <w:lang w:eastAsia="zh-CN"/>
                    </w:rPr>
                    <w:t>）</w:t>
                  </w:r>
                </w:p>
              </w:tc>
              <w:tc>
                <w:tcPr>
                  <w:tcW w:w="1193" w:type="pct"/>
                  <w:tcBorders>
                    <w:tl2br w:val="nil"/>
                    <w:tr2bl w:val="nil"/>
                  </w:tcBorders>
                  <w:noWrap w:val="0"/>
                  <w:vAlign w:val="center"/>
                </w:tcPr>
                <w:p>
                  <w:pPr>
                    <w:pStyle w:val="53"/>
                    <w:bidi w:val="0"/>
                    <w:jc w:val="center"/>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1"/>
                      <w:szCs w:val="21"/>
                      <w:highlight w:val="none"/>
                      <w:lang w:eastAsia="zh-CN"/>
                    </w:rPr>
                    <w:t>无</w:t>
                  </w:r>
                </w:p>
              </w:tc>
              <w:tc>
                <w:tcPr>
                  <w:tcW w:w="696" w:type="pct"/>
                  <w:tcBorders>
                    <w:tl2br w:val="nil"/>
                    <w:tr2bl w:val="nil"/>
                  </w:tcBorders>
                  <w:noWrap w:val="0"/>
                  <w:vAlign w:val="center"/>
                </w:tcPr>
                <w:p>
                  <w:pPr>
                    <w:pStyle w:val="53"/>
                    <w:bidi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54" w:type="pct"/>
                  <w:tcBorders>
                    <w:tl2br w:val="nil"/>
                    <w:tr2bl w:val="nil"/>
                  </w:tcBorders>
                  <w:noWrap w:val="0"/>
                  <w:vAlign w:val="center"/>
                </w:tcPr>
                <w:p>
                  <w:pPr>
                    <w:pStyle w:val="53"/>
                    <w:bidi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28" w:type="pct"/>
                  <w:tcBorders>
                    <w:tl2br w:val="nil"/>
                    <w:tr2bl w:val="nil"/>
                  </w:tcBorders>
                  <w:noWrap w:val="0"/>
                  <w:vAlign w:val="center"/>
                </w:tcPr>
                <w:p>
                  <w:pPr>
                    <w:pStyle w:val="53"/>
                    <w:bidi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827" w:type="pct"/>
                  <w:tcBorders>
                    <w:tl2br w:val="nil"/>
                    <w:tr2bl w:val="nil"/>
                  </w:tcBorders>
                  <w:noWrap w:val="0"/>
                  <w:vAlign w:val="center"/>
                </w:tcPr>
                <w:p>
                  <w:pPr>
                    <w:pStyle w:val="53"/>
                    <w:bidi w:val="0"/>
                    <w:jc w:val="center"/>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1"/>
                      <w:szCs w:val="21"/>
                      <w:highlight w:val="none"/>
                      <w:lang w:eastAsia="zh-CN"/>
                    </w:rPr>
                    <w:t>大气环境（</w:t>
                  </w:r>
                  <w:r>
                    <w:rPr>
                      <w:rFonts w:hint="default" w:ascii="Times New Roman" w:hAnsi="Times New Roman" w:eastAsia="宋体" w:cs="Times New Roman"/>
                      <w:color w:val="auto"/>
                      <w:sz w:val="21"/>
                      <w:szCs w:val="21"/>
                      <w:highlight w:val="none"/>
                      <w:lang w:val="en-US" w:eastAsia="zh-CN"/>
                    </w:rPr>
                    <w:t>500m范围内</w:t>
                  </w:r>
                  <w:r>
                    <w:rPr>
                      <w:rFonts w:hint="default" w:ascii="Times New Roman" w:hAnsi="Times New Roman" w:eastAsia="宋体" w:cs="Times New Roman"/>
                      <w:color w:val="auto"/>
                      <w:sz w:val="21"/>
                      <w:szCs w:val="21"/>
                      <w:highlight w:val="none"/>
                      <w:lang w:eastAsia="zh-CN"/>
                    </w:rPr>
                    <w:t>）</w:t>
                  </w:r>
                </w:p>
              </w:tc>
              <w:tc>
                <w:tcPr>
                  <w:tcW w:w="1193"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1"/>
                      <w:szCs w:val="21"/>
                      <w:highlight w:val="none"/>
                      <w:lang w:eastAsia="zh-CN"/>
                    </w:rPr>
                    <w:t>杏园村</w:t>
                  </w:r>
                </w:p>
              </w:tc>
              <w:tc>
                <w:tcPr>
                  <w:tcW w:w="696"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1"/>
                      <w:szCs w:val="21"/>
                      <w:highlight w:val="none"/>
                      <w:lang w:val="en-US" w:eastAsia="zh-CN" w:bidi="ar-SA"/>
                    </w:rPr>
                    <w:t>N</w:t>
                  </w:r>
                </w:p>
              </w:tc>
              <w:tc>
                <w:tcPr>
                  <w:tcW w:w="754"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1"/>
                      <w:szCs w:val="21"/>
                      <w:highlight w:val="none"/>
                      <w:lang w:val="en-US" w:eastAsia="zh-CN" w:bidi="ar-SA"/>
                    </w:rPr>
                    <w:t>424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28" w:type="pct"/>
                  <w:tcBorders>
                    <w:tl2br w:val="nil"/>
                    <w:tr2bl w:val="nil"/>
                  </w:tcBorders>
                  <w:noWrap w:val="0"/>
                  <w:vAlign w:val="center"/>
                </w:tcPr>
                <w:p>
                  <w:pPr>
                    <w:pStyle w:val="53"/>
                    <w:bidi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827" w:type="pct"/>
                  <w:tcBorders>
                    <w:tl2br w:val="nil"/>
                    <w:tr2bl w:val="nil"/>
                  </w:tcBorders>
                  <w:noWrap w:val="0"/>
                  <w:vAlign w:val="center"/>
                </w:tcPr>
                <w:p>
                  <w:pPr>
                    <w:pStyle w:val="53"/>
                    <w:bidi w:val="0"/>
                    <w:jc w:val="center"/>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1"/>
                      <w:szCs w:val="21"/>
                      <w:highlight w:val="none"/>
                      <w:lang w:eastAsia="zh-CN"/>
                    </w:rPr>
                    <w:t>地下水环境（</w:t>
                  </w:r>
                  <w:r>
                    <w:rPr>
                      <w:rFonts w:hint="default" w:ascii="Times New Roman" w:hAnsi="Times New Roman" w:eastAsia="宋体" w:cs="Times New Roman"/>
                      <w:color w:val="auto"/>
                      <w:sz w:val="21"/>
                      <w:szCs w:val="21"/>
                      <w:highlight w:val="none"/>
                      <w:lang w:val="en-US" w:eastAsia="zh-CN"/>
                    </w:rPr>
                    <w:t>500m范围内</w:t>
                  </w:r>
                  <w:r>
                    <w:rPr>
                      <w:rFonts w:hint="default" w:ascii="Times New Roman" w:hAnsi="Times New Roman" w:eastAsia="宋体" w:cs="Times New Roman"/>
                      <w:color w:val="auto"/>
                      <w:sz w:val="21"/>
                      <w:szCs w:val="21"/>
                      <w:highlight w:val="none"/>
                      <w:lang w:eastAsia="zh-CN"/>
                    </w:rPr>
                    <w:t>）</w:t>
                  </w:r>
                </w:p>
              </w:tc>
              <w:tc>
                <w:tcPr>
                  <w:tcW w:w="1193"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zh-CN"/>
                    </w:rPr>
                    <w:t>无</w:t>
                  </w:r>
                </w:p>
              </w:tc>
              <w:tc>
                <w:tcPr>
                  <w:tcW w:w="696"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54"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28"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1827"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zh-CN"/>
                    </w:rPr>
                    <w:t>生态环境（占地范围内）</w:t>
                  </w:r>
                </w:p>
              </w:tc>
              <w:tc>
                <w:tcPr>
                  <w:tcW w:w="1193"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zh-CN"/>
                    </w:rPr>
                    <w:t>无</w:t>
                  </w:r>
                </w:p>
              </w:tc>
              <w:tc>
                <w:tcPr>
                  <w:tcW w:w="696"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54" w:type="pc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kern w:val="0"/>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444" w:type="pct"/>
            <w:noWrap w:val="0"/>
            <w:tcMar>
              <w:left w:w="28" w:type="dxa"/>
              <w:right w:w="28" w:type="dxa"/>
            </w:tcMar>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污染</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物排</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放控</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制标</w:t>
            </w:r>
          </w:p>
          <w:p>
            <w:pPr>
              <w:adjustRightInd w:val="0"/>
              <w:snapToGrid w:val="0"/>
              <w:jc w:val="center"/>
              <w:rPr>
                <w:rFonts w:ascii="宋体" w:hAnsi="宋体" w:cs="宋体"/>
                <w:color w:val="auto"/>
                <w:kern w:val="0"/>
                <w:sz w:val="24"/>
                <w:szCs w:val="24"/>
                <w:highlight w:val="red"/>
              </w:rPr>
            </w:pPr>
            <w:r>
              <w:rPr>
                <w:rFonts w:hint="eastAsia" w:ascii="宋体" w:hAnsi="宋体" w:cs="宋体"/>
                <w:color w:val="auto"/>
                <w:kern w:val="0"/>
                <w:sz w:val="24"/>
                <w:szCs w:val="24"/>
                <w:highlight w:val="none"/>
              </w:rPr>
              <w:t>准</w:t>
            </w:r>
          </w:p>
        </w:tc>
        <w:tc>
          <w:tcPr>
            <w:tcW w:w="455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1、大气污染物排放标准</w:t>
            </w:r>
          </w:p>
          <w:p>
            <w:pPr>
              <w:adjustRightInd w:val="0"/>
              <w:snapToGrid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zh-CN"/>
              </w:rPr>
              <w:t>煤泥烘干烟气执行《山西省工业炉窑大气污染综合治理实施方案》(晋环大气[2019]164号文)中工业炉窑排放要求，“暂未制订行业排放标准的，按照颗粒物、SO</w:t>
            </w:r>
            <w:r>
              <w:rPr>
                <w:rFonts w:hint="default" w:ascii="Times New Roman" w:hAnsi="Times New Roman" w:eastAsia="宋体" w:cs="Times New Roman"/>
                <w:color w:val="auto"/>
                <w:sz w:val="24"/>
                <w:szCs w:val="24"/>
                <w:vertAlign w:val="subscript"/>
                <w:lang w:bidi="zh-CN"/>
              </w:rPr>
              <w:t>2</w:t>
            </w:r>
            <w:r>
              <w:rPr>
                <w:rFonts w:hint="default" w:ascii="Times New Roman" w:hAnsi="Times New Roman" w:eastAsia="宋体" w:cs="Times New Roman"/>
                <w:color w:val="auto"/>
                <w:sz w:val="24"/>
                <w:szCs w:val="24"/>
                <w:lang w:bidi="zh-CN"/>
              </w:rPr>
              <w:t>、NO</w:t>
            </w:r>
            <w:r>
              <w:rPr>
                <w:rFonts w:hint="default" w:ascii="Times New Roman" w:hAnsi="Times New Roman" w:eastAsia="宋体" w:cs="Times New Roman"/>
                <w:color w:val="auto"/>
                <w:sz w:val="24"/>
                <w:szCs w:val="24"/>
                <w:vertAlign w:val="subscript"/>
                <w:lang w:bidi="zh-CN"/>
              </w:rPr>
              <w:t>X</w:t>
            </w:r>
            <w:r>
              <w:rPr>
                <w:rFonts w:hint="default" w:ascii="Times New Roman" w:hAnsi="Times New Roman" w:eastAsia="宋体" w:cs="Times New Roman"/>
                <w:color w:val="auto"/>
                <w:sz w:val="24"/>
                <w:szCs w:val="24"/>
                <w:lang w:bidi="zh-CN"/>
              </w:rPr>
              <w:t>排放限值不高于30、200、300mg/</w:t>
            </w:r>
            <w:r>
              <w:rPr>
                <w:rFonts w:hint="eastAsia" w:cs="Times New Roman"/>
                <w:color w:val="auto"/>
                <w:sz w:val="24"/>
                <w:szCs w:val="24"/>
                <w:lang w:val="en-US" w:bidi="zh-CN"/>
              </w:rPr>
              <w:t>N</w:t>
            </w:r>
            <w:r>
              <w:rPr>
                <w:rFonts w:hint="default" w:ascii="Times New Roman" w:hAnsi="Times New Roman" w:eastAsia="宋体" w:cs="Times New Roman"/>
                <w:color w:val="auto"/>
                <w:sz w:val="24"/>
                <w:szCs w:val="24"/>
                <w:lang w:bidi="zh-CN"/>
              </w:rPr>
              <w:t>m</w:t>
            </w:r>
            <w:r>
              <w:rPr>
                <w:rFonts w:hint="default" w:ascii="Times New Roman" w:hAnsi="Times New Roman" w:eastAsia="宋体" w:cs="Times New Roman"/>
                <w:color w:val="auto"/>
                <w:sz w:val="24"/>
                <w:szCs w:val="24"/>
                <w:vertAlign w:val="superscript"/>
                <w:lang w:bidi="zh-CN"/>
              </w:rPr>
              <w:t>3</w:t>
            </w:r>
            <w:r>
              <w:rPr>
                <w:rFonts w:hint="default" w:ascii="Times New Roman" w:hAnsi="Times New Roman" w:eastAsia="宋体" w:cs="Times New Roman"/>
                <w:color w:val="auto"/>
                <w:sz w:val="24"/>
                <w:szCs w:val="24"/>
                <w:lang w:bidi="zh-CN"/>
              </w:rPr>
              <w:t>执行”，煤泥运输、装卸及堆场产生的粉尘参照执行《煤炭洗选行业污染物排放标准》（DB14/2270-2021）中表2标准，</w:t>
            </w:r>
            <w:r>
              <w:rPr>
                <w:rFonts w:hint="default" w:ascii="Times New Roman" w:hAnsi="Times New Roman" w:eastAsia="宋体" w:cs="Times New Roman"/>
                <w:color w:val="auto"/>
                <w:sz w:val="24"/>
                <w:szCs w:val="24"/>
              </w:rPr>
              <w:t>标准值见下表。</w:t>
            </w:r>
          </w:p>
          <w:p>
            <w:pPr>
              <w:pStyle w:val="39"/>
              <w:bidi w:val="0"/>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表</w:t>
            </w:r>
            <w:r>
              <w:rPr>
                <w:rFonts w:hint="eastAsia" w:cs="Times New Roman" w:eastAsiaTheme="majorEastAsia"/>
                <w:b/>
                <w:bCs/>
                <w:color w:val="auto"/>
                <w:sz w:val="24"/>
                <w:szCs w:val="24"/>
                <w:highlight w:val="none"/>
                <w:lang w:val="en-US" w:eastAsia="zh-CN"/>
              </w:rPr>
              <w:t>3-6</w:t>
            </w:r>
            <w:r>
              <w:rPr>
                <w:rFonts w:hint="default" w:ascii="Times New Roman" w:hAnsi="Times New Roman" w:eastAsia="宋体" w:cs="Times New Roman"/>
                <w:b/>
                <w:bCs/>
                <w:color w:val="auto"/>
                <w:kern w:val="0"/>
                <w:sz w:val="24"/>
                <w:szCs w:val="24"/>
                <w:lang w:val="en-US" w:eastAsia="zh-CN" w:bidi="ar-SA"/>
              </w:rPr>
              <w:t xml:space="preserve">   山西省工业炉窑大气污染综合治理实施方案</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856"/>
              <w:gridCol w:w="2400"/>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炉窑类型</w:t>
                  </w:r>
                </w:p>
              </w:tc>
              <w:tc>
                <w:tcPr>
                  <w:tcW w:w="1127"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颗粒物</w:t>
                  </w:r>
                  <w:r>
                    <w:rPr>
                      <w:rFonts w:hint="eastAsia" w:ascii="Times New Roman" w:hAnsi="Times New Roman" w:eastAsia="宋体" w:cs="Times New Roman"/>
                      <w:b/>
                      <w:bCs/>
                      <w:color w:val="auto"/>
                      <w:kern w:val="2"/>
                      <w:sz w:val="21"/>
                      <w:szCs w:val="21"/>
                      <w:lang w:val="en-US" w:eastAsia="zh-CN" w:bidi="ar-SA"/>
                    </w:rPr>
                    <w:t>浓度</w:t>
                  </w:r>
                </w:p>
              </w:tc>
              <w:tc>
                <w:tcPr>
                  <w:tcW w:w="1457" w:type="pct"/>
                  <w:tcBorders>
                    <w:tl2br w:val="nil"/>
                    <w:tr2bl w:val="nil"/>
                  </w:tcBorders>
                  <w:noWrap w:val="0"/>
                  <w:vAlign w:val="center"/>
                </w:tcPr>
                <w:p>
                  <w:pPr>
                    <w:pStyle w:val="6"/>
                    <w:spacing w:line="360" w:lineRule="exact"/>
                    <w:ind w:firstLine="0" w:firstLine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eastAsia" w:eastAsiaTheme="minorEastAsia"/>
                      <w:b/>
                      <w:bCs/>
                      <w:color w:val="auto"/>
                      <w:sz w:val="21"/>
                      <w:szCs w:val="21"/>
                      <w:highlight w:val="none"/>
                      <w:lang w:val="en-US" w:eastAsia="zh-CN"/>
                    </w:rPr>
                    <w:t>SO</w:t>
                  </w:r>
                  <w:r>
                    <w:rPr>
                      <w:rFonts w:hint="eastAsia" w:eastAsiaTheme="minorEastAsia"/>
                      <w:b/>
                      <w:bCs/>
                      <w:color w:val="auto"/>
                      <w:sz w:val="21"/>
                      <w:szCs w:val="21"/>
                      <w:highlight w:val="none"/>
                      <w:vertAlign w:val="subscript"/>
                      <w:lang w:val="en-US" w:eastAsia="zh-CN"/>
                    </w:rPr>
                    <w:t>2</w:t>
                  </w:r>
                  <w:r>
                    <w:rPr>
                      <w:rFonts w:hint="eastAsia" w:eastAsiaTheme="minorEastAsia"/>
                      <w:b/>
                      <w:bCs/>
                      <w:color w:val="auto"/>
                      <w:sz w:val="21"/>
                      <w:szCs w:val="21"/>
                      <w:highlight w:val="none"/>
                      <w:lang w:val="en-US" w:eastAsia="zh-CN"/>
                    </w:rPr>
                    <w:t>浓度</w:t>
                  </w:r>
                </w:p>
              </w:tc>
              <w:tc>
                <w:tcPr>
                  <w:tcW w:w="1282" w:type="pct"/>
                  <w:tcBorders>
                    <w:tl2br w:val="nil"/>
                    <w:tr2bl w:val="nil"/>
                  </w:tcBorders>
                  <w:noWrap w:val="0"/>
                  <w:vAlign w:val="center"/>
                </w:tcPr>
                <w:p>
                  <w:pPr>
                    <w:pStyle w:val="6"/>
                    <w:spacing w:line="360" w:lineRule="exact"/>
                    <w:ind w:firstLine="0" w:firstLine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eastAsia" w:eastAsiaTheme="minorEastAsia"/>
                      <w:b/>
                      <w:bCs/>
                      <w:color w:val="auto"/>
                      <w:sz w:val="21"/>
                      <w:szCs w:val="21"/>
                      <w:highlight w:val="none"/>
                      <w:lang w:val="en-US" w:eastAsia="zh-CN"/>
                    </w:rPr>
                    <w:t>NOx浓度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烘干炉窑</w:t>
                  </w:r>
                </w:p>
              </w:tc>
              <w:tc>
                <w:tcPr>
                  <w:tcW w:w="1127"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0mg/</w:t>
                  </w:r>
                  <w:r>
                    <w:rPr>
                      <w:rFonts w:hint="eastAsia" w:ascii="Times New Roman" w:hAnsi="Times New Roman" w:eastAsia="宋体" w:cs="Times New Roman"/>
                      <w:color w:val="auto"/>
                      <w:kern w:val="2"/>
                      <w:sz w:val="21"/>
                      <w:szCs w:val="21"/>
                      <w:lang w:val="en-US" w:eastAsia="zh-CN" w:bidi="ar-SA"/>
                    </w:rPr>
                    <w:t>N</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3</w:t>
                  </w:r>
                </w:p>
              </w:tc>
              <w:tc>
                <w:tcPr>
                  <w:tcW w:w="1457" w:type="pct"/>
                  <w:tcBorders>
                    <w:tl2br w:val="nil"/>
                    <w:tr2bl w:val="nil"/>
                  </w:tcBorders>
                  <w:noWrap w:val="0"/>
                  <w:vAlign w:val="center"/>
                </w:tcPr>
                <w:p>
                  <w:pPr>
                    <w:jc w:val="center"/>
                    <w:rPr>
                      <w:rFonts w:hint="eastAsia" w:ascii="Times New Roman" w:hAnsi="Times New Roman" w:cs="Times New Roman" w:eastAsiaTheme="minorEastAsia"/>
                      <w:color w:val="auto"/>
                      <w:kern w:val="2"/>
                      <w:sz w:val="24"/>
                      <w:szCs w:val="21"/>
                      <w:highlight w:val="none"/>
                      <w:lang w:val="en-US" w:eastAsia="zh-CN" w:bidi="ar-SA"/>
                    </w:rPr>
                  </w:pPr>
                  <w:r>
                    <w:rPr>
                      <w:rFonts w:hint="eastAsia" w:eastAsiaTheme="minorEastAsia"/>
                      <w:color w:val="auto"/>
                      <w:szCs w:val="21"/>
                      <w:highlight w:val="none"/>
                      <w:lang w:val="en-US" w:eastAsia="zh-CN"/>
                    </w:rPr>
                    <w:t>200</w:t>
                  </w:r>
                  <w:r>
                    <w:rPr>
                      <w:rFonts w:hint="default" w:ascii="Times New Roman" w:hAnsi="Times New Roman" w:eastAsia="宋体" w:cs="Times New Roman"/>
                      <w:color w:val="auto"/>
                      <w:kern w:val="2"/>
                      <w:sz w:val="21"/>
                      <w:szCs w:val="21"/>
                      <w:lang w:val="en-US" w:eastAsia="zh-CN" w:bidi="ar-SA"/>
                    </w:rPr>
                    <w:t>mg/</w:t>
                  </w:r>
                  <w:r>
                    <w:rPr>
                      <w:rFonts w:hint="eastAsia" w:ascii="Times New Roman" w:hAnsi="Times New Roman" w:eastAsia="宋体" w:cs="Times New Roman"/>
                      <w:color w:val="auto"/>
                      <w:kern w:val="2"/>
                      <w:sz w:val="21"/>
                      <w:szCs w:val="21"/>
                      <w:lang w:val="en-US" w:eastAsia="zh-CN" w:bidi="ar-SA"/>
                    </w:rPr>
                    <w:t>N</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3</w:t>
                  </w:r>
                </w:p>
              </w:tc>
              <w:tc>
                <w:tcPr>
                  <w:tcW w:w="1282" w:type="pct"/>
                  <w:tcBorders>
                    <w:tl2br w:val="nil"/>
                    <w:tr2bl w:val="nil"/>
                  </w:tcBorders>
                  <w:noWrap w:val="0"/>
                  <w:vAlign w:val="center"/>
                </w:tcPr>
                <w:p>
                  <w:pPr>
                    <w:jc w:val="center"/>
                    <w:rPr>
                      <w:rFonts w:hint="eastAsia" w:ascii="Times New Roman" w:hAnsi="Times New Roman" w:cs="Times New Roman" w:eastAsiaTheme="minorEastAsia"/>
                      <w:color w:val="auto"/>
                      <w:kern w:val="2"/>
                      <w:sz w:val="24"/>
                      <w:szCs w:val="21"/>
                      <w:highlight w:val="none"/>
                      <w:lang w:val="en-US" w:eastAsia="zh-CN" w:bidi="ar-SA"/>
                    </w:rPr>
                  </w:pPr>
                  <w:r>
                    <w:rPr>
                      <w:rFonts w:hint="eastAsia" w:eastAsiaTheme="minorEastAsia"/>
                      <w:color w:val="auto"/>
                      <w:szCs w:val="21"/>
                      <w:highlight w:val="none"/>
                      <w:lang w:val="en-US" w:eastAsia="zh-CN"/>
                    </w:rPr>
                    <w:t>300</w:t>
                  </w:r>
                  <w:r>
                    <w:rPr>
                      <w:rFonts w:hint="default" w:ascii="Times New Roman" w:hAnsi="Times New Roman" w:eastAsia="宋体" w:cs="Times New Roman"/>
                      <w:color w:val="auto"/>
                      <w:kern w:val="2"/>
                      <w:sz w:val="21"/>
                      <w:szCs w:val="21"/>
                      <w:lang w:val="en-US" w:eastAsia="zh-CN" w:bidi="ar-SA"/>
                    </w:rPr>
                    <w:t>mg/</w:t>
                  </w:r>
                  <w:r>
                    <w:rPr>
                      <w:rFonts w:hint="eastAsia" w:ascii="Times New Roman" w:hAnsi="Times New Roman" w:eastAsia="宋体" w:cs="Times New Roman"/>
                      <w:color w:val="auto"/>
                      <w:kern w:val="2"/>
                      <w:sz w:val="21"/>
                      <w:szCs w:val="21"/>
                      <w:lang w:val="en-US" w:eastAsia="zh-CN" w:bidi="ar-SA"/>
                    </w:rPr>
                    <w:t>N</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3</w:t>
                  </w:r>
                </w:p>
              </w:tc>
            </w:tr>
          </w:tbl>
          <w:p>
            <w:pPr>
              <w:pStyle w:val="39"/>
              <w:bidi w:val="0"/>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表</w:t>
            </w:r>
            <w:r>
              <w:rPr>
                <w:rFonts w:hint="eastAsia" w:cs="Times New Roman" w:eastAsiaTheme="majorEastAsia"/>
                <w:b/>
                <w:bCs/>
                <w:color w:val="auto"/>
                <w:sz w:val="24"/>
                <w:szCs w:val="24"/>
                <w:highlight w:val="none"/>
                <w:lang w:val="en-US" w:eastAsia="zh-CN"/>
              </w:rPr>
              <w:t>3-7</w:t>
            </w:r>
            <w:r>
              <w:rPr>
                <w:rFonts w:hint="default" w:ascii="Times New Roman" w:hAnsi="Times New Roman" w:eastAsia="宋体" w:cs="Times New Roman"/>
                <w:b/>
                <w:bCs/>
                <w:color w:val="auto"/>
                <w:kern w:val="0"/>
                <w:sz w:val="24"/>
                <w:szCs w:val="24"/>
                <w:lang w:val="en-US" w:eastAsia="zh-CN" w:bidi="ar-SA"/>
              </w:rPr>
              <w:t xml:space="preserve">     《</w:t>
            </w:r>
            <w:r>
              <w:rPr>
                <w:rFonts w:hint="eastAsia" w:ascii="Times New Roman" w:hAnsi="Times New Roman" w:eastAsia="宋体" w:cs="Times New Roman"/>
                <w:b/>
                <w:bCs/>
                <w:color w:val="auto"/>
                <w:kern w:val="0"/>
                <w:sz w:val="24"/>
                <w:szCs w:val="24"/>
                <w:lang w:val="en-US" w:eastAsia="zh-CN" w:bidi="ar-SA"/>
              </w:rPr>
              <w:t>煤炭洗选行业污染物排放标准</w:t>
            </w:r>
            <w:r>
              <w:rPr>
                <w:rFonts w:hint="default" w:ascii="Times New Roman" w:hAnsi="Times New Roman" w:eastAsia="宋体" w:cs="Times New Roman"/>
                <w:b/>
                <w:bCs/>
                <w:color w:val="auto"/>
                <w:kern w:val="0"/>
                <w:sz w:val="24"/>
                <w:szCs w:val="24"/>
                <w:lang w:val="en-US" w:eastAsia="zh-CN" w:bidi="ar-SA"/>
              </w:rPr>
              <w:t>》（</w:t>
            </w:r>
            <w:r>
              <w:rPr>
                <w:rFonts w:hint="eastAsia" w:ascii="Times New Roman" w:hAnsi="Times New Roman" w:eastAsia="宋体" w:cs="Times New Roman"/>
                <w:b/>
                <w:bCs/>
                <w:color w:val="auto"/>
                <w:kern w:val="0"/>
                <w:sz w:val="24"/>
                <w:szCs w:val="24"/>
                <w:lang w:val="en-US" w:eastAsia="zh-CN" w:bidi="ar-SA"/>
              </w:rPr>
              <w:t>DB14/2270—2021</w:t>
            </w:r>
            <w:r>
              <w:rPr>
                <w:rFonts w:hint="default" w:ascii="Times New Roman" w:hAnsi="Times New Roman" w:eastAsia="宋体" w:cs="Times New Roman"/>
                <w:b/>
                <w:bCs/>
                <w:color w:val="auto"/>
                <w:kern w:val="0"/>
                <w:sz w:val="24"/>
                <w:szCs w:val="24"/>
                <w:lang w:val="en-US" w:eastAsia="zh-CN" w:bidi="ar-SA"/>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2232"/>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2" w:type="dxa"/>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de" w:eastAsia="zh-CN" w:bidi="ar-SA"/>
                    </w:rPr>
                  </w:pPr>
                  <w:r>
                    <w:rPr>
                      <w:rFonts w:hint="default" w:ascii="Times New Roman" w:hAnsi="Times New Roman" w:eastAsia="宋体" w:cs="Times New Roman"/>
                      <w:b/>
                      <w:bCs/>
                      <w:color w:val="auto"/>
                      <w:kern w:val="2"/>
                      <w:sz w:val="21"/>
                      <w:szCs w:val="21"/>
                      <w:lang w:val="en-US" w:eastAsia="zh-CN" w:bidi="ar-SA"/>
                    </w:rPr>
                    <w:t>污染物</w:t>
                  </w:r>
                </w:p>
              </w:tc>
              <w:tc>
                <w:tcPr>
                  <w:tcW w:w="2235" w:type="dxa"/>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de" w:eastAsia="zh-CN" w:bidi="ar-SA"/>
                    </w:rPr>
                  </w:pPr>
                  <w:r>
                    <w:rPr>
                      <w:rFonts w:hint="default" w:ascii="Times New Roman" w:hAnsi="Times New Roman" w:eastAsia="宋体" w:cs="Times New Roman"/>
                      <w:b/>
                      <w:bCs/>
                      <w:color w:val="auto"/>
                      <w:kern w:val="2"/>
                      <w:sz w:val="21"/>
                      <w:szCs w:val="21"/>
                      <w:lang w:val="en-US" w:eastAsia="zh-CN" w:bidi="ar-SA"/>
                    </w:rPr>
                    <w:t>监控点</w:t>
                  </w:r>
                </w:p>
              </w:tc>
              <w:tc>
                <w:tcPr>
                  <w:tcW w:w="4879" w:type="dxa"/>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de" w:eastAsia="zh-CN" w:bidi="ar-SA"/>
                    </w:rPr>
                  </w:pPr>
                  <w:r>
                    <w:rPr>
                      <w:rFonts w:hint="eastAsia" w:ascii="Times New Roman" w:hAnsi="Times New Roman" w:eastAsia="宋体" w:cs="Times New Roman"/>
                      <w:b/>
                      <w:bCs/>
                      <w:color w:val="auto"/>
                      <w:kern w:val="2"/>
                      <w:sz w:val="21"/>
                      <w:szCs w:val="21"/>
                      <w:lang w:val="en-US" w:eastAsia="zh-CN" w:bidi="ar-SA"/>
                    </w:rPr>
                    <w:t>装卸场所、</w:t>
                  </w:r>
                  <w:r>
                    <w:rPr>
                      <w:rFonts w:hint="default" w:ascii="Times New Roman" w:hAnsi="Times New Roman" w:eastAsia="宋体" w:cs="Times New Roman"/>
                      <w:b/>
                      <w:bCs/>
                      <w:color w:val="auto"/>
                      <w:kern w:val="2"/>
                      <w:sz w:val="21"/>
                      <w:szCs w:val="21"/>
                      <w:lang w:val="en-US" w:eastAsia="zh-CN" w:bidi="ar-SA"/>
                    </w:rPr>
                    <w:t>贮存场所（监控点与参考点浓度差值）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2" w:type="dxa"/>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de"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2235" w:type="dxa"/>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de" w:eastAsia="zh-CN" w:bidi="ar-SA"/>
                    </w:rPr>
                  </w:pPr>
                  <w:r>
                    <w:rPr>
                      <w:rFonts w:hint="default" w:ascii="Times New Roman" w:hAnsi="Times New Roman" w:eastAsia="宋体" w:cs="Times New Roman"/>
                      <w:color w:val="auto"/>
                      <w:kern w:val="2"/>
                      <w:sz w:val="21"/>
                      <w:szCs w:val="21"/>
                      <w:lang w:val="en-US" w:eastAsia="zh-CN" w:bidi="ar-SA"/>
                    </w:rPr>
                    <w:t>周界外浓度最高点</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vertAlign w:val="superscript"/>
                      <w:lang w:val="de" w:eastAsia="zh-CN" w:bidi="ar-SA"/>
                    </w:rPr>
                    <w:t>1</w:t>
                  </w:r>
                  <w:r>
                    <w:rPr>
                      <w:rFonts w:hint="default" w:ascii="Times New Roman" w:hAnsi="Times New Roman" w:eastAsia="宋体" w:cs="Times New Roman"/>
                      <w:color w:val="auto"/>
                      <w:kern w:val="2"/>
                      <w:sz w:val="21"/>
                      <w:szCs w:val="21"/>
                      <w:vertAlign w:val="superscript"/>
                      <w:lang w:val="en-US" w:eastAsia="zh-CN" w:bidi="ar-SA"/>
                    </w:rPr>
                    <w:t>）</w:t>
                  </w:r>
                </w:p>
              </w:tc>
              <w:tc>
                <w:tcPr>
                  <w:tcW w:w="4879" w:type="dxa"/>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de" w:eastAsia="zh-CN" w:bidi="ar-SA"/>
                    </w:rPr>
                  </w:pPr>
                  <w:r>
                    <w:rPr>
                      <w:rFonts w:hint="default" w:ascii="Times New Roman" w:hAnsi="Times New Roman" w:eastAsia="宋体" w:cs="Times New Roman"/>
                      <w:color w:val="auto"/>
                      <w:kern w:val="2"/>
                      <w:sz w:val="21"/>
                      <w:szCs w:val="21"/>
                      <w:lang w:val="de"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4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kern w:val="2"/>
                      <w:sz w:val="21"/>
                      <w:szCs w:val="21"/>
                      <w:lang w:val="de" w:eastAsia="zh-CN" w:bidi="ar-SA"/>
                    </w:rPr>
                  </w:pPr>
                  <w:r>
                    <w:rPr>
                      <w:rFonts w:hint="default" w:ascii="Times New Roman" w:hAnsi="Times New Roman" w:eastAsia="宋体" w:cs="Times New Roman"/>
                      <w:color w:val="auto"/>
                      <w:kern w:val="2"/>
                      <w:sz w:val="21"/>
                      <w:szCs w:val="21"/>
                      <w:lang w:val="en-US" w:eastAsia="zh-CN" w:bidi="ar-SA"/>
                    </w:rPr>
                    <w:t>注（</w:t>
                  </w:r>
                  <w:r>
                    <w:rPr>
                      <w:rFonts w:hint="default" w:ascii="Times New Roman" w:hAnsi="Times New Roman" w:eastAsia="宋体" w:cs="Times New Roman"/>
                      <w:color w:val="auto"/>
                      <w:kern w:val="2"/>
                      <w:sz w:val="21"/>
                      <w:szCs w:val="21"/>
                      <w:lang w:val="de" w:eastAsia="zh-CN" w:bidi="ar-SA"/>
                    </w:rPr>
                    <w:t>1</w:t>
                  </w:r>
                  <w:r>
                    <w:rPr>
                      <w:rFonts w:hint="default" w:ascii="Times New Roman" w:hAnsi="Times New Roman" w:eastAsia="宋体" w:cs="Times New Roman"/>
                      <w:color w:val="auto"/>
                      <w:kern w:val="2"/>
                      <w:sz w:val="21"/>
                      <w:szCs w:val="21"/>
                      <w:lang w:val="en-US" w:eastAsia="zh-CN" w:bidi="ar-SA"/>
                    </w:rPr>
                    <w:t>）：周界外浓度最高点一般应设置于无组织排放源下风向的单位周界外</w:t>
                  </w:r>
                  <w:r>
                    <w:rPr>
                      <w:rFonts w:hint="default" w:ascii="Times New Roman" w:hAnsi="Times New Roman" w:eastAsia="宋体" w:cs="Times New Roman"/>
                      <w:color w:val="auto"/>
                      <w:kern w:val="2"/>
                      <w:sz w:val="21"/>
                      <w:szCs w:val="21"/>
                      <w:lang w:val="de" w:eastAsia="zh-CN" w:bidi="ar-SA"/>
                    </w:rPr>
                    <w:t>10m</w:t>
                  </w:r>
                  <w:r>
                    <w:rPr>
                      <w:rFonts w:hint="default" w:ascii="Times New Roman" w:hAnsi="Times New Roman" w:eastAsia="宋体" w:cs="Times New Roman"/>
                      <w:color w:val="auto"/>
                      <w:kern w:val="2"/>
                      <w:sz w:val="21"/>
                      <w:szCs w:val="21"/>
                      <w:lang w:val="en-US" w:eastAsia="zh-CN" w:bidi="ar-SA"/>
                    </w:rPr>
                    <w:t>范围内。</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rPr>
              <w:t>2、噪声</w:t>
            </w:r>
            <w:r>
              <w:rPr>
                <w:rFonts w:hint="eastAsia" w:ascii="Times New Roman" w:hAnsi="Times New Roman" w:eastAsia="宋体" w:cs="Times New Roman"/>
                <w:b/>
                <w:color w:val="auto"/>
                <w:sz w:val="24"/>
                <w:szCs w:val="24"/>
                <w:highlight w:val="none"/>
                <w:lang w:eastAsia="zh-CN"/>
              </w:rPr>
              <w:t>排放标准</w:t>
            </w:r>
          </w:p>
          <w:p>
            <w:pPr>
              <w:spacing w:line="480" w:lineRule="exact"/>
              <w:ind w:firstLine="480"/>
              <w:rPr>
                <w:rFonts w:ascii="Times New Roman" w:hAnsi="Times New Roman"/>
                <w:color w:val="auto"/>
                <w:sz w:val="24"/>
                <w:szCs w:val="24"/>
                <w:highlight w:val="none"/>
              </w:rPr>
            </w:pPr>
            <w:r>
              <w:rPr>
                <w:rFonts w:hint="eastAsia" w:ascii="Times New Roman" w:hAnsi="Times New Roman"/>
                <w:color w:val="auto"/>
                <w:sz w:val="24"/>
                <w:szCs w:val="24"/>
                <w:highlight w:val="none"/>
              </w:rPr>
              <w:t>运营期</w:t>
            </w:r>
            <w:r>
              <w:rPr>
                <w:rFonts w:ascii="Times New Roman" w:hAnsi="Times New Roman"/>
                <w:color w:val="auto"/>
                <w:sz w:val="24"/>
                <w:szCs w:val="24"/>
                <w:highlight w:val="none"/>
              </w:rPr>
              <w:t>厂界噪声执行《工业企业厂界环境噪声排放标准》（GB12348-2008）</w:t>
            </w:r>
            <w:r>
              <w:rPr>
                <w:rFonts w:hint="eastAsia" w:ascii="Times New Roman" w:hAnsi="Times New Roman"/>
                <w:color w:val="auto"/>
                <w:sz w:val="24"/>
                <w:szCs w:val="24"/>
                <w:highlight w:val="none"/>
              </w:rPr>
              <w:t>2</w:t>
            </w:r>
            <w:r>
              <w:rPr>
                <w:rFonts w:ascii="Times New Roman" w:hAnsi="Times New Roman"/>
                <w:color w:val="auto"/>
                <w:sz w:val="24"/>
                <w:szCs w:val="24"/>
                <w:highlight w:val="none"/>
              </w:rPr>
              <w:t>类标准，标准值见下表。</w:t>
            </w:r>
          </w:p>
          <w:p>
            <w:pPr>
              <w:pStyle w:val="39"/>
              <w:bidi w:val="0"/>
              <w:rPr>
                <w:rFonts w:ascii="Times New Roman" w:hAnsi="Times New Roman" w:eastAsia="宋体"/>
                <w:b/>
                <w:color w:val="auto"/>
                <w:spacing w:val="0"/>
                <w:sz w:val="24"/>
                <w:szCs w:val="24"/>
                <w:highlight w:val="none"/>
              </w:rPr>
            </w:pPr>
            <w:r>
              <w:rPr>
                <w:rFonts w:hint="eastAsia" w:ascii="Times New Roman" w:hAnsi="Times New Roman" w:eastAsia="宋体"/>
                <w:b/>
                <w:color w:val="auto"/>
                <w:spacing w:val="0"/>
                <w:sz w:val="24"/>
                <w:szCs w:val="24"/>
                <w:highlight w:val="none"/>
              </w:rPr>
              <w:t>表</w:t>
            </w:r>
            <w:r>
              <w:rPr>
                <w:rFonts w:hint="eastAsia" w:cs="Times New Roman" w:eastAsiaTheme="majorEastAsia"/>
                <w:b/>
                <w:bCs/>
                <w:color w:val="auto"/>
                <w:sz w:val="24"/>
                <w:szCs w:val="24"/>
                <w:highlight w:val="none"/>
                <w:lang w:val="en-US" w:eastAsia="zh-CN"/>
              </w:rPr>
              <w:t>3-8</w:t>
            </w:r>
            <w:r>
              <w:rPr>
                <w:rFonts w:hint="eastAsia" w:ascii="Times New Roman" w:hAnsi="Times New Roman" w:eastAsia="宋体"/>
                <w:b/>
                <w:color w:val="auto"/>
                <w:spacing w:val="0"/>
                <w:sz w:val="24"/>
                <w:szCs w:val="24"/>
                <w:highlight w:val="none"/>
              </w:rPr>
              <w:t xml:space="preserve">     </w:t>
            </w:r>
            <w:r>
              <w:rPr>
                <w:rFonts w:ascii="Times New Roman" w:hAnsi="Times New Roman" w:eastAsia="宋体"/>
                <w:b/>
                <w:color w:val="auto"/>
                <w:spacing w:val="0"/>
                <w:sz w:val="24"/>
                <w:szCs w:val="24"/>
                <w:highlight w:val="none"/>
              </w:rPr>
              <w:t>工业企业厂界</w:t>
            </w:r>
            <w:r>
              <w:rPr>
                <w:rFonts w:hint="eastAsia" w:ascii="Times New Roman" w:hAnsi="Times New Roman" w:eastAsia="宋体"/>
                <w:b/>
                <w:color w:val="auto"/>
                <w:spacing w:val="0"/>
                <w:sz w:val="24"/>
                <w:szCs w:val="24"/>
                <w:highlight w:val="none"/>
              </w:rPr>
              <w:t>环境</w:t>
            </w:r>
            <w:r>
              <w:rPr>
                <w:rFonts w:ascii="Times New Roman" w:hAnsi="Times New Roman" w:eastAsia="宋体"/>
                <w:b/>
                <w:color w:val="auto"/>
                <w:spacing w:val="0"/>
                <w:sz w:val="24"/>
                <w:szCs w:val="24"/>
                <w:highlight w:val="none"/>
              </w:rPr>
              <w:t>噪声</w:t>
            </w:r>
            <w:r>
              <w:rPr>
                <w:rFonts w:hint="eastAsia" w:ascii="Times New Roman" w:hAnsi="Times New Roman" w:eastAsia="宋体"/>
                <w:b/>
                <w:color w:val="auto"/>
                <w:spacing w:val="0"/>
                <w:sz w:val="24"/>
                <w:szCs w:val="24"/>
                <w:highlight w:val="none"/>
              </w:rPr>
              <w:t>排放</w:t>
            </w:r>
            <w:r>
              <w:rPr>
                <w:rFonts w:ascii="Times New Roman" w:hAnsi="Times New Roman" w:eastAsia="宋体"/>
                <w:b/>
                <w:color w:val="auto"/>
                <w:spacing w:val="0"/>
                <w:sz w:val="24"/>
                <w:szCs w:val="24"/>
                <w:highlight w:val="none"/>
              </w:rPr>
              <w:t>标准</w:t>
            </w:r>
          </w:p>
          <w:tbl>
            <w:tblPr>
              <w:tblStyle w:val="2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2773"/>
              <w:gridCol w:w="2728"/>
              <w:gridCol w:w="27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jc w:val="center"/>
              </w:trPr>
              <w:tc>
                <w:tcPr>
                  <w:tcW w:w="1684" w:type="pct"/>
                  <w:noWrap w:val="0"/>
                  <w:vAlign w:val="center"/>
                </w:tcPr>
                <w:p>
                  <w:pPr>
                    <w:spacing w:line="360" w:lineRule="exact"/>
                    <w:ind w:firstLine="0" w:firstLineChars="0"/>
                    <w:jc w:val="center"/>
                    <w:rPr>
                      <w:rFonts w:ascii="Times New Roman" w:hAnsi="Times New Roman"/>
                      <w:b/>
                      <w:bCs w:val="0"/>
                      <w:color w:val="auto"/>
                      <w:sz w:val="21"/>
                      <w:szCs w:val="21"/>
                      <w:highlight w:val="none"/>
                    </w:rPr>
                  </w:pPr>
                  <w:r>
                    <w:rPr>
                      <w:rFonts w:ascii="Times New Roman" w:hAnsi="Times New Roman"/>
                      <w:b/>
                      <w:bCs w:val="0"/>
                      <w:color w:val="auto"/>
                      <w:sz w:val="21"/>
                      <w:szCs w:val="21"/>
                      <w:highlight w:val="none"/>
                    </w:rPr>
                    <w:t>类  别</w:t>
                  </w:r>
                </w:p>
              </w:tc>
              <w:tc>
                <w:tcPr>
                  <w:tcW w:w="1657" w:type="pct"/>
                  <w:noWrap w:val="0"/>
                  <w:vAlign w:val="center"/>
                </w:tcPr>
                <w:p>
                  <w:pPr>
                    <w:spacing w:line="360" w:lineRule="exact"/>
                    <w:ind w:firstLine="0" w:firstLineChars="0"/>
                    <w:jc w:val="center"/>
                    <w:rPr>
                      <w:rFonts w:ascii="Times New Roman" w:hAnsi="Times New Roman"/>
                      <w:b/>
                      <w:bCs w:val="0"/>
                      <w:color w:val="auto"/>
                      <w:sz w:val="21"/>
                      <w:szCs w:val="21"/>
                      <w:highlight w:val="none"/>
                    </w:rPr>
                  </w:pPr>
                  <w:r>
                    <w:rPr>
                      <w:rFonts w:ascii="Times New Roman" w:hAnsi="Times New Roman"/>
                      <w:b/>
                      <w:bCs w:val="0"/>
                      <w:color w:val="auto"/>
                      <w:sz w:val="21"/>
                      <w:szCs w:val="21"/>
                      <w:highlight w:val="none"/>
                    </w:rPr>
                    <w:t>昼  间</w:t>
                  </w:r>
                </w:p>
              </w:tc>
              <w:tc>
                <w:tcPr>
                  <w:tcW w:w="1657" w:type="pct"/>
                  <w:noWrap w:val="0"/>
                  <w:vAlign w:val="center"/>
                </w:tcPr>
                <w:p>
                  <w:pPr>
                    <w:spacing w:line="360" w:lineRule="exact"/>
                    <w:ind w:firstLine="0" w:firstLineChars="0"/>
                    <w:jc w:val="center"/>
                    <w:rPr>
                      <w:rFonts w:ascii="Times New Roman" w:hAnsi="Times New Roman"/>
                      <w:b/>
                      <w:bCs w:val="0"/>
                      <w:color w:val="auto"/>
                      <w:sz w:val="21"/>
                      <w:szCs w:val="21"/>
                      <w:highlight w:val="none"/>
                    </w:rPr>
                  </w:pPr>
                  <w:r>
                    <w:rPr>
                      <w:rFonts w:ascii="Times New Roman" w:hAnsi="Times New Roman"/>
                      <w:b/>
                      <w:bCs w:val="0"/>
                      <w:color w:val="auto"/>
                      <w:sz w:val="21"/>
                      <w:szCs w:val="21"/>
                      <w:highlight w:val="none"/>
                    </w:rPr>
                    <w:t>夜  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4" w:hRule="atLeast"/>
                <w:jc w:val="center"/>
              </w:trPr>
              <w:tc>
                <w:tcPr>
                  <w:tcW w:w="1684" w:type="pct"/>
                  <w:noWrap w:val="0"/>
                  <w:vAlign w:val="center"/>
                </w:tcPr>
                <w:p>
                  <w:pPr>
                    <w:spacing w:line="360" w:lineRule="exact"/>
                    <w:ind w:firstLine="0" w:firstLineChars="0"/>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2</w:t>
                  </w:r>
                  <w:r>
                    <w:rPr>
                      <w:rFonts w:ascii="Times New Roman" w:hAnsi="Times New Roman"/>
                      <w:bCs/>
                      <w:color w:val="auto"/>
                      <w:sz w:val="21"/>
                      <w:szCs w:val="21"/>
                      <w:highlight w:val="none"/>
                    </w:rPr>
                    <w:t>类</w:t>
                  </w:r>
                </w:p>
              </w:tc>
              <w:tc>
                <w:tcPr>
                  <w:tcW w:w="1657" w:type="pct"/>
                  <w:noWrap w:val="0"/>
                  <w:vAlign w:val="center"/>
                </w:tcPr>
                <w:p>
                  <w:pPr>
                    <w:spacing w:line="360" w:lineRule="exact"/>
                    <w:ind w:firstLine="0" w:firstLineChars="0"/>
                    <w:jc w:val="center"/>
                    <w:rPr>
                      <w:rFonts w:hint="eastAsia" w:ascii="Times New Roman" w:hAnsi="Times New Roman" w:eastAsia="宋体"/>
                      <w:bCs/>
                      <w:color w:val="auto"/>
                      <w:sz w:val="21"/>
                      <w:szCs w:val="21"/>
                      <w:highlight w:val="none"/>
                      <w:lang w:eastAsia="zh-CN"/>
                    </w:rPr>
                  </w:pPr>
                  <w:r>
                    <w:rPr>
                      <w:rFonts w:hint="eastAsia" w:ascii="Times New Roman" w:hAnsi="Times New Roman"/>
                      <w:bCs/>
                      <w:color w:val="auto"/>
                      <w:sz w:val="21"/>
                      <w:szCs w:val="21"/>
                      <w:highlight w:val="none"/>
                    </w:rPr>
                    <w:t>60</w:t>
                  </w:r>
                  <w:r>
                    <w:rPr>
                      <w:rFonts w:ascii="Times New Roman" w:hAnsi="Times New Roman"/>
                      <w:bCs/>
                      <w:color w:val="auto"/>
                      <w:sz w:val="21"/>
                      <w:szCs w:val="21"/>
                      <w:highlight w:val="none"/>
                    </w:rPr>
                    <w:t>dB</w:t>
                  </w:r>
                  <w:r>
                    <w:rPr>
                      <w:rFonts w:hint="eastAsia"/>
                      <w:bCs/>
                      <w:color w:val="auto"/>
                      <w:sz w:val="21"/>
                      <w:szCs w:val="21"/>
                      <w:highlight w:val="none"/>
                      <w:lang w:eastAsia="zh-CN"/>
                    </w:rPr>
                    <w:t>（</w:t>
                  </w:r>
                  <w:r>
                    <w:rPr>
                      <w:rFonts w:ascii="Times New Roman" w:hAnsi="Times New Roman"/>
                      <w:bCs/>
                      <w:color w:val="auto"/>
                      <w:sz w:val="21"/>
                      <w:szCs w:val="21"/>
                      <w:highlight w:val="none"/>
                    </w:rPr>
                    <w:t>A</w:t>
                  </w:r>
                  <w:r>
                    <w:rPr>
                      <w:rFonts w:hint="eastAsia"/>
                      <w:bCs/>
                      <w:color w:val="auto"/>
                      <w:sz w:val="21"/>
                      <w:szCs w:val="21"/>
                      <w:highlight w:val="none"/>
                      <w:lang w:eastAsia="zh-CN"/>
                    </w:rPr>
                    <w:t>）</w:t>
                  </w:r>
                </w:p>
              </w:tc>
              <w:tc>
                <w:tcPr>
                  <w:tcW w:w="1657" w:type="pct"/>
                  <w:noWrap w:val="0"/>
                  <w:vAlign w:val="center"/>
                </w:tcPr>
                <w:p>
                  <w:pPr>
                    <w:spacing w:line="360" w:lineRule="exact"/>
                    <w:ind w:firstLine="0" w:firstLineChars="0"/>
                    <w:jc w:val="center"/>
                    <w:rPr>
                      <w:rFonts w:hint="eastAsia" w:ascii="Times New Roman" w:hAnsi="Times New Roman" w:eastAsia="宋体"/>
                      <w:bCs/>
                      <w:color w:val="auto"/>
                      <w:sz w:val="21"/>
                      <w:szCs w:val="21"/>
                      <w:highlight w:val="none"/>
                      <w:lang w:eastAsia="zh-CN"/>
                    </w:rPr>
                  </w:pPr>
                  <w:r>
                    <w:rPr>
                      <w:rFonts w:hint="eastAsia" w:ascii="Times New Roman" w:hAnsi="Times New Roman"/>
                      <w:bCs/>
                      <w:color w:val="auto"/>
                      <w:sz w:val="21"/>
                      <w:szCs w:val="21"/>
                      <w:highlight w:val="none"/>
                    </w:rPr>
                    <w:t>50</w:t>
                  </w:r>
                  <w:r>
                    <w:rPr>
                      <w:rFonts w:ascii="Times New Roman" w:hAnsi="Times New Roman"/>
                      <w:bCs/>
                      <w:color w:val="auto"/>
                      <w:sz w:val="21"/>
                      <w:szCs w:val="21"/>
                      <w:highlight w:val="none"/>
                    </w:rPr>
                    <w:t>dB</w:t>
                  </w:r>
                  <w:r>
                    <w:rPr>
                      <w:rFonts w:hint="eastAsia"/>
                      <w:bCs/>
                      <w:color w:val="auto"/>
                      <w:sz w:val="21"/>
                      <w:szCs w:val="21"/>
                      <w:highlight w:val="none"/>
                      <w:lang w:eastAsia="zh-CN"/>
                    </w:rPr>
                    <w:t>（</w:t>
                  </w:r>
                  <w:r>
                    <w:rPr>
                      <w:rFonts w:ascii="Times New Roman" w:hAnsi="Times New Roman"/>
                      <w:bCs/>
                      <w:color w:val="auto"/>
                      <w:sz w:val="21"/>
                      <w:szCs w:val="21"/>
                      <w:highlight w:val="none"/>
                    </w:rPr>
                    <w:t>A</w:t>
                  </w:r>
                  <w:r>
                    <w:rPr>
                      <w:rFonts w:hint="eastAsia"/>
                      <w:bCs/>
                      <w:color w:val="auto"/>
                      <w:sz w:val="21"/>
                      <w:szCs w:val="21"/>
                      <w:highlight w:val="none"/>
                      <w:lang w:eastAsia="zh-CN"/>
                    </w:rPr>
                    <w:t>）</w:t>
                  </w:r>
                </w:p>
              </w:tc>
            </w:tr>
          </w:tbl>
          <w:p>
            <w:pPr>
              <w:keepNext w:val="0"/>
              <w:keepLines w:val="0"/>
              <w:pageBreakBefore w:val="0"/>
              <w:kinsoku/>
              <w:wordWrap/>
              <w:overflowPunct/>
              <w:topLinePunct w:val="0"/>
              <w:autoSpaceDE/>
              <w:autoSpaceDN/>
              <w:bidi w:val="0"/>
              <w:spacing w:line="500" w:lineRule="exact"/>
              <w:ind w:firstLine="482" w:firstLineChars="200"/>
              <w:textAlignment w:val="auto"/>
              <w:rPr>
                <w:rFonts w:hint="default" w:ascii="Times New Roman" w:hAnsi="Times New Roman" w:eastAsia="宋体" w:cs="Times New Roman"/>
                <w:b/>
                <w:snapToGrid/>
                <w:color w:val="auto"/>
                <w:kern w:val="2"/>
                <w:sz w:val="24"/>
                <w:szCs w:val="24"/>
                <w:highlight w:val="none"/>
                <w:lang w:val="en-US" w:eastAsia="zh-CN" w:bidi="ar"/>
              </w:rPr>
            </w:pPr>
            <w:r>
              <w:rPr>
                <w:rFonts w:hint="eastAsia" w:ascii="Times New Roman" w:hAnsi="Times New Roman" w:eastAsia="宋体" w:cs="Times New Roman"/>
                <w:b/>
                <w:snapToGrid/>
                <w:color w:val="auto"/>
                <w:kern w:val="2"/>
                <w:sz w:val="24"/>
                <w:szCs w:val="24"/>
                <w:highlight w:val="none"/>
                <w:lang w:val="en-US" w:eastAsia="zh-CN" w:bidi="ar"/>
              </w:rPr>
              <w:t>4、</w:t>
            </w:r>
            <w:r>
              <w:rPr>
                <w:rFonts w:hint="default" w:ascii="Times New Roman" w:hAnsi="Times New Roman" w:eastAsia="宋体" w:cs="Times New Roman"/>
                <w:b/>
                <w:snapToGrid/>
                <w:color w:val="auto"/>
                <w:kern w:val="2"/>
                <w:sz w:val="24"/>
                <w:szCs w:val="24"/>
                <w:highlight w:val="none"/>
                <w:lang w:val="en-US" w:eastAsia="zh-CN" w:bidi="ar"/>
              </w:rPr>
              <w:t>固体废物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危险废物执行《危险废物贮存污染控制标准》</w:t>
            </w:r>
            <w:r>
              <w:rPr>
                <w:rFonts w:hint="eastAsia" w:cs="Times New Roman"/>
                <w:snapToGrid/>
                <w:color w:val="auto"/>
                <w:kern w:val="0"/>
                <w:sz w:val="24"/>
                <w:szCs w:val="24"/>
                <w:highlight w:val="none"/>
                <w:lang w:val="en-US" w:eastAsia="zh-CN" w:bidi="ar"/>
              </w:rPr>
              <w:t>（GB18597-2023）</w:t>
            </w:r>
            <w:r>
              <w:rPr>
                <w:rFonts w:hint="eastAsia"/>
                <w:color w:val="auto"/>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00" w:lineRule="exact"/>
              <w:ind w:right="0"/>
              <w:jc w:val="both"/>
              <w:textAlignment w:val="auto"/>
              <w:rPr>
                <w:rFonts w:hint="eastAsia" w:ascii="宋体" w:hAnsi="宋体" w:eastAsia="宋体" w:cs="宋体"/>
                <w:color w:val="auto"/>
                <w:kern w:val="0"/>
                <w:sz w:val="24"/>
                <w:szCs w:val="24"/>
                <w:highlight w:val="red"/>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57" w:hRule="atLeast"/>
          <w:jc w:val="center"/>
        </w:trPr>
        <w:tc>
          <w:tcPr>
            <w:tcW w:w="444" w:type="pct"/>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总量</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控制</w:t>
            </w:r>
          </w:p>
          <w:p>
            <w:pPr>
              <w:adjustRightInd w:val="0"/>
              <w:snapToGrid w:val="0"/>
              <w:jc w:val="center"/>
              <w:rPr>
                <w:rFonts w:ascii="宋体" w:hAnsi="宋体" w:cs="宋体"/>
                <w:color w:val="auto"/>
                <w:kern w:val="0"/>
                <w:sz w:val="24"/>
                <w:szCs w:val="24"/>
                <w:highlight w:val="red"/>
              </w:rPr>
            </w:pPr>
            <w:r>
              <w:rPr>
                <w:rFonts w:hint="eastAsia" w:ascii="宋体" w:hAnsi="宋体" w:cs="宋体"/>
                <w:color w:val="auto"/>
                <w:kern w:val="0"/>
                <w:sz w:val="24"/>
                <w:szCs w:val="24"/>
                <w:highlight w:val="none"/>
              </w:rPr>
              <w:t>指标</w:t>
            </w:r>
          </w:p>
        </w:tc>
        <w:tc>
          <w:tcPr>
            <w:tcW w:w="4555" w:type="pct"/>
            <w:noWrap w:val="0"/>
            <w:vAlign w:val="center"/>
          </w:tcPr>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按照山西省生态环境厅“关于印发《建设项目主要污染物排放总量指标核定办法》的通知（晋环发〔2023〕1号）”中主要污染物排放总量核定工作要求，本项目在环境影响评价文件审批前，建设单位需按本办法规定取得主要污染物排放总量指标。</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2"/>
              <w:textAlignment w:val="auto"/>
              <w:rPr>
                <w:rFonts w:hint="eastAsia" w:ascii="Times New Roman" w:hAnsi="Times New Roman"/>
                <w:color w:val="auto"/>
                <w:sz w:val="24"/>
                <w:szCs w:val="24"/>
                <w:highlight w:val="none"/>
                <w:lang w:val="en-US" w:eastAsia="zh-CN" w:bidi="ar"/>
              </w:rPr>
            </w:pPr>
            <w:r>
              <w:rPr>
                <w:rFonts w:hint="default" w:ascii="Times New Roman" w:hAnsi="Times New Roman" w:cs="Times New Roman"/>
                <w:color w:val="auto"/>
                <w:sz w:val="24"/>
                <w:szCs w:val="24"/>
                <w:highlight w:val="none"/>
                <w:lang w:bidi="ar"/>
              </w:rPr>
              <w:t>本项目</w:t>
            </w:r>
            <w:r>
              <w:rPr>
                <w:rFonts w:hint="eastAsia" w:ascii="Times New Roman" w:hAnsi="Times New Roman" w:cs="Times New Roman"/>
                <w:color w:val="auto"/>
                <w:sz w:val="24"/>
                <w:szCs w:val="24"/>
                <w:highlight w:val="none"/>
                <w:lang w:eastAsia="zh-CN" w:bidi="ar"/>
              </w:rPr>
              <w:t>建</w:t>
            </w:r>
            <w:r>
              <w:rPr>
                <w:rFonts w:hint="default" w:ascii="Times New Roman" w:hAnsi="Times New Roman" w:cs="Times New Roman"/>
                <w:color w:val="auto"/>
                <w:sz w:val="24"/>
                <w:szCs w:val="24"/>
                <w:highlight w:val="none"/>
                <w:lang w:bidi="ar"/>
              </w:rPr>
              <w:t>成后，全厂的有组织污染物排放量为：</w:t>
            </w:r>
            <w:r>
              <w:rPr>
                <w:rFonts w:hint="eastAsia" w:ascii="Times New Roman" w:hAnsi="Times New Roman" w:cs="Times New Roman"/>
                <w:color w:val="auto"/>
                <w:sz w:val="24"/>
                <w:szCs w:val="24"/>
                <w:highlight w:val="none"/>
                <w:lang w:eastAsia="zh-CN" w:bidi="ar"/>
              </w:rPr>
              <w:t>颗粒物</w:t>
            </w:r>
            <w:r>
              <w:rPr>
                <w:rFonts w:hint="default" w:ascii="Times New Roman" w:hAnsi="Times New Roman" w:cs="Times New Roman"/>
                <w:color w:val="auto"/>
                <w:sz w:val="24"/>
                <w:szCs w:val="24"/>
                <w:highlight w:val="none"/>
                <w:lang w:bidi="ar"/>
              </w:rPr>
              <w:t>1.</w:t>
            </w:r>
            <w:r>
              <w:rPr>
                <w:rFonts w:hint="eastAsia" w:ascii="Times New Roman" w:hAnsi="Times New Roman" w:cs="Times New Roman"/>
                <w:color w:val="auto"/>
                <w:sz w:val="24"/>
                <w:szCs w:val="24"/>
                <w:highlight w:val="none"/>
                <w:lang w:val="en-US" w:eastAsia="zh-CN" w:bidi="ar"/>
              </w:rPr>
              <w:t>40</w:t>
            </w:r>
            <w:r>
              <w:rPr>
                <w:rFonts w:hint="default" w:ascii="Times New Roman" w:hAnsi="Times New Roman" w:cs="Times New Roman"/>
                <w:color w:val="auto"/>
                <w:sz w:val="24"/>
                <w:szCs w:val="24"/>
                <w:highlight w:val="none"/>
                <w:lang w:bidi="ar"/>
              </w:rPr>
              <w:t>t/a、SO</w:t>
            </w:r>
            <w:r>
              <w:rPr>
                <w:rFonts w:hint="default" w:ascii="Times New Roman" w:hAnsi="Times New Roman" w:cs="Times New Roman"/>
                <w:color w:val="auto"/>
                <w:sz w:val="24"/>
                <w:szCs w:val="24"/>
                <w:highlight w:val="none"/>
                <w:vertAlign w:val="subscript"/>
                <w:lang w:bidi="ar"/>
              </w:rPr>
              <w:t>2</w:t>
            </w:r>
            <w:r>
              <w:rPr>
                <w:rFonts w:hint="eastAsia" w:ascii="Times New Roman" w:hAnsi="Times New Roman" w:cs="Times New Roman"/>
                <w:color w:val="auto"/>
                <w:sz w:val="24"/>
                <w:szCs w:val="24"/>
                <w:highlight w:val="none"/>
                <w:lang w:eastAsia="zh-CN" w:bidi="ar"/>
              </w:rPr>
              <w:t>2.54</w:t>
            </w:r>
            <w:r>
              <w:rPr>
                <w:rFonts w:hint="default" w:ascii="Times New Roman" w:hAnsi="Times New Roman" w:cs="Times New Roman"/>
                <w:color w:val="auto"/>
                <w:sz w:val="24"/>
                <w:szCs w:val="24"/>
                <w:highlight w:val="none"/>
                <w:lang w:bidi="ar"/>
              </w:rPr>
              <w:t>t/a、NOx</w:t>
            </w:r>
            <w:r>
              <w:rPr>
                <w:rFonts w:hint="eastAsia" w:ascii="Times New Roman" w:hAnsi="Times New Roman" w:cs="Times New Roman"/>
                <w:color w:val="auto"/>
                <w:sz w:val="24"/>
                <w:szCs w:val="24"/>
                <w:highlight w:val="none"/>
                <w:lang w:val="en-US" w:eastAsia="zh-CN" w:bidi="ar"/>
              </w:rPr>
              <w:t>2.67</w:t>
            </w:r>
            <w:r>
              <w:rPr>
                <w:rFonts w:hint="default" w:ascii="Times New Roman" w:hAnsi="Times New Roman" w:cs="Times New Roman"/>
                <w:color w:val="auto"/>
                <w:sz w:val="24"/>
                <w:szCs w:val="24"/>
                <w:highlight w:val="none"/>
                <w:lang w:bidi="ar"/>
              </w:rPr>
              <w:t>t/a。因此，本项目需申请排污总量为：</w:t>
            </w:r>
            <w:r>
              <w:rPr>
                <w:rFonts w:hint="eastAsia" w:ascii="Times New Roman" w:hAnsi="Times New Roman" w:cs="Times New Roman"/>
                <w:color w:val="auto"/>
                <w:sz w:val="24"/>
                <w:szCs w:val="24"/>
                <w:highlight w:val="none"/>
                <w:lang w:eastAsia="zh-CN" w:bidi="ar"/>
              </w:rPr>
              <w:t>颗粒物</w:t>
            </w:r>
            <w:r>
              <w:rPr>
                <w:rFonts w:hint="default" w:ascii="Times New Roman" w:hAnsi="Times New Roman" w:cs="Times New Roman"/>
                <w:color w:val="auto"/>
                <w:sz w:val="24"/>
                <w:szCs w:val="24"/>
                <w:highlight w:val="none"/>
                <w:lang w:bidi="ar"/>
              </w:rPr>
              <w:t>1.</w:t>
            </w:r>
            <w:r>
              <w:rPr>
                <w:rFonts w:hint="eastAsia" w:ascii="Times New Roman" w:hAnsi="Times New Roman" w:cs="Times New Roman"/>
                <w:color w:val="auto"/>
                <w:sz w:val="24"/>
                <w:szCs w:val="24"/>
                <w:highlight w:val="none"/>
                <w:lang w:val="en-US" w:eastAsia="zh-CN" w:bidi="ar"/>
              </w:rPr>
              <w:t>40</w:t>
            </w:r>
            <w:r>
              <w:rPr>
                <w:rFonts w:hint="default" w:ascii="Times New Roman" w:hAnsi="Times New Roman" w:cs="Times New Roman"/>
                <w:color w:val="auto"/>
                <w:sz w:val="24"/>
                <w:szCs w:val="24"/>
                <w:highlight w:val="none"/>
                <w:lang w:bidi="ar"/>
              </w:rPr>
              <w:t>t/a、SO</w:t>
            </w:r>
            <w:r>
              <w:rPr>
                <w:rFonts w:hint="default" w:ascii="Times New Roman" w:hAnsi="Times New Roman" w:cs="Times New Roman"/>
                <w:color w:val="auto"/>
                <w:sz w:val="24"/>
                <w:szCs w:val="24"/>
                <w:highlight w:val="none"/>
                <w:vertAlign w:val="subscript"/>
                <w:lang w:bidi="ar"/>
              </w:rPr>
              <w:t>2</w:t>
            </w:r>
            <w:r>
              <w:rPr>
                <w:rFonts w:hint="eastAsia" w:ascii="Times New Roman" w:hAnsi="Times New Roman" w:cs="Times New Roman"/>
                <w:color w:val="auto"/>
                <w:sz w:val="24"/>
                <w:szCs w:val="24"/>
                <w:highlight w:val="none"/>
                <w:lang w:eastAsia="zh-CN" w:bidi="ar"/>
              </w:rPr>
              <w:t>2.54</w:t>
            </w:r>
            <w:r>
              <w:rPr>
                <w:rFonts w:hint="default" w:ascii="Times New Roman" w:hAnsi="Times New Roman" w:cs="Times New Roman"/>
                <w:color w:val="auto"/>
                <w:sz w:val="24"/>
                <w:szCs w:val="24"/>
                <w:highlight w:val="none"/>
                <w:lang w:bidi="ar"/>
              </w:rPr>
              <w:t>t/a、NOx</w:t>
            </w:r>
            <w:r>
              <w:rPr>
                <w:rFonts w:hint="eastAsia" w:ascii="Times New Roman" w:hAnsi="Times New Roman" w:cs="Times New Roman"/>
                <w:color w:val="auto"/>
                <w:sz w:val="24"/>
                <w:szCs w:val="24"/>
                <w:highlight w:val="none"/>
                <w:lang w:val="en-US" w:eastAsia="zh-CN" w:bidi="ar"/>
              </w:rPr>
              <w:t>2.67</w:t>
            </w:r>
            <w:r>
              <w:rPr>
                <w:rFonts w:hint="default" w:ascii="Times New Roman" w:hAnsi="Times New Roman" w:cs="Times New Roman"/>
                <w:color w:val="auto"/>
                <w:sz w:val="24"/>
                <w:szCs w:val="24"/>
                <w:highlight w:val="none"/>
                <w:lang w:bidi="ar"/>
              </w:rPr>
              <w:t>t/a。</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2"/>
              <w:textAlignment w:val="auto"/>
              <w:rPr>
                <w:rFonts w:ascii="宋体" w:hAnsi="宋体" w:cs="宋体"/>
                <w:color w:val="auto"/>
                <w:kern w:val="0"/>
                <w:sz w:val="24"/>
                <w:szCs w:val="24"/>
                <w:highlight w:val="red"/>
              </w:rPr>
            </w:pPr>
            <w:r>
              <w:rPr>
                <w:rFonts w:hint="eastAsia" w:ascii="宋体" w:hAnsi="宋体" w:cs="宋体"/>
                <w:color w:val="auto"/>
                <w:kern w:val="0"/>
                <w:sz w:val="24"/>
                <w:szCs w:val="24"/>
                <w:highlight w:val="none"/>
              </w:rPr>
              <w:t>202</w:t>
            </w:r>
            <w:r>
              <w:rPr>
                <w:rFonts w:hint="eastAsia" w:cs="宋体"/>
                <w:color w:val="auto"/>
                <w:kern w:val="0"/>
                <w:sz w:val="24"/>
                <w:szCs w:val="24"/>
                <w:highlight w:val="none"/>
                <w:lang w:val="en-US" w:eastAsia="zh-CN"/>
              </w:rPr>
              <w:t>3</w:t>
            </w:r>
            <w:r>
              <w:rPr>
                <w:rFonts w:hint="eastAsia" w:ascii="宋体" w:hAnsi="宋体" w:cs="宋体"/>
                <w:color w:val="auto"/>
                <w:kern w:val="0"/>
                <w:sz w:val="24"/>
                <w:szCs w:val="24"/>
                <w:highlight w:val="none"/>
              </w:rPr>
              <w:t>年</w:t>
            </w:r>
            <w:r>
              <w:rPr>
                <w:rFonts w:hint="eastAsia" w:cs="宋体"/>
                <w:color w:val="auto"/>
                <w:kern w:val="0"/>
                <w:sz w:val="24"/>
                <w:szCs w:val="24"/>
                <w:highlight w:val="none"/>
                <w:lang w:val="en-US" w:eastAsia="zh-CN"/>
              </w:rPr>
              <w:t>10</w:t>
            </w:r>
            <w:r>
              <w:rPr>
                <w:rFonts w:hint="eastAsia" w:ascii="宋体" w:hAnsi="宋体" w:cs="宋体"/>
                <w:color w:val="auto"/>
                <w:kern w:val="0"/>
                <w:sz w:val="24"/>
                <w:szCs w:val="24"/>
                <w:highlight w:val="none"/>
              </w:rPr>
              <w:t>月</w:t>
            </w:r>
            <w:r>
              <w:rPr>
                <w:rFonts w:hint="eastAsia" w:cs="宋体"/>
                <w:color w:val="auto"/>
                <w:kern w:val="0"/>
                <w:sz w:val="24"/>
                <w:szCs w:val="24"/>
                <w:highlight w:val="none"/>
                <w:lang w:val="en-US" w:eastAsia="zh-CN"/>
              </w:rPr>
              <w:t>18</w:t>
            </w:r>
            <w:r>
              <w:rPr>
                <w:rFonts w:hint="eastAsia" w:ascii="宋体" w:hAnsi="宋体" w:cs="宋体"/>
                <w:color w:val="auto"/>
                <w:kern w:val="0"/>
                <w:sz w:val="24"/>
                <w:szCs w:val="24"/>
                <w:highlight w:val="none"/>
              </w:rPr>
              <w:t>日，朔州市生态环境局平鲁分局以平环函[202</w:t>
            </w:r>
            <w:r>
              <w:rPr>
                <w:rFonts w:hint="eastAsia" w:cs="宋体"/>
                <w:color w:val="auto"/>
                <w:kern w:val="0"/>
                <w:sz w:val="24"/>
                <w:szCs w:val="24"/>
                <w:highlight w:val="none"/>
                <w:lang w:val="en-US" w:eastAsia="zh-CN"/>
              </w:rPr>
              <w:t>3</w:t>
            </w:r>
            <w:r>
              <w:rPr>
                <w:rFonts w:hint="eastAsia" w:ascii="宋体" w:hAnsi="宋体" w:cs="宋体"/>
                <w:color w:val="auto"/>
                <w:kern w:val="0"/>
                <w:sz w:val="24"/>
                <w:szCs w:val="24"/>
                <w:highlight w:val="none"/>
              </w:rPr>
              <w:t>]1</w:t>
            </w:r>
            <w:r>
              <w:rPr>
                <w:rFonts w:hint="eastAsia" w:cs="宋体"/>
                <w:color w:val="auto"/>
                <w:kern w:val="0"/>
                <w:sz w:val="24"/>
                <w:szCs w:val="24"/>
                <w:highlight w:val="none"/>
                <w:lang w:val="en-US" w:eastAsia="zh-CN"/>
              </w:rPr>
              <w:t>23</w:t>
            </w:r>
            <w:r>
              <w:rPr>
                <w:rFonts w:hint="eastAsia" w:ascii="宋体" w:hAnsi="宋体" w:cs="宋体"/>
                <w:color w:val="auto"/>
                <w:kern w:val="0"/>
                <w:sz w:val="24"/>
                <w:szCs w:val="24"/>
                <w:highlight w:val="none"/>
              </w:rPr>
              <w:t>号对本项目总量申请予以核定，核定排放总量为</w:t>
            </w:r>
            <w:r>
              <w:rPr>
                <w:rFonts w:hint="eastAsia" w:ascii="Times New Roman" w:hAnsi="Times New Roman" w:cs="Times New Roman"/>
                <w:color w:val="auto"/>
                <w:sz w:val="24"/>
                <w:szCs w:val="24"/>
                <w:highlight w:val="none"/>
                <w:lang w:eastAsia="zh-CN" w:bidi="ar"/>
              </w:rPr>
              <w:t>颗粒物</w:t>
            </w:r>
            <w:r>
              <w:rPr>
                <w:rFonts w:hint="default" w:ascii="Times New Roman" w:hAnsi="Times New Roman" w:cs="Times New Roman"/>
                <w:color w:val="auto"/>
                <w:sz w:val="24"/>
                <w:szCs w:val="24"/>
                <w:highlight w:val="none"/>
                <w:lang w:bidi="ar"/>
              </w:rPr>
              <w:t>1.</w:t>
            </w:r>
            <w:r>
              <w:rPr>
                <w:rFonts w:hint="eastAsia" w:ascii="Times New Roman" w:hAnsi="Times New Roman" w:cs="Times New Roman"/>
                <w:color w:val="auto"/>
                <w:sz w:val="24"/>
                <w:szCs w:val="24"/>
                <w:highlight w:val="none"/>
                <w:lang w:val="en-US" w:eastAsia="zh-CN" w:bidi="ar"/>
              </w:rPr>
              <w:t>40</w:t>
            </w:r>
            <w:r>
              <w:rPr>
                <w:rFonts w:hint="default" w:ascii="Times New Roman" w:hAnsi="Times New Roman" w:cs="Times New Roman"/>
                <w:color w:val="auto"/>
                <w:sz w:val="24"/>
                <w:szCs w:val="24"/>
                <w:highlight w:val="none"/>
                <w:lang w:bidi="ar"/>
              </w:rPr>
              <w:t>t/a、SO</w:t>
            </w:r>
            <w:r>
              <w:rPr>
                <w:rFonts w:hint="default" w:ascii="Times New Roman" w:hAnsi="Times New Roman" w:cs="Times New Roman"/>
                <w:color w:val="auto"/>
                <w:sz w:val="24"/>
                <w:szCs w:val="24"/>
                <w:highlight w:val="none"/>
                <w:vertAlign w:val="subscript"/>
                <w:lang w:bidi="ar"/>
              </w:rPr>
              <w:t>2</w:t>
            </w:r>
            <w:r>
              <w:rPr>
                <w:rFonts w:hint="eastAsia" w:ascii="Times New Roman" w:hAnsi="Times New Roman" w:cs="Times New Roman"/>
                <w:color w:val="auto"/>
                <w:sz w:val="24"/>
                <w:szCs w:val="24"/>
                <w:highlight w:val="none"/>
                <w:lang w:eastAsia="zh-CN" w:bidi="ar"/>
              </w:rPr>
              <w:t>2.54</w:t>
            </w:r>
            <w:r>
              <w:rPr>
                <w:rFonts w:hint="default" w:ascii="Times New Roman" w:hAnsi="Times New Roman" w:cs="Times New Roman"/>
                <w:color w:val="auto"/>
                <w:sz w:val="24"/>
                <w:szCs w:val="24"/>
                <w:highlight w:val="none"/>
                <w:lang w:bidi="ar"/>
              </w:rPr>
              <w:t>t/a、NOx</w:t>
            </w:r>
            <w:r>
              <w:rPr>
                <w:rFonts w:hint="eastAsia" w:ascii="Times New Roman" w:hAnsi="Times New Roman" w:cs="Times New Roman"/>
                <w:color w:val="auto"/>
                <w:sz w:val="24"/>
                <w:szCs w:val="24"/>
                <w:highlight w:val="none"/>
                <w:lang w:val="en-US" w:eastAsia="zh-CN" w:bidi="ar"/>
              </w:rPr>
              <w:t>2.67</w:t>
            </w:r>
            <w:r>
              <w:rPr>
                <w:rFonts w:hint="default" w:ascii="Times New Roman" w:hAnsi="Times New Roman" w:cs="Times New Roman"/>
                <w:color w:val="auto"/>
                <w:sz w:val="24"/>
                <w:szCs w:val="24"/>
                <w:highlight w:val="none"/>
                <w:lang w:bidi="ar"/>
              </w:rPr>
              <w:t>t/a</w:t>
            </w:r>
            <w:r>
              <w:rPr>
                <w:rFonts w:hint="eastAsia" w:ascii="宋体" w:hAnsi="宋体" w:cs="宋体"/>
                <w:color w:val="auto"/>
                <w:kern w:val="0"/>
                <w:sz w:val="24"/>
                <w:szCs w:val="24"/>
                <w:highlight w:val="none"/>
              </w:rPr>
              <w:t>。具体总量批复文件见附件9。</w:t>
            </w:r>
          </w:p>
        </w:tc>
      </w:tr>
    </w:tbl>
    <w:p>
      <w:pPr>
        <w:rPr>
          <w:color w:val="auto"/>
          <w:highlight w:val="red"/>
          <w:lang w:val="en-US" w:eastAsia="zh-CN"/>
        </w:rPr>
        <w:sectPr>
          <w:pgSz w:w="11906" w:h="16838"/>
          <w:pgMar w:top="1417" w:right="1418"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eastAsia" w:ascii="黑体" w:hAnsi="黑体" w:eastAsia="黑体" w:cs="黑体"/>
          <w:b/>
          <w:bCs/>
          <w:color w:val="auto"/>
          <w:kern w:val="44"/>
          <w:sz w:val="30"/>
          <w:szCs w:val="30"/>
          <w:highlight w:val="none"/>
          <w:lang w:val="en-US" w:eastAsia="zh-CN" w:bidi="ar-SA"/>
        </w:rPr>
      </w:pPr>
      <w:r>
        <w:rPr>
          <w:rFonts w:hint="eastAsia" w:ascii="黑体" w:hAnsi="黑体" w:eastAsia="黑体" w:cs="黑体"/>
          <w:b/>
          <w:bCs/>
          <w:color w:val="auto"/>
          <w:kern w:val="44"/>
          <w:sz w:val="30"/>
          <w:szCs w:val="30"/>
          <w:highlight w:val="none"/>
          <w:lang w:val="en-US" w:eastAsia="zh-CN" w:bidi="ar-SA"/>
        </w:rPr>
        <w:t>四、主要环境影响和保护措施</w:t>
      </w:r>
    </w:p>
    <w:tbl>
      <w:tblPr>
        <w:tblStyle w:val="22"/>
        <w:tblW w:w="512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85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pct"/>
            <w:noWrap w:val="0"/>
            <w:tcMar>
              <w:left w:w="28" w:type="dxa"/>
              <w:right w:w="28" w:type="dxa"/>
            </w:tcMar>
            <w:vAlign w:val="center"/>
          </w:tcPr>
          <w:p>
            <w:pPr>
              <w:pStyle w:val="19"/>
              <w:adjustRightInd w:val="0"/>
              <w:snapToGrid w:val="0"/>
              <w:spacing w:before="0" w:beforeAutospacing="0" w:after="0" w:afterAutospacing="0"/>
              <w:jc w:val="center"/>
              <w:rPr>
                <w:rFonts w:hint="eastAsia" w:cs="宋体"/>
                <w:b/>
                <w:bCs/>
                <w:color w:val="auto"/>
                <w:kern w:val="2"/>
                <w:sz w:val="24"/>
                <w:szCs w:val="24"/>
                <w:highlight w:val="none"/>
              </w:rPr>
            </w:pPr>
            <w:r>
              <w:rPr>
                <w:rFonts w:hint="eastAsia" w:cs="宋体"/>
                <w:b/>
                <w:bCs/>
                <w:color w:val="auto"/>
                <w:kern w:val="2"/>
                <w:sz w:val="24"/>
                <w:szCs w:val="24"/>
                <w:highlight w:val="none"/>
              </w:rPr>
              <w:t>施工期</w:t>
            </w:r>
          </w:p>
          <w:p>
            <w:pPr>
              <w:pStyle w:val="19"/>
              <w:adjustRightInd w:val="0"/>
              <w:snapToGrid w:val="0"/>
              <w:spacing w:before="0" w:beforeAutospacing="0" w:after="0" w:afterAutospacing="0"/>
              <w:jc w:val="center"/>
              <w:rPr>
                <w:rFonts w:hint="eastAsia" w:cs="宋体"/>
                <w:b/>
                <w:bCs/>
                <w:color w:val="auto"/>
                <w:kern w:val="2"/>
                <w:sz w:val="24"/>
                <w:szCs w:val="24"/>
                <w:highlight w:val="none"/>
              </w:rPr>
            </w:pPr>
            <w:r>
              <w:rPr>
                <w:rFonts w:hint="eastAsia" w:cs="宋体"/>
                <w:b/>
                <w:bCs/>
                <w:color w:val="auto"/>
                <w:kern w:val="2"/>
                <w:sz w:val="24"/>
                <w:szCs w:val="24"/>
                <w:highlight w:val="none"/>
              </w:rPr>
              <w:t>环境保</w:t>
            </w:r>
          </w:p>
          <w:p>
            <w:pPr>
              <w:pStyle w:val="19"/>
              <w:adjustRightInd w:val="0"/>
              <w:snapToGrid w:val="0"/>
              <w:spacing w:before="0" w:beforeAutospacing="0" w:after="0" w:afterAutospacing="0"/>
              <w:jc w:val="center"/>
              <w:rPr>
                <w:rFonts w:hint="eastAsia" w:cs="宋体"/>
                <w:bCs/>
                <w:color w:val="auto"/>
                <w:kern w:val="2"/>
                <w:sz w:val="24"/>
                <w:szCs w:val="24"/>
                <w:highlight w:val="red"/>
              </w:rPr>
            </w:pPr>
            <w:r>
              <w:rPr>
                <w:rFonts w:hint="eastAsia" w:cs="宋体"/>
                <w:b/>
                <w:bCs/>
                <w:color w:val="auto"/>
                <w:kern w:val="2"/>
                <w:sz w:val="24"/>
                <w:szCs w:val="24"/>
                <w:highlight w:val="none"/>
              </w:rPr>
              <w:t>护措施</w:t>
            </w:r>
          </w:p>
        </w:tc>
        <w:tc>
          <w:tcPr>
            <w:tcW w:w="4537" w:type="pct"/>
            <w:noWrap w:val="0"/>
            <w:vAlign w:val="center"/>
          </w:tcPr>
          <w:p>
            <w:pPr>
              <w:keepNext w:val="0"/>
              <w:keepLines w:val="0"/>
              <w:pageBreakBefore w:val="0"/>
              <w:widowControl w:val="0"/>
              <w:kinsoku/>
              <w:wordWrap/>
              <w:overflowPunct/>
              <w:topLinePunct w:val="0"/>
              <w:autoSpaceDE/>
              <w:autoSpaceDN/>
              <w:bidi w:val="0"/>
              <w:spacing w:line="500" w:lineRule="exact"/>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1、施工期大气环境防治措施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环评要求建设单位应采取如下防治措施，控制施工期扬尘污染。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1）在施工过程中，施工单位应当合理安排工期，尽量避免在同一时段出现多个扬尘产生点，同时禁止在大风天气（风力4级及以上）进行易产生扬尘的施工作业，并做好扬尘部位的覆盖。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2）定期对材料堆放区进行检查，当发现材料遮盖物破损或湿度不适宜时，应及时采取更换遮盖物或洒水润湿，避免扬尘产生。对工地附近道路实行清扫作业。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3）建筑施工场地内道路和材料加工区应进行硬化，运输车辆驶出施工场地前，进行轮胎及车身的清洗。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4）施工场地内应合理设置建筑垃圾存放场地，并按规定及时收集、清运、处置垃圾；堆放、装卸、运输易产生扬尘污染的物料时，应当采取遮盖、封闭、洒水等措施，以防治扬尘污染。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5）运输过程要严格限制车速、禁止超载，以避免沿途遗撒造成的扬尘污染。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6）施工场地周围设置围挡，物料堆放全部覆盖，土方开挖全部湿法作业。</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2、施工期废水防治措施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施工废水不宜直接排放，在施工区建设沉淀池，将施工期产生的污水收集并经简易处理后用于施工场地抑尘，不外排。同时对生活区严格管理，严禁随地泼洒污水，保持生活区清洁卫生。</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3、施工期固体废物防治措施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施工过程中的建筑垃圾及生活垃圾应分别堆放，并安排专人专车及时清运或定期运至环卫部门指定的地点处置。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4、施工期噪声防治措施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为减少施工期噪声对周围环境的影响，环评要求建设单位采取以下防治措施来减轻噪声对周围环境的影响：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1）合理安排施工时间，禁止夜间（22：00-次日6：00）施工；尽可能避免高噪声设备同时施工。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2）采用低噪声设备，定期保养、维护，保持机械润滑，禁止鸣笛。</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3）在施工过程中，施工机械远离敏感点，尽可能利用噪声距离衰减措施。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cs="宋体"/>
                <w:bCs/>
                <w:color w:val="auto"/>
                <w:spacing w:val="-10"/>
                <w:sz w:val="24"/>
                <w:szCs w:val="24"/>
                <w:highlight w:val="red"/>
              </w:rPr>
            </w:pPr>
            <w:r>
              <w:rPr>
                <w:rFonts w:hint="default" w:ascii="Times New Roman" w:hAnsi="Times New Roman" w:eastAsia="宋体" w:cs="Times New Roman"/>
                <w:color w:val="auto"/>
                <w:sz w:val="24"/>
                <w:szCs w:val="24"/>
                <w:highlight w:val="none"/>
                <w:lang w:val="zh-CN"/>
              </w:rPr>
              <w:t>4）降低人为噪声，减少碰撞声。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65" w:hRule="atLeast"/>
          <w:jc w:val="center"/>
        </w:trPr>
        <w:tc>
          <w:tcPr>
            <w:tcW w:w="462" w:type="pct"/>
            <w:noWrap w:val="0"/>
            <w:tcMar>
              <w:left w:w="28" w:type="dxa"/>
              <w:right w:w="28" w:type="dxa"/>
            </w:tcMar>
            <w:vAlign w:val="center"/>
          </w:tcPr>
          <w:p>
            <w:pPr>
              <w:adjustRightInd w:val="0"/>
              <w:snapToGrid w:val="0"/>
              <w:jc w:val="center"/>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运营</w:t>
            </w:r>
          </w:p>
          <w:p>
            <w:pPr>
              <w:adjustRightInd w:val="0"/>
              <w:snapToGrid w:val="0"/>
              <w:jc w:val="center"/>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期环</w:t>
            </w:r>
          </w:p>
          <w:p>
            <w:pPr>
              <w:adjustRightInd w:val="0"/>
              <w:snapToGrid w:val="0"/>
              <w:jc w:val="center"/>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境影</w:t>
            </w:r>
          </w:p>
          <w:p>
            <w:pPr>
              <w:adjustRightInd w:val="0"/>
              <w:snapToGrid w:val="0"/>
              <w:jc w:val="center"/>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响和</w:t>
            </w:r>
          </w:p>
          <w:p>
            <w:pPr>
              <w:adjustRightInd w:val="0"/>
              <w:snapToGrid w:val="0"/>
              <w:jc w:val="center"/>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保护</w:t>
            </w:r>
          </w:p>
          <w:p>
            <w:pPr>
              <w:adjustRightInd w:val="0"/>
              <w:snapToGrid w:val="0"/>
              <w:jc w:val="center"/>
              <w:rPr>
                <w:rFonts w:ascii="宋体" w:hAnsi="宋体" w:cs="宋体"/>
                <w:bCs/>
                <w:color w:val="auto"/>
                <w:sz w:val="24"/>
                <w:szCs w:val="24"/>
                <w:highlight w:val="red"/>
              </w:rPr>
            </w:pPr>
            <w:r>
              <w:rPr>
                <w:rFonts w:hint="eastAsia" w:ascii="宋体" w:hAnsi="宋体" w:cs="宋体"/>
                <w:b/>
                <w:bCs w:val="0"/>
                <w:color w:val="auto"/>
                <w:sz w:val="24"/>
                <w:szCs w:val="24"/>
                <w:highlight w:val="none"/>
              </w:rPr>
              <w:t>措施</w:t>
            </w:r>
          </w:p>
        </w:tc>
        <w:tc>
          <w:tcPr>
            <w:tcW w:w="45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废气</w:t>
            </w:r>
            <w:r>
              <w:rPr>
                <w:rFonts w:hint="eastAsia" w:ascii="Times New Roman" w:hAnsi="Times New Roman" w:eastAsia="宋体" w:cs="Times New Roman"/>
                <w:b/>
                <w:bCs/>
                <w:color w:val="auto"/>
                <w:sz w:val="24"/>
                <w:szCs w:val="24"/>
                <w:highlight w:val="none"/>
                <w:lang w:val="en-US" w:eastAsia="zh-CN"/>
              </w:rPr>
              <w:t>环境影响分析及保护措施</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1.1废气产排污分析</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eastAsia"/>
                <w:sz w:val="24"/>
                <w:szCs w:val="24"/>
                <w:lang w:val="zh-CN" w:eastAsia="zh-CN"/>
              </w:rPr>
            </w:pPr>
            <w:r>
              <w:rPr>
                <w:rFonts w:hint="eastAsia"/>
                <w:sz w:val="24"/>
                <w:szCs w:val="24"/>
                <w:lang w:val="zh-CN" w:eastAsia="zh-CN"/>
              </w:rPr>
              <w:t>（1）</w:t>
            </w:r>
            <w:r>
              <w:rPr>
                <w:rFonts w:hint="eastAsia"/>
                <w:sz w:val="24"/>
                <w:szCs w:val="24"/>
                <w:lang w:val="en-US" w:eastAsia="zh-CN"/>
              </w:rPr>
              <w:t>煤泥烘干及落料口废气</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default"/>
                <w:sz w:val="24"/>
                <w:szCs w:val="24"/>
                <w:lang w:val="zh-CN" w:eastAsia="zh-CN"/>
              </w:rPr>
            </w:pPr>
            <w:r>
              <w:rPr>
                <w:rFonts w:hint="default"/>
                <w:sz w:val="24"/>
                <w:szCs w:val="24"/>
                <w:lang w:val="zh-CN" w:eastAsia="zh-CN"/>
              </w:rPr>
              <w:t>本项目煤泥烘干设热风炉，以外购生物质颗粒为燃料，燃烧会产生烟气，主要为烟尘、SO</w:t>
            </w:r>
            <w:r>
              <w:rPr>
                <w:rFonts w:hint="default"/>
                <w:sz w:val="24"/>
                <w:szCs w:val="24"/>
                <w:vertAlign w:val="subscript"/>
                <w:lang w:val="zh-CN" w:eastAsia="zh-CN"/>
              </w:rPr>
              <w:t>2</w:t>
            </w:r>
            <w:r>
              <w:rPr>
                <w:rFonts w:hint="default"/>
                <w:sz w:val="24"/>
                <w:szCs w:val="24"/>
                <w:lang w:val="zh-CN" w:eastAsia="zh-CN"/>
              </w:rPr>
              <w:t>、NOx。</w:t>
            </w:r>
            <w:r>
              <w:rPr>
                <w:rFonts w:hint="eastAsia"/>
                <w:sz w:val="24"/>
                <w:szCs w:val="24"/>
                <w:lang w:val="zh-CN" w:eastAsia="zh-CN"/>
              </w:rPr>
              <w:t>本项目成型</w:t>
            </w:r>
            <w:r>
              <w:rPr>
                <w:rFonts w:hint="default"/>
                <w:sz w:val="24"/>
                <w:szCs w:val="24"/>
                <w:lang w:val="zh-CN" w:eastAsia="zh-CN"/>
              </w:rPr>
              <w:t>生物质燃料的低位发热量为4</w:t>
            </w:r>
            <w:r>
              <w:rPr>
                <w:rFonts w:hint="eastAsia"/>
                <w:sz w:val="24"/>
                <w:szCs w:val="24"/>
                <w:lang w:val="en-US" w:eastAsia="zh-CN"/>
              </w:rPr>
              <w:t>248</w:t>
            </w:r>
            <w:r>
              <w:rPr>
                <w:rFonts w:hint="default"/>
                <w:sz w:val="24"/>
                <w:szCs w:val="24"/>
                <w:lang w:val="zh-CN" w:eastAsia="zh-CN"/>
              </w:rPr>
              <w:t>大卡/千克，则</w:t>
            </w:r>
            <w:r>
              <w:rPr>
                <w:rFonts w:hint="eastAsia"/>
                <w:sz w:val="24"/>
                <w:szCs w:val="24"/>
                <w:lang w:val="en-US" w:eastAsia="zh-CN"/>
              </w:rPr>
              <w:t>3</w:t>
            </w:r>
            <w:r>
              <w:rPr>
                <w:rFonts w:hint="default"/>
                <w:sz w:val="24"/>
                <w:szCs w:val="24"/>
                <w:lang w:val="zh-CN" w:eastAsia="zh-CN"/>
              </w:rPr>
              <w:t>00万大卡热风炉每小时消耗生物质燃料</w:t>
            </w:r>
            <w:r>
              <w:rPr>
                <w:rFonts w:hint="eastAsia"/>
                <w:sz w:val="24"/>
                <w:szCs w:val="24"/>
                <w:lang w:val="en-US" w:eastAsia="zh-CN"/>
              </w:rPr>
              <w:t>706.3</w:t>
            </w:r>
            <w:r>
              <w:rPr>
                <w:rFonts w:hint="default"/>
                <w:sz w:val="24"/>
                <w:szCs w:val="24"/>
                <w:lang w:val="zh-CN" w:eastAsia="zh-CN"/>
              </w:rPr>
              <w:t>kg，热风炉年运行时间为</w:t>
            </w:r>
            <w:r>
              <w:rPr>
                <w:rFonts w:hint="eastAsia"/>
                <w:sz w:val="24"/>
                <w:szCs w:val="24"/>
                <w:lang w:val="en-US" w:eastAsia="zh-CN"/>
              </w:rPr>
              <w:t>5280</w:t>
            </w:r>
            <w:r>
              <w:rPr>
                <w:rFonts w:hint="default"/>
                <w:sz w:val="24"/>
                <w:szCs w:val="24"/>
                <w:lang w:val="zh-CN" w:eastAsia="zh-CN"/>
              </w:rPr>
              <w:t>h，则生物质燃料消耗量约</w:t>
            </w:r>
            <w:r>
              <w:rPr>
                <w:rFonts w:hint="eastAsia"/>
                <w:sz w:val="24"/>
                <w:szCs w:val="24"/>
                <w:lang w:val="en-US" w:eastAsia="zh-CN"/>
              </w:rPr>
              <w:t>3730</w:t>
            </w:r>
            <w:r>
              <w:rPr>
                <w:rFonts w:hint="default"/>
                <w:sz w:val="24"/>
                <w:szCs w:val="24"/>
                <w:lang w:val="zh-CN" w:eastAsia="zh-CN"/>
              </w:rPr>
              <w:t>t/a。</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default"/>
                <w:sz w:val="24"/>
                <w:szCs w:val="24"/>
                <w:lang w:val="zh-CN" w:eastAsia="zh-CN"/>
              </w:rPr>
            </w:pPr>
            <w:r>
              <w:rPr>
                <w:rFonts w:hint="default"/>
                <w:sz w:val="24"/>
                <w:szCs w:val="24"/>
                <w:lang w:val="zh-CN" w:eastAsia="zh-CN"/>
              </w:rPr>
              <w:t>根据第二次污染源普查（4430）热力生产与供应中层燃炉产排污系数可知，每燃烧1t生物质燃料，颗粒物产生量为</w:t>
            </w:r>
            <w:r>
              <w:rPr>
                <w:rFonts w:hint="eastAsia"/>
                <w:sz w:val="24"/>
                <w:szCs w:val="24"/>
                <w:lang w:val="en-US" w:eastAsia="zh-CN"/>
              </w:rPr>
              <w:t>0.5</w:t>
            </w:r>
            <w:r>
              <w:rPr>
                <w:rFonts w:hint="default"/>
                <w:sz w:val="24"/>
                <w:szCs w:val="24"/>
                <w:lang w:val="zh-CN" w:eastAsia="zh-CN"/>
              </w:rPr>
              <w:t>kg，SO</w:t>
            </w:r>
            <w:r>
              <w:rPr>
                <w:rFonts w:hint="default"/>
                <w:sz w:val="24"/>
                <w:szCs w:val="24"/>
                <w:vertAlign w:val="subscript"/>
                <w:lang w:val="zh-CN" w:eastAsia="zh-CN"/>
              </w:rPr>
              <w:t>2</w:t>
            </w:r>
            <w:r>
              <w:rPr>
                <w:rFonts w:hint="default"/>
                <w:sz w:val="24"/>
                <w:szCs w:val="24"/>
                <w:lang w:val="zh-CN" w:eastAsia="zh-CN"/>
              </w:rPr>
              <w:t>产生量为17Skg（S取0.</w:t>
            </w:r>
            <w:r>
              <w:rPr>
                <w:rFonts w:hint="eastAsia"/>
                <w:sz w:val="24"/>
                <w:szCs w:val="24"/>
                <w:lang w:val="en-US" w:eastAsia="zh-CN"/>
              </w:rPr>
              <w:t>04</w:t>
            </w:r>
            <w:r>
              <w:rPr>
                <w:rFonts w:hint="default"/>
                <w:sz w:val="24"/>
                <w:szCs w:val="24"/>
                <w:lang w:val="zh-CN" w:eastAsia="zh-CN"/>
              </w:rPr>
              <w:t>），NO</w:t>
            </w:r>
            <w:r>
              <w:rPr>
                <w:rFonts w:hint="default"/>
                <w:sz w:val="24"/>
                <w:szCs w:val="24"/>
                <w:vertAlign w:val="subscript"/>
                <w:lang w:val="zh-CN" w:eastAsia="zh-CN"/>
              </w:rPr>
              <w:t>X</w:t>
            </w:r>
            <w:r>
              <w:rPr>
                <w:rFonts w:hint="default"/>
                <w:sz w:val="24"/>
                <w:szCs w:val="24"/>
                <w:lang w:val="zh-CN" w:eastAsia="zh-CN"/>
              </w:rPr>
              <w:t>产生量1.02kg，经计算，烟尘产生量为</w:t>
            </w:r>
            <w:r>
              <w:rPr>
                <w:rFonts w:hint="eastAsia"/>
                <w:sz w:val="24"/>
                <w:szCs w:val="24"/>
                <w:lang w:val="en-US" w:eastAsia="zh-CN"/>
              </w:rPr>
              <w:t>0.5</w:t>
            </w:r>
            <w:r>
              <w:rPr>
                <w:rFonts w:hint="default"/>
                <w:sz w:val="24"/>
                <w:szCs w:val="24"/>
                <w:lang w:val="zh-CN" w:eastAsia="zh-CN"/>
              </w:rPr>
              <w:t>×</w:t>
            </w:r>
            <w:r>
              <w:rPr>
                <w:rFonts w:hint="eastAsia"/>
                <w:sz w:val="24"/>
                <w:szCs w:val="24"/>
                <w:lang w:val="en-US" w:eastAsia="zh-CN"/>
              </w:rPr>
              <w:t>3730</w:t>
            </w:r>
            <w:r>
              <w:rPr>
                <w:rFonts w:hint="default"/>
                <w:sz w:val="24"/>
                <w:szCs w:val="24"/>
                <w:lang w:val="zh-CN" w:eastAsia="zh-CN"/>
              </w:rPr>
              <w:t>/1000=</w:t>
            </w:r>
            <w:r>
              <w:rPr>
                <w:rFonts w:hint="eastAsia"/>
                <w:sz w:val="24"/>
                <w:szCs w:val="24"/>
                <w:lang w:val="en-US" w:eastAsia="zh-CN"/>
              </w:rPr>
              <w:t>1.87</w:t>
            </w:r>
            <w:r>
              <w:rPr>
                <w:rFonts w:hint="default"/>
                <w:sz w:val="24"/>
                <w:szCs w:val="24"/>
                <w:lang w:val="zh-CN" w:eastAsia="zh-CN"/>
              </w:rPr>
              <w:t>t/a、</w:t>
            </w:r>
            <w:r>
              <w:rPr>
                <w:rFonts w:hint="eastAsia"/>
                <w:sz w:val="24"/>
                <w:szCs w:val="24"/>
                <w:lang w:val="en-US" w:eastAsia="zh-CN"/>
              </w:rPr>
              <w:t>0.35</w:t>
            </w:r>
            <w:r>
              <w:rPr>
                <w:rFonts w:hint="default"/>
                <w:sz w:val="24"/>
                <w:szCs w:val="24"/>
                <w:lang w:val="zh-CN" w:eastAsia="zh-CN"/>
              </w:rPr>
              <w:t>kg/h；SO</w:t>
            </w:r>
            <w:r>
              <w:rPr>
                <w:rFonts w:hint="default"/>
                <w:sz w:val="24"/>
                <w:szCs w:val="24"/>
                <w:vertAlign w:val="subscript"/>
                <w:lang w:val="zh-CN" w:eastAsia="zh-CN"/>
              </w:rPr>
              <w:t>2</w:t>
            </w:r>
            <w:r>
              <w:rPr>
                <w:rFonts w:hint="default"/>
                <w:sz w:val="24"/>
                <w:szCs w:val="24"/>
                <w:lang w:val="zh-CN" w:eastAsia="zh-CN"/>
              </w:rPr>
              <w:t>产生量为17×0.</w:t>
            </w:r>
            <w:r>
              <w:rPr>
                <w:rFonts w:hint="eastAsia"/>
                <w:sz w:val="24"/>
                <w:szCs w:val="24"/>
                <w:lang w:val="en-US" w:eastAsia="zh-CN"/>
              </w:rPr>
              <w:t>04</w:t>
            </w:r>
            <w:r>
              <w:rPr>
                <w:rFonts w:hint="default"/>
                <w:sz w:val="24"/>
                <w:szCs w:val="24"/>
                <w:lang w:val="zh-CN" w:eastAsia="zh-CN"/>
              </w:rPr>
              <w:t>×</w:t>
            </w:r>
            <w:r>
              <w:rPr>
                <w:rFonts w:hint="eastAsia"/>
                <w:sz w:val="24"/>
                <w:szCs w:val="24"/>
                <w:lang w:val="en-US" w:eastAsia="zh-CN"/>
              </w:rPr>
              <w:t>3730</w:t>
            </w:r>
            <w:r>
              <w:rPr>
                <w:rFonts w:hint="default"/>
                <w:sz w:val="24"/>
                <w:szCs w:val="24"/>
                <w:lang w:val="zh-CN" w:eastAsia="zh-CN"/>
              </w:rPr>
              <w:t>/1000=</w:t>
            </w:r>
            <w:r>
              <w:rPr>
                <w:rFonts w:hint="eastAsia"/>
                <w:sz w:val="24"/>
                <w:szCs w:val="24"/>
                <w:lang w:val="en-US" w:eastAsia="zh-CN"/>
              </w:rPr>
              <w:t>2.54</w:t>
            </w:r>
            <w:r>
              <w:rPr>
                <w:rFonts w:hint="default"/>
                <w:sz w:val="24"/>
                <w:szCs w:val="24"/>
                <w:lang w:val="zh-CN" w:eastAsia="zh-CN"/>
              </w:rPr>
              <w:t>t/a、</w:t>
            </w:r>
            <w:r>
              <w:rPr>
                <w:rFonts w:hint="eastAsia"/>
                <w:sz w:val="24"/>
                <w:szCs w:val="24"/>
                <w:lang w:val="en-US" w:eastAsia="zh-CN"/>
              </w:rPr>
              <w:t>0.48</w:t>
            </w:r>
            <w:r>
              <w:rPr>
                <w:rFonts w:hint="default"/>
                <w:sz w:val="24"/>
                <w:szCs w:val="24"/>
                <w:lang w:val="zh-CN" w:eastAsia="zh-CN"/>
              </w:rPr>
              <w:t>kg/h；NO</w:t>
            </w:r>
            <w:r>
              <w:rPr>
                <w:rFonts w:hint="default"/>
                <w:sz w:val="24"/>
                <w:szCs w:val="24"/>
                <w:vertAlign w:val="subscript"/>
                <w:lang w:val="zh-CN" w:eastAsia="zh-CN"/>
              </w:rPr>
              <w:t>X</w:t>
            </w:r>
            <w:r>
              <w:rPr>
                <w:rFonts w:hint="default"/>
                <w:sz w:val="24"/>
                <w:szCs w:val="24"/>
                <w:lang w:val="zh-CN" w:eastAsia="zh-CN"/>
              </w:rPr>
              <w:t>产生量为1.02×</w:t>
            </w:r>
            <w:r>
              <w:rPr>
                <w:rFonts w:hint="eastAsia"/>
                <w:sz w:val="24"/>
                <w:szCs w:val="24"/>
                <w:lang w:val="en-US" w:eastAsia="zh-CN"/>
              </w:rPr>
              <w:t>3730</w:t>
            </w:r>
            <w:r>
              <w:rPr>
                <w:rFonts w:hint="default"/>
                <w:sz w:val="24"/>
                <w:szCs w:val="24"/>
                <w:lang w:val="zh-CN" w:eastAsia="zh-CN"/>
              </w:rPr>
              <w:t>/1000=</w:t>
            </w:r>
            <w:r>
              <w:rPr>
                <w:rFonts w:hint="eastAsia"/>
                <w:sz w:val="24"/>
                <w:szCs w:val="24"/>
                <w:lang w:val="en-US" w:eastAsia="zh-CN"/>
              </w:rPr>
              <w:t>3.81</w:t>
            </w:r>
            <w:r>
              <w:rPr>
                <w:rFonts w:hint="default"/>
                <w:sz w:val="24"/>
                <w:szCs w:val="24"/>
                <w:lang w:val="zh-CN" w:eastAsia="zh-CN"/>
              </w:rPr>
              <w:t>t/a、</w:t>
            </w:r>
            <w:r>
              <w:rPr>
                <w:rFonts w:hint="eastAsia"/>
                <w:sz w:val="24"/>
                <w:szCs w:val="24"/>
                <w:lang w:val="en-US" w:eastAsia="zh-CN"/>
              </w:rPr>
              <w:t>0.72</w:t>
            </w:r>
            <w:r>
              <w:rPr>
                <w:rFonts w:hint="default"/>
                <w:sz w:val="24"/>
                <w:szCs w:val="24"/>
                <w:lang w:val="zh-CN" w:eastAsia="zh-CN"/>
              </w:rPr>
              <w:t>kg/h。</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default"/>
                <w:sz w:val="24"/>
                <w:szCs w:val="24"/>
                <w:highlight w:val="none"/>
                <w:lang w:val="zh-CN" w:eastAsia="zh-CN"/>
              </w:rPr>
            </w:pPr>
            <w:r>
              <w:rPr>
                <w:rFonts w:hint="default"/>
                <w:sz w:val="24"/>
                <w:szCs w:val="24"/>
                <w:highlight w:val="none"/>
                <w:lang w:val="zh-CN" w:eastAsia="zh-CN"/>
              </w:rPr>
              <w:t>项目年消耗湿煤泥约</w:t>
            </w:r>
            <w:r>
              <w:rPr>
                <w:rFonts w:hint="eastAsia"/>
                <w:sz w:val="24"/>
                <w:szCs w:val="24"/>
                <w:highlight w:val="none"/>
                <w:lang w:val="en-US" w:eastAsia="zh-CN"/>
              </w:rPr>
              <w:t>15</w:t>
            </w:r>
            <w:r>
              <w:rPr>
                <w:rFonts w:hint="default"/>
                <w:sz w:val="24"/>
                <w:szCs w:val="24"/>
                <w:highlight w:val="none"/>
                <w:lang w:val="zh-CN" w:eastAsia="zh-CN"/>
              </w:rPr>
              <w:t>万t/a，煤泥烘干</w:t>
            </w:r>
            <w:r>
              <w:rPr>
                <w:rFonts w:hint="eastAsia"/>
                <w:sz w:val="24"/>
                <w:szCs w:val="24"/>
                <w:highlight w:val="none"/>
                <w:lang w:val="zh-CN" w:eastAsia="zh-CN"/>
              </w:rPr>
              <w:t>和</w:t>
            </w:r>
            <w:r>
              <w:rPr>
                <w:rFonts w:hint="default"/>
                <w:sz w:val="24"/>
                <w:szCs w:val="24"/>
                <w:highlight w:val="none"/>
                <w:lang w:val="zh-CN" w:eastAsia="zh-CN"/>
              </w:rPr>
              <w:t>出口落料过程的粉尘产生量约为0.1%左右，粉尘年产生量为</w:t>
            </w:r>
            <w:r>
              <w:rPr>
                <w:rFonts w:hint="eastAsia"/>
                <w:sz w:val="24"/>
                <w:szCs w:val="24"/>
                <w:highlight w:val="none"/>
                <w:lang w:val="en-US" w:eastAsia="zh-CN"/>
              </w:rPr>
              <w:t>15</w:t>
            </w:r>
            <w:r>
              <w:rPr>
                <w:rFonts w:hint="default"/>
                <w:sz w:val="24"/>
                <w:szCs w:val="24"/>
                <w:highlight w:val="none"/>
                <w:lang w:val="zh-CN" w:eastAsia="zh-CN"/>
              </w:rPr>
              <w:t>0t/a（</w:t>
            </w:r>
            <w:r>
              <w:rPr>
                <w:rFonts w:hint="eastAsia"/>
                <w:sz w:val="24"/>
                <w:szCs w:val="24"/>
                <w:highlight w:val="none"/>
                <w:lang w:val="en-US" w:eastAsia="zh-CN"/>
              </w:rPr>
              <w:t>28.4</w:t>
            </w:r>
            <w:r>
              <w:rPr>
                <w:rFonts w:hint="default"/>
                <w:sz w:val="24"/>
                <w:szCs w:val="24"/>
                <w:highlight w:val="none"/>
                <w:lang w:val="zh-CN" w:eastAsia="zh-CN"/>
              </w:rPr>
              <w:t>kg/h）。</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default"/>
                <w:sz w:val="24"/>
                <w:szCs w:val="24"/>
                <w:highlight w:val="red"/>
                <w:lang w:val="zh-CN" w:eastAsia="zh-CN"/>
              </w:rPr>
            </w:pPr>
            <w:r>
              <w:rPr>
                <w:rFonts w:hint="default"/>
                <w:sz w:val="24"/>
                <w:szCs w:val="24"/>
                <w:highlight w:val="none"/>
                <w:lang w:val="zh-CN" w:eastAsia="zh-CN"/>
              </w:rPr>
              <w:t>生物质燃烧烟气与烘干过程中产生的含尘水气混合，末端引风机风量为</w:t>
            </w:r>
            <w:r>
              <w:rPr>
                <w:rFonts w:hint="eastAsia" w:cs="宋体"/>
                <w:bCs/>
                <w:color w:val="auto"/>
                <w:sz w:val="24"/>
                <w:szCs w:val="24"/>
                <w:highlight w:val="none"/>
                <w:lang w:val="en-US" w:eastAsia="zh-CN" w:bidi="ar"/>
              </w:rPr>
              <w:t>380</w:t>
            </w:r>
            <w:r>
              <w:rPr>
                <w:rFonts w:hint="eastAsia" w:cs="宋体"/>
                <w:bCs/>
                <w:color w:val="auto"/>
                <w:sz w:val="24"/>
                <w:szCs w:val="24"/>
                <w:highlight w:val="none"/>
                <w:lang w:val="zh-CN" w:eastAsia="zh-CN" w:bidi="ar"/>
              </w:rPr>
              <w:t>00m</w:t>
            </w:r>
            <w:r>
              <w:rPr>
                <w:rFonts w:hint="eastAsia" w:cs="宋体"/>
                <w:bCs/>
                <w:color w:val="auto"/>
                <w:sz w:val="24"/>
                <w:szCs w:val="24"/>
                <w:highlight w:val="none"/>
                <w:vertAlign w:val="superscript"/>
                <w:lang w:val="zh-CN" w:eastAsia="zh-CN" w:bidi="ar"/>
              </w:rPr>
              <w:t>3</w:t>
            </w:r>
            <w:r>
              <w:rPr>
                <w:rFonts w:hint="eastAsia" w:cs="宋体"/>
                <w:bCs/>
                <w:color w:val="auto"/>
                <w:sz w:val="24"/>
                <w:szCs w:val="24"/>
                <w:highlight w:val="none"/>
                <w:lang w:val="zh-CN" w:eastAsia="zh-CN" w:bidi="ar"/>
              </w:rPr>
              <w:t>/h（</w:t>
            </w:r>
            <w:r>
              <w:rPr>
                <w:rFonts w:hint="eastAsia" w:cs="宋体"/>
                <w:bCs/>
                <w:color w:val="auto"/>
                <w:sz w:val="24"/>
                <w:szCs w:val="24"/>
                <w:highlight w:val="none"/>
                <w:lang w:val="en-US" w:eastAsia="zh-CN" w:bidi="ar"/>
              </w:rPr>
              <w:t>265</w:t>
            </w:r>
            <w:r>
              <w:rPr>
                <w:rFonts w:hint="eastAsia" w:cs="宋体"/>
                <w:bCs/>
                <w:color w:val="auto"/>
                <w:sz w:val="24"/>
                <w:szCs w:val="24"/>
                <w:highlight w:val="none"/>
                <w:lang w:val="zh-CN" w:eastAsia="zh-CN" w:bidi="ar"/>
              </w:rPr>
              <w:t>0</w:t>
            </w:r>
            <w:r>
              <w:rPr>
                <w:rFonts w:hint="eastAsia" w:cs="宋体"/>
                <w:bCs/>
                <w:color w:val="auto"/>
                <w:sz w:val="24"/>
                <w:szCs w:val="24"/>
                <w:highlight w:val="none"/>
                <w:lang w:val="en-US" w:eastAsia="zh-CN" w:bidi="ar"/>
              </w:rPr>
              <w:t>0N</w:t>
            </w:r>
            <w:r>
              <w:rPr>
                <w:rFonts w:hint="eastAsia" w:cs="宋体"/>
                <w:bCs/>
                <w:color w:val="auto"/>
                <w:sz w:val="24"/>
                <w:szCs w:val="24"/>
                <w:highlight w:val="none"/>
                <w:lang w:val="zh-CN" w:eastAsia="zh-CN" w:bidi="ar"/>
              </w:rPr>
              <w:t>m</w:t>
            </w:r>
            <w:r>
              <w:rPr>
                <w:rFonts w:hint="eastAsia" w:cs="宋体"/>
                <w:bCs/>
                <w:color w:val="auto"/>
                <w:sz w:val="24"/>
                <w:szCs w:val="24"/>
                <w:highlight w:val="none"/>
                <w:vertAlign w:val="superscript"/>
                <w:lang w:val="zh-CN" w:eastAsia="zh-CN" w:bidi="ar"/>
              </w:rPr>
              <w:t>3</w:t>
            </w:r>
            <w:r>
              <w:rPr>
                <w:rFonts w:hint="eastAsia" w:cs="宋体"/>
                <w:bCs/>
                <w:color w:val="auto"/>
                <w:sz w:val="24"/>
                <w:szCs w:val="24"/>
                <w:highlight w:val="none"/>
                <w:lang w:val="zh-CN" w:eastAsia="zh-CN" w:bidi="ar"/>
              </w:rPr>
              <w:t>/h）</w:t>
            </w:r>
            <w:r>
              <w:rPr>
                <w:rFonts w:hint="default"/>
                <w:sz w:val="24"/>
                <w:szCs w:val="24"/>
                <w:highlight w:val="none"/>
                <w:lang w:val="zh-CN" w:eastAsia="zh-CN"/>
              </w:rPr>
              <w:t>。经计算，混合后烟气中颗粒物产生量为：</w:t>
            </w:r>
            <w:r>
              <w:rPr>
                <w:rFonts w:hint="eastAsia"/>
                <w:sz w:val="24"/>
                <w:szCs w:val="24"/>
                <w:highlight w:val="none"/>
                <w:lang w:val="en-US" w:eastAsia="zh-CN"/>
              </w:rPr>
              <w:t>1.87</w:t>
            </w:r>
            <w:r>
              <w:rPr>
                <w:rFonts w:hint="default"/>
                <w:sz w:val="24"/>
                <w:szCs w:val="24"/>
                <w:highlight w:val="none"/>
                <w:lang w:val="zh-CN" w:eastAsia="zh-CN"/>
              </w:rPr>
              <w:t>+</w:t>
            </w:r>
            <w:r>
              <w:rPr>
                <w:rFonts w:hint="eastAsia"/>
                <w:sz w:val="24"/>
                <w:szCs w:val="24"/>
                <w:highlight w:val="none"/>
                <w:lang w:val="en-US" w:eastAsia="zh-CN"/>
              </w:rPr>
              <w:t>150</w:t>
            </w:r>
            <w:r>
              <w:rPr>
                <w:rFonts w:hint="default"/>
                <w:sz w:val="24"/>
                <w:szCs w:val="24"/>
                <w:highlight w:val="none"/>
                <w:lang w:val="zh-CN" w:eastAsia="zh-CN"/>
              </w:rPr>
              <w:t>=</w:t>
            </w:r>
            <w:r>
              <w:rPr>
                <w:rFonts w:hint="eastAsia"/>
                <w:sz w:val="24"/>
                <w:szCs w:val="24"/>
                <w:highlight w:val="none"/>
                <w:lang w:val="en-US" w:eastAsia="zh-CN"/>
              </w:rPr>
              <w:t>151.87</w:t>
            </w:r>
            <w:r>
              <w:rPr>
                <w:rFonts w:hint="default"/>
                <w:sz w:val="24"/>
                <w:szCs w:val="24"/>
                <w:highlight w:val="none"/>
                <w:lang w:val="zh-CN" w:eastAsia="zh-CN"/>
              </w:rPr>
              <w:t>t/a（</w:t>
            </w:r>
            <w:r>
              <w:rPr>
                <w:rFonts w:hint="eastAsia"/>
                <w:sz w:val="24"/>
                <w:szCs w:val="24"/>
                <w:highlight w:val="none"/>
                <w:lang w:val="en-US" w:eastAsia="zh-CN"/>
              </w:rPr>
              <w:t>28.8</w:t>
            </w:r>
            <w:r>
              <w:rPr>
                <w:rFonts w:hint="default"/>
                <w:sz w:val="24"/>
                <w:szCs w:val="24"/>
                <w:highlight w:val="none"/>
                <w:lang w:val="zh-CN" w:eastAsia="zh-CN"/>
              </w:rPr>
              <w:t>kg/h），产生浓度为</w:t>
            </w:r>
            <w:r>
              <w:rPr>
                <w:rFonts w:hint="eastAsia"/>
                <w:sz w:val="24"/>
                <w:szCs w:val="24"/>
                <w:highlight w:val="none"/>
                <w:lang w:val="en-US" w:eastAsia="zh-CN"/>
              </w:rPr>
              <w:t>28.8</w:t>
            </w:r>
            <w:r>
              <w:rPr>
                <w:rFonts w:hint="default"/>
                <w:sz w:val="24"/>
                <w:szCs w:val="24"/>
                <w:highlight w:val="none"/>
                <w:lang w:val="zh-CN" w:eastAsia="zh-CN"/>
              </w:rPr>
              <w:t>/</w:t>
            </w:r>
            <w:r>
              <w:rPr>
                <w:rFonts w:hint="eastAsia"/>
                <w:sz w:val="24"/>
                <w:szCs w:val="24"/>
                <w:highlight w:val="none"/>
                <w:lang w:val="en-US" w:eastAsia="zh-CN"/>
              </w:rPr>
              <w:t>26500</w:t>
            </w:r>
            <w:r>
              <w:rPr>
                <w:rFonts w:hint="default"/>
                <w:sz w:val="24"/>
                <w:szCs w:val="24"/>
                <w:highlight w:val="none"/>
                <w:lang w:val="zh-CN" w:eastAsia="zh-CN"/>
              </w:rPr>
              <w:t>×10</w:t>
            </w:r>
            <w:r>
              <w:rPr>
                <w:rFonts w:hint="default"/>
                <w:sz w:val="24"/>
                <w:szCs w:val="24"/>
                <w:highlight w:val="none"/>
                <w:vertAlign w:val="superscript"/>
                <w:lang w:val="zh-CN" w:eastAsia="zh-CN"/>
              </w:rPr>
              <w:t>6</w:t>
            </w:r>
            <w:r>
              <w:rPr>
                <w:rFonts w:hint="default"/>
                <w:sz w:val="24"/>
                <w:szCs w:val="24"/>
                <w:highlight w:val="none"/>
                <w:lang w:val="zh-CN" w:eastAsia="zh-CN"/>
              </w:rPr>
              <w:t>=</w:t>
            </w:r>
            <w:r>
              <w:rPr>
                <w:rFonts w:hint="eastAsia"/>
                <w:sz w:val="24"/>
                <w:szCs w:val="24"/>
                <w:highlight w:val="none"/>
                <w:lang w:val="en-US" w:eastAsia="zh-CN"/>
              </w:rPr>
              <w:t>1087</w:t>
            </w:r>
            <w:r>
              <w:rPr>
                <w:rFonts w:hint="default"/>
                <w:sz w:val="24"/>
                <w:szCs w:val="24"/>
                <w:highlight w:val="none"/>
                <w:lang w:val="zh-CN" w:eastAsia="zh-CN"/>
              </w:rPr>
              <w:t>mg/</w:t>
            </w:r>
            <w:r>
              <w:rPr>
                <w:rFonts w:hint="eastAsia" w:cs="宋体"/>
                <w:bCs/>
                <w:color w:val="auto"/>
                <w:sz w:val="24"/>
                <w:szCs w:val="24"/>
                <w:highlight w:val="none"/>
                <w:lang w:val="en-US" w:eastAsia="zh-CN" w:bidi="ar"/>
              </w:rPr>
              <w:t>N</w:t>
            </w:r>
            <w:r>
              <w:rPr>
                <w:rFonts w:hint="default"/>
                <w:sz w:val="24"/>
                <w:szCs w:val="24"/>
                <w:highlight w:val="none"/>
                <w:lang w:val="zh-CN" w:eastAsia="zh-CN"/>
              </w:rPr>
              <w:t>m</w:t>
            </w:r>
            <w:r>
              <w:rPr>
                <w:rFonts w:hint="default"/>
                <w:sz w:val="24"/>
                <w:szCs w:val="24"/>
                <w:highlight w:val="none"/>
                <w:vertAlign w:val="superscript"/>
                <w:lang w:val="zh-CN" w:eastAsia="zh-CN"/>
              </w:rPr>
              <w:t>3</w:t>
            </w:r>
            <w:r>
              <w:rPr>
                <w:rFonts w:hint="default"/>
                <w:sz w:val="24"/>
                <w:szCs w:val="24"/>
                <w:highlight w:val="none"/>
                <w:lang w:val="zh-CN" w:eastAsia="zh-CN"/>
              </w:rPr>
              <w:t>；SO</w:t>
            </w:r>
            <w:r>
              <w:rPr>
                <w:rFonts w:hint="default"/>
                <w:sz w:val="24"/>
                <w:szCs w:val="24"/>
                <w:highlight w:val="none"/>
                <w:vertAlign w:val="subscript"/>
                <w:lang w:val="zh-CN" w:eastAsia="zh-CN"/>
              </w:rPr>
              <w:t>2</w:t>
            </w:r>
            <w:r>
              <w:rPr>
                <w:rFonts w:hint="default"/>
                <w:sz w:val="24"/>
                <w:szCs w:val="24"/>
                <w:highlight w:val="none"/>
                <w:lang w:val="zh-CN" w:eastAsia="zh-CN"/>
              </w:rPr>
              <w:t>产生浓度为</w:t>
            </w:r>
            <w:r>
              <w:rPr>
                <w:rFonts w:hint="eastAsia"/>
                <w:sz w:val="24"/>
                <w:szCs w:val="24"/>
                <w:highlight w:val="none"/>
                <w:lang w:val="en-US" w:eastAsia="zh-CN"/>
              </w:rPr>
              <w:t>0.48</w:t>
            </w:r>
            <w:r>
              <w:rPr>
                <w:rFonts w:hint="default"/>
                <w:sz w:val="24"/>
                <w:szCs w:val="24"/>
                <w:highlight w:val="none"/>
                <w:lang w:val="zh-CN" w:eastAsia="zh-CN"/>
              </w:rPr>
              <w:t>/</w:t>
            </w:r>
            <w:r>
              <w:rPr>
                <w:rFonts w:hint="eastAsia"/>
                <w:sz w:val="24"/>
                <w:szCs w:val="24"/>
                <w:highlight w:val="none"/>
                <w:lang w:val="en-US" w:eastAsia="zh-CN"/>
              </w:rPr>
              <w:t>265</w:t>
            </w:r>
            <w:r>
              <w:rPr>
                <w:rFonts w:hint="default"/>
                <w:sz w:val="24"/>
                <w:szCs w:val="24"/>
                <w:highlight w:val="none"/>
                <w:lang w:val="zh-CN" w:eastAsia="zh-CN"/>
              </w:rPr>
              <w:t>00×10</w:t>
            </w:r>
            <w:r>
              <w:rPr>
                <w:rFonts w:hint="default"/>
                <w:sz w:val="24"/>
                <w:szCs w:val="24"/>
                <w:highlight w:val="none"/>
                <w:vertAlign w:val="superscript"/>
                <w:lang w:val="zh-CN" w:eastAsia="zh-CN"/>
              </w:rPr>
              <w:t>6</w:t>
            </w:r>
            <w:r>
              <w:rPr>
                <w:rFonts w:hint="default"/>
                <w:sz w:val="24"/>
                <w:szCs w:val="24"/>
                <w:highlight w:val="none"/>
                <w:lang w:val="zh-CN" w:eastAsia="zh-CN"/>
              </w:rPr>
              <w:t>=</w:t>
            </w:r>
            <w:r>
              <w:rPr>
                <w:rFonts w:hint="eastAsia"/>
                <w:sz w:val="24"/>
                <w:szCs w:val="24"/>
                <w:highlight w:val="none"/>
                <w:lang w:val="en-US" w:eastAsia="zh-CN"/>
              </w:rPr>
              <w:t>18.1</w:t>
            </w:r>
            <w:r>
              <w:rPr>
                <w:rFonts w:hint="default"/>
                <w:sz w:val="24"/>
                <w:szCs w:val="24"/>
                <w:highlight w:val="none"/>
                <w:lang w:val="zh-CN" w:eastAsia="zh-CN"/>
              </w:rPr>
              <w:t>mg/</w:t>
            </w:r>
            <w:r>
              <w:rPr>
                <w:rFonts w:hint="eastAsia" w:cs="宋体"/>
                <w:bCs/>
                <w:color w:val="auto"/>
                <w:sz w:val="24"/>
                <w:szCs w:val="24"/>
                <w:highlight w:val="none"/>
                <w:lang w:val="en-US" w:eastAsia="zh-CN" w:bidi="ar"/>
              </w:rPr>
              <w:t>N</w:t>
            </w:r>
            <w:r>
              <w:rPr>
                <w:rFonts w:hint="default" w:ascii="Times New Roman" w:hAnsi="Times New Roman" w:eastAsia="宋体" w:cs="Times New Roman"/>
                <w:color w:val="auto"/>
                <w:sz w:val="24"/>
                <w:szCs w:val="24"/>
                <w:lang w:bidi="zh-CN"/>
              </w:rPr>
              <w:t>m</w:t>
            </w:r>
            <w:r>
              <w:rPr>
                <w:rFonts w:hint="default" w:ascii="Times New Roman" w:hAnsi="Times New Roman" w:eastAsia="宋体" w:cs="Times New Roman"/>
                <w:color w:val="auto"/>
                <w:sz w:val="24"/>
                <w:szCs w:val="24"/>
                <w:vertAlign w:val="superscript"/>
                <w:lang w:bidi="zh-CN"/>
              </w:rPr>
              <w:t>3</w:t>
            </w:r>
            <w:r>
              <w:rPr>
                <w:rFonts w:hint="default"/>
                <w:sz w:val="24"/>
                <w:szCs w:val="24"/>
                <w:highlight w:val="none"/>
                <w:lang w:val="zh-CN" w:eastAsia="zh-CN"/>
              </w:rPr>
              <w:t>；NO</w:t>
            </w:r>
            <w:r>
              <w:rPr>
                <w:rFonts w:hint="default"/>
                <w:sz w:val="24"/>
                <w:szCs w:val="24"/>
                <w:highlight w:val="none"/>
                <w:vertAlign w:val="subscript"/>
                <w:lang w:val="zh-CN" w:eastAsia="zh-CN"/>
              </w:rPr>
              <w:t>X</w:t>
            </w:r>
            <w:r>
              <w:rPr>
                <w:rFonts w:hint="default"/>
                <w:sz w:val="24"/>
                <w:szCs w:val="24"/>
                <w:highlight w:val="none"/>
                <w:lang w:val="zh-CN" w:eastAsia="zh-CN"/>
              </w:rPr>
              <w:t>产生浓度为</w:t>
            </w:r>
            <w:r>
              <w:rPr>
                <w:rFonts w:hint="eastAsia"/>
                <w:sz w:val="24"/>
                <w:szCs w:val="24"/>
                <w:highlight w:val="none"/>
                <w:lang w:val="en-US" w:eastAsia="zh-CN"/>
              </w:rPr>
              <w:t>0.72</w:t>
            </w:r>
            <w:r>
              <w:rPr>
                <w:rFonts w:hint="default"/>
                <w:sz w:val="24"/>
                <w:szCs w:val="24"/>
                <w:highlight w:val="none"/>
                <w:lang w:val="zh-CN" w:eastAsia="zh-CN"/>
              </w:rPr>
              <w:t>/</w:t>
            </w:r>
            <w:r>
              <w:rPr>
                <w:rFonts w:hint="eastAsia"/>
                <w:sz w:val="24"/>
                <w:szCs w:val="24"/>
                <w:highlight w:val="none"/>
                <w:lang w:val="en-US" w:eastAsia="zh-CN"/>
              </w:rPr>
              <w:t>2650</w:t>
            </w:r>
            <w:r>
              <w:rPr>
                <w:rFonts w:hint="default"/>
                <w:sz w:val="24"/>
                <w:szCs w:val="24"/>
                <w:highlight w:val="none"/>
                <w:lang w:val="zh-CN" w:eastAsia="zh-CN"/>
              </w:rPr>
              <w:t>0×10</w:t>
            </w:r>
            <w:r>
              <w:rPr>
                <w:rFonts w:hint="default"/>
                <w:sz w:val="24"/>
                <w:szCs w:val="24"/>
                <w:highlight w:val="none"/>
                <w:vertAlign w:val="superscript"/>
                <w:lang w:val="zh-CN" w:eastAsia="zh-CN"/>
              </w:rPr>
              <w:t>6</w:t>
            </w:r>
            <w:r>
              <w:rPr>
                <w:rFonts w:hint="default"/>
                <w:sz w:val="24"/>
                <w:szCs w:val="24"/>
                <w:highlight w:val="none"/>
                <w:lang w:val="zh-CN" w:eastAsia="zh-CN"/>
              </w:rPr>
              <w:t>=</w:t>
            </w:r>
            <w:r>
              <w:rPr>
                <w:rFonts w:hint="eastAsia"/>
                <w:sz w:val="24"/>
                <w:szCs w:val="24"/>
                <w:highlight w:val="none"/>
                <w:lang w:val="en-US" w:eastAsia="zh-CN"/>
              </w:rPr>
              <w:t>27.2</w:t>
            </w:r>
            <w:r>
              <w:rPr>
                <w:rFonts w:hint="default"/>
                <w:sz w:val="24"/>
                <w:szCs w:val="24"/>
                <w:highlight w:val="none"/>
                <w:lang w:val="zh-CN" w:eastAsia="zh-CN"/>
              </w:rPr>
              <w:t>mg/</w:t>
            </w:r>
            <w:r>
              <w:rPr>
                <w:rFonts w:hint="eastAsia" w:cs="宋体"/>
                <w:bCs/>
                <w:color w:val="auto"/>
                <w:sz w:val="24"/>
                <w:szCs w:val="24"/>
                <w:highlight w:val="none"/>
                <w:lang w:val="en-US" w:eastAsia="zh-CN" w:bidi="ar"/>
              </w:rPr>
              <w:t>N</w:t>
            </w:r>
            <w:r>
              <w:rPr>
                <w:rFonts w:hint="default" w:ascii="Times New Roman" w:hAnsi="Times New Roman" w:eastAsia="宋体" w:cs="Times New Roman"/>
                <w:color w:val="auto"/>
                <w:sz w:val="24"/>
                <w:szCs w:val="24"/>
                <w:lang w:bidi="zh-CN"/>
              </w:rPr>
              <w:t>m</w:t>
            </w:r>
            <w:r>
              <w:rPr>
                <w:rFonts w:hint="default" w:ascii="Times New Roman" w:hAnsi="Times New Roman" w:eastAsia="宋体" w:cs="Times New Roman"/>
                <w:color w:val="auto"/>
                <w:sz w:val="24"/>
                <w:szCs w:val="24"/>
                <w:vertAlign w:val="superscript"/>
                <w:lang w:bidi="zh-CN"/>
              </w:rPr>
              <w:t>3</w:t>
            </w:r>
            <w:r>
              <w:rPr>
                <w:rFonts w:hint="default"/>
                <w:sz w:val="24"/>
                <w:szCs w:val="24"/>
                <w:highlight w:val="none"/>
                <w:lang w:val="zh-CN" w:eastAsia="zh-CN"/>
              </w:rPr>
              <w:t>。</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default"/>
                <w:sz w:val="24"/>
                <w:szCs w:val="24"/>
                <w:highlight w:val="none"/>
                <w:lang w:val="zh-CN" w:eastAsia="zh-CN"/>
              </w:rPr>
            </w:pPr>
            <w:r>
              <w:rPr>
                <w:rFonts w:hint="default"/>
                <w:sz w:val="24"/>
                <w:szCs w:val="24"/>
                <w:highlight w:val="none"/>
                <w:lang w:val="zh-CN" w:eastAsia="zh-CN"/>
              </w:rPr>
              <w:t>煤泥烘干及落料口废气经1套</w:t>
            </w:r>
            <w:r>
              <w:rPr>
                <w:rFonts w:hint="eastAsia"/>
                <w:sz w:val="24"/>
                <w:szCs w:val="24"/>
                <w:highlight w:val="none"/>
                <w:lang w:val="zh-CN" w:eastAsia="zh-CN"/>
              </w:rPr>
              <w:t>SNCR脱硝+旋风除尘+布袋除尘</w:t>
            </w:r>
            <w:r>
              <w:rPr>
                <w:rFonts w:hint="default"/>
                <w:sz w:val="24"/>
                <w:szCs w:val="24"/>
                <w:highlight w:val="none"/>
                <w:lang w:val="zh-CN" w:eastAsia="zh-CN"/>
              </w:rPr>
              <w:t>设施处理后由15m高排气筒排，脱硝效率</w:t>
            </w:r>
            <w:r>
              <w:rPr>
                <w:rFonts w:hint="eastAsia"/>
                <w:sz w:val="24"/>
                <w:szCs w:val="24"/>
                <w:highlight w:val="none"/>
                <w:lang w:val="en-US" w:eastAsia="zh-CN"/>
              </w:rPr>
              <w:t>3</w:t>
            </w:r>
            <w:r>
              <w:rPr>
                <w:rFonts w:hint="default"/>
                <w:sz w:val="24"/>
                <w:szCs w:val="24"/>
                <w:highlight w:val="none"/>
                <w:lang w:val="zh-CN" w:eastAsia="zh-CN"/>
              </w:rPr>
              <w:t>0%，除尘效率≥99</w:t>
            </w:r>
            <w:r>
              <w:rPr>
                <w:rFonts w:hint="default"/>
                <w:sz w:val="24"/>
                <w:szCs w:val="24"/>
                <w:highlight w:val="none"/>
                <w:lang w:val="en-US" w:eastAsia="zh-CN"/>
              </w:rPr>
              <w:t>.5</w:t>
            </w:r>
            <w:r>
              <w:rPr>
                <w:rFonts w:hint="default"/>
                <w:sz w:val="24"/>
                <w:szCs w:val="24"/>
                <w:highlight w:val="none"/>
                <w:lang w:val="zh-CN" w:eastAsia="zh-CN"/>
              </w:rPr>
              <w:t>%，除尘器设计出口浓度≤</w:t>
            </w:r>
            <w:r>
              <w:rPr>
                <w:rFonts w:hint="default"/>
                <w:sz w:val="24"/>
                <w:szCs w:val="24"/>
                <w:highlight w:val="none"/>
                <w:lang w:val="en-US" w:eastAsia="zh-CN"/>
              </w:rPr>
              <w:t>1</w:t>
            </w:r>
            <w:r>
              <w:rPr>
                <w:rFonts w:hint="default"/>
                <w:sz w:val="24"/>
                <w:szCs w:val="24"/>
                <w:highlight w:val="none"/>
                <w:lang w:val="zh-CN" w:eastAsia="zh-CN"/>
              </w:rPr>
              <w:t>0mg/</w:t>
            </w:r>
            <w:r>
              <w:rPr>
                <w:rFonts w:hint="eastAsia"/>
                <w:sz w:val="24"/>
                <w:szCs w:val="24"/>
                <w:highlight w:val="none"/>
                <w:lang w:val="en-US" w:eastAsia="zh-CN"/>
              </w:rPr>
              <w:t>N</w:t>
            </w:r>
            <w:r>
              <w:rPr>
                <w:rFonts w:hint="default"/>
                <w:sz w:val="24"/>
                <w:szCs w:val="24"/>
                <w:highlight w:val="none"/>
                <w:lang w:val="zh-CN" w:eastAsia="zh-CN"/>
              </w:rPr>
              <w:t>m</w:t>
            </w:r>
            <w:r>
              <w:rPr>
                <w:rFonts w:hint="default"/>
                <w:sz w:val="24"/>
                <w:szCs w:val="24"/>
                <w:highlight w:val="none"/>
                <w:vertAlign w:val="superscript"/>
                <w:lang w:val="zh-CN" w:eastAsia="zh-CN"/>
              </w:rPr>
              <w:t>3</w:t>
            </w:r>
            <w:r>
              <w:rPr>
                <w:rFonts w:hint="default"/>
                <w:sz w:val="24"/>
                <w:szCs w:val="24"/>
                <w:highlight w:val="none"/>
                <w:lang w:val="zh-CN" w:eastAsia="zh-CN"/>
              </w:rPr>
              <w:t>。则：颗粒物排放量为</w:t>
            </w:r>
            <w:r>
              <w:rPr>
                <w:rFonts w:hint="eastAsia"/>
                <w:sz w:val="24"/>
                <w:szCs w:val="24"/>
                <w:highlight w:val="none"/>
                <w:lang w:val="en-US" w:eastAsia="zh-CN"/>
              </w:rPr>
              <w:t>10</w:t>
            </w:r>
            <w:r>
              <w:rPr>
                <w:rFonts w:hint="default"/>
                <w:sz w:val="24"/>
                <w:szCs w:val="24"/>
                <w:highlight w:val="none"/>
                <w:lang w:val="zh-CN" w:eastAsia="zh-CN"/>
              </w:rPr>
              <w:t>×</w:t>
            </w:r>
            <w:r>
              <w:rPr>
                <w:rFonts w:hint="eastAsia"/>
                <w:sz w:val="24"/>
                <w:szCs w:val="24"/>
                <w:highlight w:val="none"/>
                <w:lang w:val="en-US" w:eastAsia="zh-CN"/>
              </w:rPr>
              <w:t>26500</w:t>
            </w:r>
            <w:r>
              <w:rPr>
                <w:rFonts w:hint="default"/>
                <w:sz w:val="24"/>
                <w:szCs w:val="24"/>
                <w:highlight w:val="none"/>
                <w:lang w:val="zh-CN" w:eastAsia="zh-CN"/>
              </w:rPr>
              <w:t>/10</w:t>
            </w:r>
            <w:r>
              <w:rPr>
                <w:rFonts w:hint="default"/>
                <w:sz w:val="24"/>
                <w:szCs w:val="24"/>
                <w:highlight w:val="none"/>
                <w:vertAlign w:val="superscript"/>
                <w:lang w:val="zh-CN" w:eastAsia="zh-CN"/>
              </w:rPr>
              <w:t>6</w:t>
            </w:r>
            <w:r>
              <w:rPr>
                <w:rFonts w:hint="default"/>
                <w:sz w:val="24"/>
                <w:szCs w:val="24"/>
                <w:highlight w:val="none"/>
                <w:lang w:val="zh-CN" w:eastAsia="zh-CN"/>
              </w:rPr>
              <w:t>=</w:t>
            </w:r>
            <w:r>
              <w:rPr>
                <w:rFonts w:hint="eastAsia"/>
                <w:sz w:val="24"/>
                <w:szCs w:val="24"/>
                <w:highlight w:val="none"/>
                <w:lang w:val="en-US" w:eastAsia="zh-CN"/>
              </w:rPr>
              <w:t>0.265</w:t>
            </w:r>
            <w:r>
              <w:rPr>
                <w:rFonts w:hint="default"/>
                <w:sz w:val="24"/>
                <w:szCs w:val="24"/>
                <w:highlight w:val="none"/>
                <w:lang w:val="zh-CN" w:eastAsia="zh-CN"/>
              </w:rPr>
              <w:t>kg/h、</w:t>
            </w:r>
            <w:r>
              <w:rPr>
                <w:rFonts w:hint="eastAsia"/>
                <w:sz w:val="24"/>
                <w:szCs w:val="24"/>
                <w:highlight w:val="none"/>
                <w:lang w:val="en-US" w:eastAsia="zh-CN"/>
              </w:rPr>
              <w:t>1.40</w:t>
            </w:r>
            <w:r>
              <w:rPr>
                <w:rFonts w:hint="default"/>
                <w:sz w:val="24"/>
                <w:szCs w:val="24"/>
                <w:highlight w:val="none"/>
                <w:lang w:val="zh-CN" w:eastAsia="zh-CN"/>
              </w:rPr>
              <w:t>t/a；SO</w:t>
            </w:r>
            <w:r>
              <w:rPr>
                <w:rFonts w:hint="default"/>
                <w:sz w:val="24"/>
                <w:szCs w:val="24"/>
                <w:highlight w:val="none"/>
                <w:vertAlign w:val="subscript"/>
                <w:lang w:val="zh-CN" w:eastAsia="zh-CN"/>
              </w:rPr>
              <w:t>2</w:t>
            </w:r>
            <w:r>
              <w:rPr>
                <w:rFonts w:hint="default"/>
                <w:sz w:val="24"/>
                <w:szCs w:val="24"/>
                <w:highlight w:val="none"/>
                <w:lang w:val="zh-CN" w:eastAsia="zh-CN"/>
              </w:rPr>
              <w:t>排放量为</w:t>
            </w:r>
            <w:r>
              <w:rPr>
                <w:rFonts w:hint="eastAsia"/>
                <w:sz w:val="24"/>
                <w:szCs w:val="24"/>
                <w:highlight w:val="none"/>
                <w:lang w:val="en-US" w:eastAsia="zh-CN"/>
              </w:rPr>
              <w:t>2.54</w:t>
            </w:r>
            <w:r>
              <w:rPr>
                <w:rFonts w:hint="default"/>
                <w:sz w:val="24"/>
                <w:szCs w:val="24"/>
                <w:highlight w:val="none"/>
                <w:lang w:val="zh-CN" w:eastAsia="zh-CN"/>
              </w:rPr>
              <w:t>t/a、0.</w:t>
            </w:r>
            <w:r>
              <w:rPr>
                <w:rFonts w:hint="eastAsia"/>
                <w:sz w:val="24"/>
                <w:szCs w:val="24"/>
                <w:highlight w:val="none"/>
                <w:lang w:val="en-US" w:eastAsia="zh-CN"/>
              </w:rPr>
              <w:t>48</w:t>
            </w:r>
            <w:r>
              <w:rPr>
                <w:rFonts w:hint="default"/>
                <w:sz w:val="24"/>
                <w:szCs w:val="24"/>
                <w:highlight w:val="none"/>
                <w:lang w:val="zh-CN" w:eastAsia="zh-CN"/>
              </w:rPr>
              <w:t>kg/h，排放浓度为</w:t>
            </w:r>
            <w:r>
              <w:rPr>
                <w:rFonts w:hint="eastAsia"/>
                <w:sz w:val="24"/>
                <w:szCs w:val="24"/>
                <w:highlight w:val="none"/>
                <w:lang w:val="en-US" w:eastAsia="zh-CN"/>
              </w:rPr>
              <w:t>18.1</w:t>
            </w:r>
            <w:r>
              <w:rPr>
                <w:rFonts w:hint="default"/>
                <w:sz w:val="24"/>
                <w:szCs w:val="24"/>
                <w:highlight w:val="none"/>
                <w:lang w:val="zh-CN" w:eastAsia="zh-CN"/>
              </w:rPr>
              <w:t>mg/</w:t>
            </w:r>
            <w:r>
              <w:rPr>
                <w:rFonts w:hint="eastAsia" w:cs="宋体"/>
                <w:bCs/>
                <w:color w:val="auto"/>
                <w:sz w:val="24"/>
                <w:szCs w:val="24"/>
                <w:highlight w:val="none"/>
                <w:lang w:val="en-US" w:eastAsia="zh-CN" w:bidi="ar"/>
              </w:rPr>
              <w:t>N</w:t>
            </w:r>
            <w:r>
              <w:rPr>
                <w:rFonts w:hint="default" w:ascii="Times New Roman" w:hAnsi="Times New Roman" w:eastAsia="宋体" w:cs="Times New Roman"/>
                <w:color w:val="auto"/>
                <w:sz w:val="24"/>
                <w:szCs w:val="24"/>
                <w:lang w:bidi="zh-CN"/>
              </w:rPr>
              <w:t>m</w:t>
            </w:r>
            <w:r>
              <w:rPr>
                <w:rFonts w:hint="default" w:ascii="Times New Roman" w:hAnsi="Times New Roman" w:eastAsia="宋体" w:cs="Times New Roman"/>
                <w:color w:val="auto"/>
                <w:sz w:val="24"/>
                <w:szCs w:val="24"/>
                <w:vertAlign w:val="superscript"/>
                <w:lang w:bidi="zh-CN"/>
              </w:rPr>
              <w:t>3</w:t>
            </w:r>
            <w:r>
              <w:rPr>
                <w:rFonts w:hint="default"/>
                <w:sz w:val="24"/>
                <w:szCs w:val="24"/>
                <w:highlight w:val="none"/>
                <w:lang w:val="zh-CN" w:eastAsia="zh-CN"/>
              </w:rPr>
              <w:t>；NOx排放量为</w:t>
            </w:r>
            <w:r>
              <w:rPr>
                <w:rFonts w:hint="eastAsia"/>
                <w:sz w:val="24"/>
                <w:szCs w:val="24"/>
                <w:highlight w:val="none"/>
                <w:lang w:val="en-US" w:eastAsia="zh-CN"/>
              </w:rPr>
              <w:t>3.81</w:t>
            </w:r>
            <w:r>
              <w:rPr>
                <w:rFonts w:hint="default"/>
                <w:sz w:val="24"/>
                <w:szCs w:val="24"/>
                <w:highlight w:val="none"/>
                <w:lang w:val="zh-CN" w:eastAsia="zh-CN"/>
              </w:rPr>
              <w:t>×（1-</w:t>
            </w:r>
            <w:r>
              <w:rPr>
                <w:rFonts w:hint="eastAsia"/>
                <w:sz w:val="24"/>
                <w:szCs w:val="24"/>
                <w:highlight w:val="none"/>
                <w:lang w:val="en-US" w:eastAsia="zh-CN"/>
              </w:rPr>
              <w:t>3</w:t>
            </w:r>
            <w:r>
              <w:rPr>
                <w:rFonts w:hint="default"/>
                <w:sz w:val="24"/>
                <w:szCs w:val="24"/>
                <w:highlight w:val="none"/>
                <w:lang w:val="zh-CN" w:eastAsia="zh-CN"/>
              </w:rPr>
              <w:t>0%）=</w:t>
            </w:r>
            <w:r>
              <w:rPr>
                <w:rFonts w:hint="eastAsia"/>
                <w:sz w:val="24"/>
                <w:szCs w:val="24"/>
                <w:highlight w:val="none"/>
                <w:lang w:val="en-US" w:eastAsia="zh-CN"/>
              </w:rPr>
              <w:t>2.67</w:t>
            </w:r>
            <w:r>
              <w:rPr>
                <w:rFonts w:hint="default"/>
                <w:sz w:val="24"/>
                <w:szCs w:val="24"/>
                <w:highlight w:val="none"/>
                <w:lang w:val="zh-CN" w:eastAsia="zh-CN"/>
              </w:rPr>
              <w:t>t/a、0.</w:t>
            </w:r>
            <w:r>
              <w:rPr>
                <w:rFonts w:hint="eastAsia"/>
                <w:sz w:val="24"/>
                <w:szCs w:val="24"/>
                <w:highlight w:val="none"/>
                <w:lang w:val="en-US" w:eastAsia="zh-CN"/>
              </w:rPr>
              <w:t>51</w:t>
            </w:r>
            <w:r>
              <w:rPr>
                <w:rFonts w:hint="default"/>
                <w:sz w:val="24"/>
                <w:szCs w:val="24"/>
                <w:highlight w:val="none"/>
                <w:lang w:val="zh-CN" w:eastAsia="zh-CN"/>
              </w:rPr>
              <w:t>kg/h，排放浓度为0.</w:t>
            </w:r>
            <w:r>
              <w:rPr>
                <w:rFonts w:hint="eastAsia"/>
                <w:sz w:val="24"/>
                <w:szCs w:val="24"/>
                <w:highlight w:val="none"/>
                <w:lang w:val="en-US" w:eastAsia="zh-CN"/>
              </w:rPr>
              <w:t>51</w:t>
            </w:r>
            <w:r>
              <w:rPr>
                <w:rFonts w:hint="default"/>
                <w:sz w:val="24"/>
                <w:szCs w:val="24"/>
                <w:highlight w:val="none"/>
                <w:lang w:val="zh-CN" w:eastAsia="zh-CN"/>
              </w:rPr>
              <w:t>/</w:t>
            </w:r>
            <w:r>
              <w:rPr>
                <w:rFonts w:hint="eastAsia"/>
                <w:sz w:val="24"/>
                <w:szCs w:val="24"/>
                <w:highlight w:val="none"/>
                <w:lang w:val="en-US" w:eastAsia="zh-CN"/>
              </w:rPr>
              <w:t>265</w:t>
            </w:r>
            <w:r>
              <w:rPr>
                <w:rFonts w:hint="default"/>
                <w:sz w:val="24"/>
                <w:szCs w:val="24"/>
                <w:highlight w:val="none"/>
                <w:lang w:val="zh-CN" w:eastAsia="zh-CN"/>
              </w:rPr>
              <w:t>00×10</w:t>
            </w:r>
            <w:r>
              <w:rPr>
                <w:rFonts w:hint="default"/>
                <w:sz w:val="24"/>
                <w:szCs w:val="24"/>
                <w:highlight w:val="none"/>
                <w:vertAlign w:val="superscript"/>
                <w:lang w:val="zh-CN" w:eastAsia="zh-CN"/>
              </w:rPr>
              <w:t>6</w:t>
            </w:r>
            <w:r>
              <w:rPr>
                <w:rFonts w:hint="default"/>
                <w:sz w:val="24"/>
                <w:szCs w:val="24"/>
                <w:highlight w:val="none"/>
                <w:lang w:val="zh-CN" w:eastAsia="zh-CN"/>
              </w:rPr>
              <w:t>=1</w:t>
            </w:r>
            <w:r>
              <w:rPr>
                <w:rFonts w:hint="eastAsia"/>
                <w:sz w:val="24"/>
                <w:szCs w:val="24"/>
                <w:highlight w:val="none"/>
                <w:lang w:val="en-US" w:eastAsia="zh-CN"/>
              </w:rPr>
              <w:t>9.2</w:t>
            </w:r>
            <w:r>
              <w:rPr>
                <w:rFonts w:hint="default"/>
                <w:sz w:val="24"/>
                <w:szCs w:val="24"/>
                <w:highlight w:val="none"/>
                <w:lang w:val="zh-CN" w:eastAsia="zh-CN"/>
              </w:rPr>
              <w:t>mg/</w:t>
            </w:r>
            <w:r>
              <w:rPr>
                <w:rFonts w:hint="eastAsia" w:cs="宋体"/>
                <w:bCs/>
                <w:color w:val="auto"/>
                <w:sz w:val="24"/>
                <w:szCs w:val="24"/>
                <w:highlight w:val="none"/>
                <w:lang w:val="en-US" w:eastAsia="zh-CN" w:bidi="ar"/>
              </w:rPr>
              <w:t>N</w:t>
            </w:r>
            <w:r>
              <w:rPr>
                <w:rFonts w:hint="default"/>
                <w:sz w:val="24"/>
                <w:szCs w:val="24"/>
                <w:highlight w:val="none"/>
                <w:lang w:val="zh-CN" w:eastAsia="zh-CN"/>
              </w:rPr>
              <w:t>m</w:t>
            </w:r>
            <w:r>
              <w:rPr>
                <w:rFonts w:hint="default"/>
                <w:sz w:val="24"/>
                <w:szCs w:val="24"/>
                <w:highlight w:val="none"/>
                <w:vertAlign w:val="superscript"/>
                <w:lang w:val="zh-CN" w:eastAsia="zh-CN"/>
              </w:rPr>
              <w:t>3</w:t>
            </w:r>
            <w:r>
              <w:rPr>
                <w:rFonts w:hint="default"/>
                <w:sz w:val="24"/>
                <w:szCs w:val="24"/>
                <w:highlight w:val="none"/>
                <w:lang w:val="zh-CN" w:eastAsia="zh-CN"/>
              </w:rPr>
              <w:t>。</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hint="default"/>
                <w:sz w:val="24"/>
                <w:szCs w:val="24"/>
                <w:highlight w:val="none"/>
                <w:lang w:val="zh-CN" w:eastAsia="zh-CN"/>
              </w:rPr>
            </w:pPr>
            <w:r>
              <w:rPr>
                <w:rFonts w:hint="default"/>
                <w:sz w:val="24"/>
                <w:szCs w:val="24"/>
                <w:highlight w:val="none"/>
                <w:lang w:val="zh-CN" w:eastAsia="zh-CN"/>
              </w:rPr>
              <w:t>煤泥烘干烟气污染物排放浓度满足《山西省工业炉窑大气污染综合治理实施方案》(晋环大气[2019]164号文)中工业炉窑排放标准（颗粒物：30mg/</w:t>
            </w:r>
            <w:r>
              <w:rPr>
                <w:rFonts w:hint="eastAsia" w:cs="宋体"/>
                <w:bCs/>
                <w:color w:val="auto"/>
                <w:sz w:val="24"/>
                <w:szCs w:val="24"/>
                <w:highlight w:val="none"/>
                <w:lang w:val="en-US" w:eastAsia="zh-CN" w:bidi="ar"/>
              </w:rPr>
              <w:t>N</w:t>
            </w:r>
            <w:r>
              <w:rPr>
                <w:rFonts w:hint="default"/>
                <w:sz w:val="24"/>
                <w:szCs w:val="24"/>
                <w:highlight w:val="none"/>
                <w:lang w:val="zh-CN" w:eastAsia="zh-CN"/>
              </w:rPr>
              <w:t>m</w:t>
            </w:r>
            <w:r>
              <w:rPr>
                <w:rFonts w:hint="default"/>
                <w:sz w:val="24"/>
                <w:szCs w:val="24"/>
                <w:highlight w:val="none"/>
                <w:vertAlign w:val="superscript"/>
                <w:lang w:val="zh-CN" w:eastAsia="zh-CN"/>
              </w:rPr>
              <w:t>3</w:t>
            </w:r>
            <w:r>
              <w:rPr>
                <w:rFonts w:hint="default"/>
                <w:sz w:val="24"/>
                <w:szCs w:val="24"/>
                <w:highlight w:val="none"/>
                <w:lang w:val="zh-CN" w:eastAsia="zh-CN"/>
              </w:rPr>
              <w:t>；SO</w:t>
            </w:r>
            <w:r>
              <w:rPr>
                <w:rFonts w:hint="default"/>
                <w:sz w:val="24"/>
                <w:szCs w:val="24"/>
                <w:highlight w:val="none"/>
                <w:vertAlign w:val="subscript"/>
                <w:lang w:val="zh-CN" w:eastAsia="zh-CN"/>
              </w:rPr>
              <w:t>2</w:t>
            </w:r>
            <w:r>
              <w:rPr>
                <w:rFonts w:hint="default"/>
                <w:sz w:val="24"/>
                <w:szCs w:val="24"/>
                <w:highlight w:val="none"/>
                <w:lang w:val="zh-CN" w:eastAsia="zh-CN"/>
              </w:rPr>
              <w:t>：200mg/</w:t>
            </w:r>
            <w:r>
              <w:rPr>
                <w:rFonts w:hint="eastAsia" w:cs="宋体"/>
                <w:bCs/>
                <w:color w:val="auto"/>
                <w:sz w:val="24"/>
                <w:szCs w:val="24"/>
                <w:highlight w:val="none"/>
                <w:lang w:val="en-US" w:eastAsia="zh-CN" w:bidi="ar"/>
              </w:rPr>
              <w:t>N</w:t>
            </w:r>
            <w:r>
              <w:rPr>
                <w:rFonts w:hint="default"/>
                <w:sz w:val="24"/>
                <w:szCs w:val="24"/>
                <w:highlight w:val="none"/>
                <w:lang w:val="zh-CN" w:eastAsia="zh-CN"/>
              </w:rPr>
              <w:t>m</w:t>
            </w:r>
            <w:r>
              <w:rPr>
                <w:rFonts w:hint="default"/>
                <w:sz w:val="24"/>
                <w:szCs w:val="24"/>
                <w:highlight w:val="none"/>
                <w:vertAlign w:val="superscript"/>
                <w:lang w:val="zh-CN" w:eastAsia="zh-CN"/>
              </w:rPr>
              <w:t>3</w:t>
            </w:r>
            <w:r>
              <w:rPr>
                <w:rFonts w:hint="default"/>
                <w:sz w:val="24"/>
                <w:szCs w:val="24"/>
                <w:highlight w:val="none"/>
                <w:lang w:val="zh-CN" w:eastAsia="zh-CN"/>
              </w:rPr>
              <w:t>；NOx：300mg/</w:t>
            </w:r>
            <w:r>
              <w:rPr>
                <w:rFonts w:hint="eastAsia" w:cs="宋体"/>
                <w:bCs/>
                <w:color w:val="auto"/>
                <w:sz w:val="24"/>
                <w:szCs w:val="24"/>
                <w:highlight w:val="none"/>
                <w:lang w:val="en-US" w:eastAsia="zh-CN" w:bidi="ar"/>
              </w:rPr>
              <w:t>N</w:t>
            </w:r>
            <w:r>
              <w:rPr>
                <w:rFonts w:hint="default"/>
                <w:sz w:val="24"/>
                <w:szCs w:val="24"/>
                <w:highlight w:val="none"/>
                <w:lang w:val="zh-CN" w:eastAsia="zh-CN"/>
              </w:rPr>
              <w:t>m</w:t>
            </w:r>
            <w:r>
              <w:rPr>
                <w:rFonts w:hint="default"/>
                <w:sz w:val="24"/>
                <w:szCs w:val="24"/>
                <w:highlight w:val="none"/>
                <w:vertAlign w:val="superscript"/>
                <w:lang w:val="zh-CN" w:eastAsia="zh-CN"/>
              </w:rPr>
              <w:t>3</w:t>
            </w:r>
            <w:r>
              <w:rPr>
                <w:rFonts w:hint="default"/>
                <w:sz w:val="24"/>
                <w:szCs w:val="24"/>
                <w:highlight w:val="none"/>
                <w:lang w:val="zh-CN" w:eastAsia="zh-CN"/>
              </w:rPr>
              <w:t>）。</w:t>
            </w:r>
          </w:p>
          <w:p>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项目有组织废气排放源强见下表。</w:t>
            </w:r>
          </w:p>
          <w:p>
            <w:pPr>
              <w:pStyle w:val="39"/>
              <w:bidi w:val="0"/>
              <w:rPr>
                <w:rFonts w:hint="default" w:ascii="Times New Roman" w:hAnsi="Times New Roman" w:eastAsia="宋体"/>
                <w:b/>
                <w:color w:val="auto"/>
                <w:spacing w:val="0"/>
                <w:sz w:val="24"/>
                <w:szCs w:val="24"/>
                <w:highlight w:val="none"/>
              </w:rPr>
            </w:pPr>
            <w:r>
              <w:rPr>
                <w:rFonts w:hint="default" w:ascii="Times New Roman" w:hAnsi="Times New Roman" w:eastAsia="宋体"/>
                <w:b/>
                <w:color w:val="auto"/>
                <w:spacing w:val="0"/>
                <w:sz w:val="24"/>
                <w:szCs w:val="24"/>
                <w:highlight w:val="none"/>
              </w:rPr>
              <w:t>表</w:t>
            </w:r>
            <w:r>
              <w:rPr>
                <w:rFonts w:hint="eastAsia" w:eastAsia="宋体"/>
                <w:b/>
                <w:color w:val="auto"/>
                <w:spacing w:val="0"/>
                <w:sz w:val="24"/>
                <w:szCs w:val="24"/>
                <w:highlight w:val="none"/>
                <w:lang w:val="en-US" w:eastAsia="zh-CN"/>
              </w:rPr>
              <w:t>4</w:t>
            </w:r>
            <w:r>
              <w:rPr>
                <w:rFonts w:hint="eastAsia" w:cs="Times New Roman" w:eastAsiaTheme="majorEastAsia"/>
                <w:b/>
                <w:bCs/>
                <w:color w:val="auto"/>
                <w:sz w:val="24"/>
                <w:szCs w:val="24"/>
                <w:highlight w:val="none"/>
                <w:lang w:val="en-US" w:eastAsia="zh-CN"/>
              </w:rPr>
              <w:t>-1</w:t>
            </w:r>
            <w:r>
              <w:rPr>
                <w:rFonts w:hint="default" w:ascii="Times New Roman" w:hAnsi="Times New Roman" w:eastAsia="宋体"/>
                <w:b/>
                <w:color w:val="auto"/>
                <w:spacing w:val="0"/>
                <w:sz w:val="24"/>
                <w:szCs w:val="24"/>
                <w:highlight w:val="none"/>
              </w:rPr>
              <w:t xml:space="preserve">    项目有组织废气产生及排放状况一览表</w:t>
            </w:r>
          </w:p>
          <w:tbl>
            <w:tblPr>
              <w:tblStyle w:val="22"/>
              <w:tblW w:w="4994"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703"/>
              <w:gridCol w:w="949"/>
              <w:gridCol w:w="893"/>
              <w:gridCol w:w="699"/>
              <w:gridCol w:w="734"/>
              <w:gridCol w:w="719"/>
              <w:gridCol w:w="1304"/>
              <w:gridCol w:w="884"/>
              <w:gridCol w:w="705"/>
              <w:gridCol w:w="7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2"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w:t>
                  </w:r>
                </w:p>
                <w:p>
                  <w:pPr>
                    <w:pStyle w:val="53"/>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570"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397" w:type="pct"/>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产生情况</w:t>
                  </w:r>
                </w:p>
              </w:tc>
              <w:tc>
                <w:tcPr>
                  <w:tcW w:w="432"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烟气</w:t>
                  </w:r>
                  <w:r>
                    <w:rPr>
                      <w:rFonts w:hint="default" w:ascii="Times New Roman" w:hAnsi="Times New Roman" w:eastAsia="宋体" w:cs="Times New Roman"/>
                      <w:b/>
                      <w:bCs/>
                      <w:color w:val="auto"/>
                      <w:sz w:val="21"/>
                      <w:szCs w:val="21"/>
                      <w:highlight w:val="none"/>
                    </w:rPr>
                    <w:t>量</w:t>
                  </w:r>
                  <w:r>
                    <w:rPr>
                      <w:rFonts w:hint="eastAsia" w:ascii="Times New Roman" w:hAnsi="Times New Roman" w:eastAsia="宋体" w:cs="Times New Roman"/>
                      <w:b/>
                      <w:bCs/>
                      <w:color w:val="auto"/>
                      <w:sz w:val="21"/>
                      <w:szCs w:val="21"/>
                      <w:highlight w:val="none"/>
                      <w:lang w:val="en-US" w:eastAsia="zh-CN"/>
                    </w:rPr>
                    <w:t>N</w:t>
                  </w:r>
                  <w:r>
                    <w:rPr>
                      <w:rFonts w:hint="default" w:ascii="Times New Roman" w:hAnsi="Times New Roman" w:eastAsia="宋体" w:cs="Times New Roman"/>
                      <w:b/>
                      <w:bCs/>
                      <w:color w:val="auto"/>
                      <w:sz w:val="21"/>
                      <w:szCs w:val="21"/>
                      <w:highlight w:val="none"/>
                      <w:lang w:val="zh-CN"/>
                    </w:rPr>
                    <w:t>m</w:t>
                  </w:r>
                  <w:r>
                    <w:rPr>
                      <w:rFonts w:hint="default" w:ascii="Times New Roman" w:hAnsi="Times New Roman" w:eastAsia="宋体" w:cs="Times New Roman"/>
                      <w:b/>
                      <w:bCs/>
                      <w:color w:val="auto"/>
                      <w:sz w:val="21"/>
                      <w:szCs w:val="21"/>
                      <w:highlight w:val="none"/>
                      <w:vertAlign w:val="superscript"/>
                      <w:lang w:val="zh-CN"/>
                    </w:rPr>
                    <w:t>3</w:t>
                  </w:r>
                  <w:r>
                    <w:rPr>
                      <w:rFonts w:hint="default" w:ascii="Times New Roman" w:hAnsi="Times New Roman" w:eastAsia="宋体" w:cs="Times New Roman"/>
                      <w:b/>
                      <w:bCs/>
                      <w:color w:val="auto"/>
                      <w:sz w:val="21"/>
                      <w:szCs w:val="21"/>
                      <w:highlight w:val="none"/>
                      <w:lang w:val="zh-CN"/>
                    </w:rPr>
                    <w:t>/h</w:t>
                  </w:r>
                </w:p>
              </w:tc>
              <w:tc>
                <w:tcPr>
                  <w:tcW w:w="783"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w:t>
                  </w:r>
                </w:p>
              </w:tc>
              <w:tc>
                <w:tcPr>
                  <w:tcW w:w="1394" w:type="pct"/>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r>
                    <w:rPr>
                      <w:rFonts w:hint="eastAsia" w:ascii="Times New Roman" w:hAnsi="Times New Roman" w:eastAsia="宋体" w:cs="Times New Roman"/>
                      <w:b/>
                      <w:bCs/>
                      <w:color w:val="auto"/>
                      <w:sz w:val="21"/>
                      <w:szCs w:val="21"/>
                      <w:highlight w:val="none"/>
                      <w:lang w:eastAsia="zh-CN"/>
                    </w:rPr>
                    <w:t>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2"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p>
              </w:tc>
              <w:tc>
                <w:tcPr>
                  <w:tcW w:w="570"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p>
              </w:tc>
              <w:tc>
                <w:tcPr>
                  <w:tcW w:w="53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rPr>
                    <w:t>mg/</w:t>
                  </w:r>
                  <w:r>
                    <w:rPr>
                      <w:rFonts w:hint="eastAsia" w:ascii="Times New Roman" w:hAnsi="Times New Roman" w:eastAsia="宋体" w:cs="Times New Roman"/>
                      <w:b/>
                      <w:bCs/>
                      <w:color w:val="auto"/>
                      <w:sz w:val="21"/>
                      <w:szCs w:val="21"/>
                      <w:highlight w:val="none"/>
                      <w:lang w:val="en-US" w:eastAsia="zh-CN"/>
                    </w:rPr>
                    <w:t>N</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p>
              </w:tc>
              <w:tc>
                <w:tcPr>
                  <w:tcW w:w="42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kg/h</w:t>
                  </w:r>
                </w:p>
              </w:tc>
              <w:tc>
                <w:tcPr>
                  <w:tcW w:w="44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432"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p>
              </w:tc>
              <w:tc>
                <w:tcPr>
                  <w:tcW w:w="78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p>
              </w:tc>
              <w:tc>
                <w:tcPr>
                  <w:tcW w:w="53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zh-CN"/>
                    </w:rPr>
                    <w:t>mg/</w:t>
                  </w:r>
                  <w:r>
                    <w:rPr>
                      <w:rFonts w:hint="eastAsia" w:ascii="Times New Roman" w:hAnsi="Times New Roman" w:eastAsia="宋体" w:cs="Times New Roman"/>
                      <w:b/>
                      <w:bCs/>
                      <w:color w:val="auto"/>
                      <w:sz w:val="21"/>
                      <w:szCs w:val="21"/>
                      <w:highlight w:val="none"/>
                      <w:lang w:val="en-US" w:eastAsia="zh-CN"/>
                    </w:rPr>
                    <w:t>N</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p>
              </w:tc>
              <w:tc>
                <w:tcPr>
                  <w:tcW w:w="4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43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 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2"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firstLine="0" w:firstLineChars="0"/>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DA001</w:t>
                  </w:r>
                </w:p>
              </w:tc>
              <w:tc>
                <w:tcPr>
                  <w:tcW w:w="57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颗粒物</w:t>
                  </w:r>
                </w:p>
              </w:tc>
              <w:tc>
                <w:tcPr>
                  <w:tcW w:w="53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1087</w:t>
                  </w:r>
                </w:p>
              </w:tc>
              <w:tc>
                <w:tcPr>
                  <w:tcW w:w="42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28.8</w:t>
                  </w:r>
                </w:p>
              </w:tc>
              <w:tc>
                <w:tcPr>
                  <w:tcW w:w="44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151.84</w:t>
                  </w:r>
                </w:p>
              </w:tc>
              <w:tc>
                <w:tcPr>
                  <w:tcW w:w="432"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65</w:t>
                  </w:r>
                  <w:r>
                    <w:rPr>
                      <w:rFonts w:hint="eastAsia" w:ascii="Times New Roman" w:hAnsi="Times New Roman" w:eastAsia="宋体" w:cs="Times New Roman"/>
                      <w:color w:val="auto"/>
                      <w:sz w:val="21"/>
                      <w:szCs w:val="21"/>
                      <w:highlight w:val="none"/>
                      <w:lang w:val="en-US" w:eastAsia="zh-CN"/>
                    </w:rPr>
                    <w:t>00</w:t>
                  </w:r>
                </w:p>
              </w:tc>
              <w:tc>
                <w:tcPr>
                  <w:tcW w:w="783"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SNCR脱硝+旋风除尘+布袋除尘</w:t>
                  </w:r>
                </w:p>
              </w:tc>
              <w:tc>
                <w:tcPr>
                  <w:tcW w:w="53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4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0.265</w:t>
                  </w:r>
                </w:p>
              </w:tc>
              <w:tc>
                <w:tcPr>
                  <w:tcW w:w="43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2"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57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53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18.1</w:t>
                  </w:r>
                </w:p>
              </w:tc>
              <w:tc>
                <w:tcPr>
                  <w:tcW w:w="42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0.48</w:t>
                  </w:r>
                </w:p>
              </w:tc>
              <w:tc>
                <w:tcPr>
                  <w:tcW w:w="44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2.54</w:t>
                  </w:r>
                </w:p>
              </w:tc>
              <w:tc>
                <w:tcPr>
                  <w:tcW w:w="432"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eastAsia="宋体" w:cs="Times New Roman"/>
                      <w:color w:val="auto"/>
                      <w:sz w:val="21"/>
                      <w:szCs w:val="21"/>
                      <w:highlight w:val="none"/>
                      <w:lang w:val="en-US" w:eastAsia="zh-CN"/>
                    </w:rPr>
                  </w:pPr>
                </w:p>
              </w:tc>
              <w:tc>
                <w:tcPr>
                  <w:tcW w:w="78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eastAsia="zh-CN"/>
                    </w:rPr>
                  </w:pPr>
                </w:p>
              </w:tc>
              <w:tc>
                <w:tcPr>
                  <w:tcW w:w="53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18.1</w:t>
                  </w:r>
                </w:p>
              </w:tc>
              <w:tc>
                <w:tcPr>
                  <w:tcW w:w="4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0.48</w:t>
                  </w:r>
                </w:p>
              </w:tc>
              <w:tc>
                <w:tcPr>
                  <w:tcW w:w="43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2" w:type="pct"/>
                  <w:vMerge w:val="continue"/>
                  <w:tcBorders>
                    <w:bottom w:val="single" w:color="auto" w:sz="4" w:space="0"/>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57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53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27.2</w:t>
                  </w:r>
                </w:p>
              </w:tc>
              <w:tc>
                <w:tcPr>
                  <w:tcW w:w="42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0.72</w:t>
                  </w:r>
                </w:p>
              </w:tc>
              <w:tc>
                <w:tcPr>
                  <w:tcW w:w="44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3.81</w:t>
                  </w:r>
                </w:p>
              </w:tc>
              <w:tc>
                <w:tcPr>
                  <w:tcW w:w="432"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eastAsia="宋体" w:cs="Times New Roman"/>
                      <w:color w:val="auto"/>
                      <w:sz w:val="21"/>
                      <w:szCs w:val="21"/>
                      <w:highlight w:val="none"/>
                      <w:lang w:val="en-US" w:eastAsia="zh-CN"/>
                    </w:rPr>
                  </w:pPr>
                </w:p>
              </w:tc>
              <w:tc>
                <w:tcPr>
                  <w:tcW w:w="783" w:type="pct"/>
                  <w:vMerge w:val="continue"/>
                  <w:tcBorders>
                    <w:bottom w:val="single" w:color="auto" w:sz="4" w:space="0"/>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eastAsia="zh-CN"/>
                    </w:rPr>
                  </w:pPr>
                </w:p>
              </w:tc>
              <w:tc>
                <w:tcPr>
                  <w:tcW w:w="53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19.2</w:t>
                  </w:r>
                </w:p>
              </w:tc>
              <w:tc>
                <w:tcPr>
                  <w:tcW w:w="4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0.51</w:t>
                  </w:r>
                </w:p>
              </w:tc>
              <w:tc>
                <w:tcPr>
                  <w:tcW w:w="43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2.67</w:t>
                  </w:r>
                </w:p>
              </w:tc>
            </w:tr>
          </w:tbl>
          <w:p>
            <w:pPr>
              <w:adjustRightInd w:val="0"/>
              <w:snapToGrid w:val="0"/>
              <w:spacing w:line="480" w:lineRule="exact"/>
              <w:ind w:firstLine="480" w:firstLineChars="200"/>
              <w:rPr>
                <w:rFonts w:hint="default" w:ascii="Times New Roman" w:hAnsi="Times New Roman" w:cs="Times New Roman"/>
                <w:bCs/>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bCs/>
                <w:color w:val="auto"/>
                <w:sz w:val="24"/>
                <w:szCs w:val="24"/>
                <w:highlight w:val="none"/>
              </w:rPr>
              <w:t>运输扬尘</w:t>
            </w:r>
          </w:p>
          <w:p>
            <w:pPr>
              <w:widowControl/>
              <w:spacing w:line="480" w:lineRule="exact"/>
              <w:ind w:firstLine="480" w:firstLineChars="200"/>
              <w:jc w:val="left"/>
              <w:rPr>
                <w:rFonts w:hint="default" w:ascii="Times New Roman" w:hAnsi="Times New Roman" w:cs="Times New Roman"/>
                <w:color w:val="auto"/>
                <w:spacing w:val="4"/>
                <w:sz w:val="24"/>
                <w:szCs w:val="24"/>
                <w:highlight w:val="none"/>
              </w:rPr>
            </w:pPr>
            <w:r>
              <w:rPr>
                <w:rFonts w:hint="eastAsia" w:cs="Times New Roman"/>
                <w:color w:val="auto"/>
                <w:sz w:val="24"/>
                <w:szCs w:val="24"/>
                <w:highlight w:val="none"/>
                <w:lang w:eastAsia="zh-CN"/>
              </w:rPr>
              <w:t>煤泥</w:t>
            </w:r>
            <w:r>
              <w:rPr>
                <w:rFonts w:hint="default" w:ascii="Times New Roman" w:hAnsi="Times New Roman" w:cs="Times New Roman"/>
                <w:color w:val="auto"/>
                <w:sz w:val="24"/>
                <w:szCs w:val="24"/>
                <w:highlight w:val="none"/>
              </w:rPr>
              <w:t>的运输会产生运输扬尘，</w:t>
            </w:r>
            <w:r>
              <w:rPr>
                <w:rFonts w:hint="default" w:ascii="Times New Roman" w:hAnsi="Times New Roman" w:cs="Times New Roman"/>
                <w:color w:val="auto"/>
                <w:spacing w:val="4"/>
                <w:sz w:val="24"/>
                <w:szCs w:val="24"/>
                <w:highlight w:val="none"/>
              </w:rPr>
              <w:t>起尘采用下述经验公式进行计算：</w:t>
            </w:r>
          </w:p>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P</w:t>
            </w:r>
            <w:r>
              <w:rPr>
                <w:rFonts w:hint="default" w:ascii="Times New Roman" w:hAnsi="Times New Roman" w:eastAsia="宋体" w:cs="Times New Roman"/>
                <w:color w:val="auto"/>
                <w:sz w:val="24"/>
                <w:szCs w:val="24"/>
                <w:highlight w:val="none"/>
                <w:lang w:val="zh-CN"/>
              </w:rPr>
              <w:t>=0.123×（V/5）×（M/6.8）</w:t>
            </w:r>
            <w:r>
              <w:rPr>
                <w:rFonts w:hint="default" w:ascii="Times New Roman" w:hAnsi="Times New Roman" w:eastAsia="宋体" w:cs="Times New Roman"/>
                <w:color w:val="auto"/>
                <w:sz w:val="24"/>
                <w:szCs w:val="24"/>
                <w:highlight w:val="none"/>
                <w:vertAlign w:val="superscript"/>
                <w:lang w:val="zh-CN"/>
              </w:rPr>
              <w:t>0.85</w:t>
            </w:r>
            <w:r>
              <w:rPr>
                <w:rFonts w:hint="default" w:ascii="Times New Roman" w:hAnsi="Times New Roman" w:eastAsia="宋体" w:cs="Times New Roman"/>
                <w:color w:val="auto"/>
                <w:sz w:val="24"/>
                <w:szCs w:val="24"/>
                <w:highlight w:val="none"/>
                <w:lang w:val="zh-CN"/>
              </w:rPr>
              <w:t>×（P/0.5）</w:t>
            </w:r>
            <w:r>
              <w:rPr>
                <w:rFonts w:hint="default" w:ascii="Times New Roman" w:hAnsi="Times New Roman" w:eastAsia="宋体" w:cs="Times New Roman"/>
                <w:color w:val="auto"/>
                <w:sz w:val="24"/>
                <w:szCs w:val="24"/>
                <w:highlight w:val="none"/>
                <w:vertAlign w:val="superscript"/>
                <w:lang w:val="zh-CN"/>
              </w:rPr>
              <w:t>0.72</w:t>
            </w:r>
          </w:p>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P</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P</w:t>
            </w:r>
            <w:r>
              <w:rPr>
                <w:rFonts w:hint="default" w:ascii="Times New Roman" w:hAnsi="Times New Roman" w:eastAsia="宋体" w:cs="Times New Roman"/>
                <w:color w:val="auto"/>
                <w:sz w:val="24"/>
                <w:szCs w:val="24"/>
                <w:highlight w:val="none"/>
                <w:lang w:val="zh-CN"/>
              </w:rPr>
              <w:t>×L×Q/M</w:t>
            </w:r>
          </w:p>
          <w:p>
            <w:pPr>
              <w:bidi w:val="0"/>
              <w:adjustRightInd w:val="0"/>
              <w:snapToGrid w:val="0"/>
              <w:spacing w:line="500" w:lineRule="exact"/>
              <w:ind w:firstLine="480" w:firstLineChars="200"/>
              <w:jc w:val="left"/>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式中：Q</w:t>
            </w:r>
            <w:r>
              <w:rPr>
                <w:rFonts w:hint="default" w:ascii="Times New Roman" w:hAnsi="Times New Roman" w:eastAsia="宋体" w:cs="Times New Roman"/>
                <w:color w:val="auto"/>
                <w:sz w:val="24"/>
                <w:szCs w:val="24"/>
                <w:highlight w:val="none"/>
                <w:vertAlign w:val="subscript"/>
                <w:lang w:val="zh-CN"/>
              </w:rPr>
              <w:t>P</w:t>
            </w:r>
            <w:r>
              <w:rPr>
                <w:rFonts w:hint="default" w:ascii="Times New Roman" w:hAnsi="Times New Roman" w:eastAsia="宋体" w:cs="Times New Roman"/>
                <w:color w:val="auto"/>
                <w:sz w:val="24"/>
                <w:szCs w:val="24"/>
                <w:highlight w:val="none"/>
                <w:lang w:val="zh-CN"/>
              </w:rPr>
              <w:t>——交通运输起尘量，kg/km.每车；</w:t>
            </w:r>
          </w:p>
          <w:p>
            <w:pPr>
              <w:bidi w:val="0"/>
              <w:adjustRightInd w:val="0"/>
              <w:snapToGrid w:val="0"/>
              <w:spacing w:line="500" w:lineRule="exact"/>
              <w:ind w:firstLine="1200" w:firstLineChars="500"/>
              <w:jc w:val="left"/>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P</w:t>
            </w:r>
            <w:r>
              <w:rPr>
                <w:rFonts w:hint="default" w:ascii="Times New Roman" w:hAnsi="Times New Roman" w:eastAsia="宋体" w:cs="Times New Roman"/>
                <w:color w:val="auto"/>
                <w:sz w:val="24"/>
                <w:szCs w:val="24"/>
                <w:highlight w:val="none"/>
                <w:lang w:val="zh-CN"/>
              </w:rPr>
              <w:t>——运输途中起尘量，kg/a；</w:t>
            </w:r>
          </w:p>
          <w:p>
            <w:pPr>
              <w:bidi w:val="0"/>
              <w:adjustRightInd w:val="0"/>
              <w:snapToGrid w:val="0"/>
              <w:spacing w:line="500" w:lineRule="exact"/>
              <w:ind w:firstLine="1200" w:firstLineChars="500"/>
              <w:jc w:val="left"/>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V——车辆行驶速度，10km/h；</w:t>
            </w:r>
          </w:p>
          <w:p>
            <w:pPr>
              <w:bidi w:val="0"/>
              <w:adjustRightInd w:val="0"/>
              <w:snapToGrid w:val="0"/>
              <w:spacing w:line="500" w:lineRule="exact"/>
              <w:ind w:firstLine="1200" w:firstLineChars="500"/>
              <w:jc w:val="left"/>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M——车辆载重，</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0t/辆；</w:t>
            </w:r>
          </w:p>
          <w:p>
            <w:pPr>
              <w:bidi w:val="0"/>
              <w:adjustRightInd w:val="0"/>
              <w:snapToGrid w:val="0"/>
              <w:spacing w:line="500" w:lineRule="exact"/>
              <w:ind w:firstLine="1200" w:firstLineChars="500"/>
              <w:jc w:val="left"/>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P——路面状况，以每m</w:t>
            </w:r>
            <w:r>
              <w:rPr>
                <w:rFonts w:hint="default" w:ascii="Times New Roman" w:hAnsi="Times New Roman" w:eastAsia="宋体" w:cs="Times New Roman"/>
                <w:color w:val="auto"/>
                <w:sz w:val="24"/>
                <w:szCs w:val="24"/>
                <w:highlight w:val="none"/>
                <w:vertAlign w:val="superscript"/>
                <w:lang w:val="zh-CN"/>
              </w:rPr>
              <w:t>2</w:t>
            </w:r>
            <w:r>
              <w:rPr>
                <w:rFonts w:hint="default" w:ascii="Times New Roman" w:hAnsi="Times New Roman" w:eastAsia="宋体" w:cs="Times New Roman"/>
                <w:color w:val="auto"/>
                <w:sz w:val="24"/>
                <w:szCs w:val="24"/>
                <w:highlight w:val="none"/>
                <w:lang w:val="zh-CN"/>
              </w:rPr>
              <w:t>路面灰尘覆盖率表示，0.</w:t>
            </w:r>
            <w:r>
              <w:rPr>
                <w:rFonts w:hint="eastAsia"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lang w:val="zh-CN"/>
              </w:rPr>
              <w:t>kg/m</w:t>
            </w:r>
            <w:r>
              <w:rPr>
                <w:rFonts w:hint="default" w:ascii="Times New Roman" w:hAnsi="Times New Roman" w:eastAsia="宋体" w:cs="Times New Roman"/>
                <w:color w:val="auto"/>
                <w:sz w:val="24"/>
                <w:szCs w:val="24"/>
                <w:highlight w:val="none"/>
                <w:vertAlign w:val="superscript"/>
                <w:lang w:val="zh-CN"/>
              </w:rPr>
              <w:t>2</w:t>
            </w:r>
            <w:r>
              <w:rPr>
                <w:rFonts w:hint="default" w:ascii="Times New Roman" w:hAnsi="Times New Roman" w:eastAsia="宋体" w:cs="Times New Roman"/>
                <w:color w:val="auto"/>
                <w:sz w:val="24"/>
                <w:szCs w:val="24"/>
                <w:highlight w:val="none"/>
                <w:lang w:val="zh-CN"/>
              </w:rPr>
              <w:t>；</w:t>
            </w:r>
          </w:p>
          <w:p>
            <w:pPr>
              <w:bidi w:val="0"/>
              <w:adjustRightInd w:val="0"/>
              <w:snapToGrid w:val="0"/>
              <w:spacing w:line="500" w:lineRule="exact"/>
              <w:ind w:firstLine="1200" w:firstLineChars="500"/>
              <w:jc w:val="left"/>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L——运输距离，0.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km；</w:t>
            </w:r>
          </w:p>
          <w:p>
            <w:pPr>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default" w:ascii="Times New Roman" w:hAnsi="Times New Roman" w:cs="Times New Roman"/>
                <w:color w:val="auto"/>
                <w:spacing w:val="4"/>
                <w:sz w:val="24"/>
                <w:szCs w:val="24"/>
                <w:highlight w:val="red"/>
              </w:rPr>
            </w:pPr>
            <w:r>
              <w:rPr>
                <w:rFonts w:hint="default" w:ascii="Times New Roman" w:hAnsi="Times New Roman" w:eastAsia="宋体" w:cs="Times New Roman"/>
                <w:color w:val="auto"/>
                <w:sz w:val="24"/>
                <w:szCs w:val="24"/>
                <w:highlight w:val="none"/>
                <w:lang w:val="zh-CN"/>
              </w:rPr>
              <w:t>Q——运输量，</w:t>
            </w:r>
            <w:r>
              <w:rPr>
                <w:rFonts w:hint="eastAsia" w:ascii="Times New Roman" w:hAnsi="Times New Roman" w:eastAsia="宋体" w:cs="Times New Roman"/>
                <w:color w:val="auto"/>
                <w:sz w:val="24"/>
                <w:szCs w:val="24"/>
                <w:highlight w:val="none"/>
                <w:lang w:val="en-US" w:eastAsia="zh-CN"/>
              </w:rPr>
              <w:t>28.</w:t>
            </w:r>
            <w:r>
              <w:rPr>
                <w:rFonts w:hint="eastAsia"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lang w:val="zh-CN"/>
              </w:rPr>
              <w:t>万t/a</w:t>
            </w:r>
            <w:r>
              <w:rPr>
                <w:rFonts w:hint="default" w:ascii="Times New Roman" w:hAnsi="Times New Roman"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val="0"/>
              <w:spacing w:line="500" w:lineRule="exact"/>
              <w:ind w:firstLine="496" w:firstLineChars="200"/>
              <w:textAlignment w:val="auto"/>
              <w:rPr>
                <w:rFonts w:hint="default" w:ascii="Times New Roman" w:hAnsi="Times New Roman" w:cs="Times New Roman"/>
                <w:color w:val="auto"/>
                <w:spacing w:val="4"/>
                <w:sz w:val="24"/>
                <w:szCs w:val="24"/>
                <w:highlight w:val="none"/>
                <w:lang w:val="zh-CN"/>
              </w:rPr>
            </w:pPr>
            <w:r>
              <w:rPr>
                <w:rFonts w:hint="default" w:ascii="Times New Roman" w:hAnsi="Times New Roman" w:cs="Times New Roman"/>
                <w:color w:val="auto"/>
                <w:spacing w:val="4"/>
                <w:sz w:val="24"/>
                <w:szCs w:val="24"/>
                <w:highlight w:val="none"/>
                <w:lang w:val="zh-CN"/>
              </w:rPr>
              <w:t>经计算，Q</w:t>
            </w:r>
            <w:r>
              <w:rPr>
                <w:rFonts w:hint="default" w:ascii="Times New Roman" w:hAnsi="Times New Roman" w:cs="Times New Roman"/>
                <w:color w:val="auto"/>
                <w:spacing w:val="4"/>
                <w:sz w:val="24"/>
                <w:szCs w:val="24"/>
                <w:highlight w:val="none"/>
                <w:vertAlign w:val="subscript"/>
                <w:lang w:val="zh-CN"/>
              </w:rPr>
              <w:t>P</w:t>
            </w:r>
            <w:r>
              <w:rPr>
                <w:rFonts w:hint="default" w:ascii="Times New Roman" w:hAnsi="Times New Roman" w:cs="Times New Roman"/>
                <w:color w:val="auto"/>
                <w:spacing w:val="4"/>
                <w:sz w:val="24"/>
                <w:szCs w:val="24"/>
                <w:highlight w:val="none"/>
                <w:lang w:val="zh-CN"/>
              </w:rPr>
              <w:t>=</w:t>
            </w:r>
            <w:r>
              <w:rPr>
                <w:rFonts w:hint="default" w:ascii="Times New Roman" w:hAnsi="Times New Roman" w:cs="Times New Roman"/>
                <w:color w:val="auto"/>
                <w:spacing w:val="4"/>
                <w:sz w:val="24"/>
                <w:szCs w:val="24"/>
                <w:highlight w:val="none"/>
                <w:lang w:val="en-US" w:eastAsia="zh-CN"/>
              </w:rPr>
              <w:t>0.</w:t>
            </w:r>
            <w:r>
              <w:rPr>
                <w:rFonts w:hint="eastAsia" w:cs="Times New Roman"/>
                <w:color w:val="auto"/>
                <w:spacing w:val="4"/>
                <w:sz w:val="24"/>
                <w:szCs w:val="24"/>
                <w:highlight w:val="none"/>
                <w:lang w:val="en-US" w:eastAsia="zh-CN"/>
              </w:rPr>
              <w:t>12</w:t>
            </w:r>
            <w:r>
              <w:rPr>
                <w:rFonts w:hint="default" w:ascii="Times New Roman" w:hAnsi="Times New Roman" w:cs="Times New Roman"/>
                <w:color w:val="auto"/>
                <w:spacing w:val="4"/>
                <w:sz w:val="24"/>
                <w:szCs w:val="24"/>
                <w:highlight w:val="none"/>
                <w:lang w:val="zh-CN"/>
              </w:rPr>
              <w:t>kg/km</w:t>
            </w:r>
            <w:r>
              <w:rPr>
                <w:rFonts w:hint="default" w:ascii="Times New Roman" w:hAnsi="Times New Roman" w:cs="Times New Roman"/>
                <w:color w:val="auto"/>
                <w:spacing w:val="4"/>
                <w:sz w:val="24"/>
                <w:szCs w:val="24"/>
                <w:highlight w:val="none"/>
                <w:lang w:val="en-US" w:eastAsia="zh-CN"/>
              </w:rPr>
              <w:t>·</w:t>
            </w:r>
            <w:r>
              <w:rPr>
                <w:rFonts w:hint="default" w:ascii="Times New Roman" w:hAnsi="Times New Roman" w:cs="Times New Roman"/>
                <w:color w:val="auto"/>
                <w:spacing w:val="4"/>
                <w:sz w:val="24"/>
                <w:szCs w:val="24"/>
                <w:highlight w:val="none"/>
                <w:lang w:val="zh-CN"/>
              </w:rPr>
              <w:t>每车，Q′</w:t>
            </w:r>
            <w:r>
              <w:rPr>
                <w:rFonts w:hint="default" w:ascii="Times New Roman" w:hAnsi="Times New Roman" w:cs="Times New Roman"/>
                <w:color w:val="auto"/>
                <w:spacing w:val="4"/>
                <w:sz w:val="24"/>
                <w:szCs w:val="24"/>
                <w:highlight w:val="none"/>
                <w:vertAlign w:val="subscript"/>
                <w:lang w:val="zh-CN"/>
              </w:rPr>
              <w:t>P</w:t>
            </w:r>
            <w:r>
              <w:rPr>
                <w:rFonts w:hint="default" w:ascii="Times New Roman" w:hAnsi="Times New Roman" w:cs="Times New Roman"/>
                <w:color w:val="auto"/>
                <w:spacing w:val="4"/>
                <w:sz w:val="24"/>
                <w:szCs w:val="24"/>
                <w:highlight w:val="none"/>
                <w:lang w:val="zh-CN"/>
              </w:rPr>
              <w:t>=</w:t>
            </w:r>
            <w:r>
              <w:rPr>
                <w:rFonts w:hint="eastAsia" w:cs="Times New Roman"/>
                <w:color w:val="auto"/>
                <w:spacing w:val="4"/>
                <w:sz w:val="24"/>
                <w:szCs w:val="24"/>
                <w:highlight w:val="none"/>
                <w:lang w:val="en-US" w:eastAsia="zh-CN"/>
              </w:rPr>
              <w:t>0.33</w:t>
            </w:r>
            <w:r>
              <w:rPr>
                <w:rFonts w:hint="default" w:ascii="Times New Roman" w:hAnsi="Times New Roman" w:cs="Times New Roman"/>
                <w:color w:val="auto"/>
                <w:spacing w:val="4"/>
                <w:sz w:val="24"/>
                <w:szCs w:val="24"/>
                <w:highlight w:val="none"/>
                <w:lang w:val="zh-CN"/>
              </w:rPr>
              <w:t>t/a。</w:t>
            </w:r>
          </w:p>
          <w:p>
            <w:pPr>
              <w:keepNext w:val="0"/>
              <w:keepLines w:val="0"/>
              <w:pageBreakBefore w:val="0"/>
              <w:widowControl w:val="0"/>
              <w:kinsoku/>
              <w:wordWrap/>
              <w:overflowPunct/>
              <w:topLinePunct w:val="0"/>
              <w:autoSpaceDE/>
              <w:autoSpaceDN/>
              <w:bidi w:val="0"/>
              <w:adjustRightInd/>
              <w:snapToGrid w:val="0"/>
              <w:spacing w:line="500" w:lineRule="exact"/>
              <w:ind w:firstLine="496" w:firstLineChars="200"/>
              <w:textAlignment w:val="auto"/>
              <w:rPr>
                <w:rFonts w:hint="default" w:ascii="Times New Roman" w:hAnsi="Times New Roman" w:cs="Times New Roman"/>
                <w:color w:val="auto"/>
                <w:spacing w:val="4"/>
                <w:sz w:val="24"/>
                <w:szCs w:val="24"/>
                <w:highlight w:val="none"/>
                <w:lang w:val="zh-CN"/>
              </w:rPr>
            </w:pPr>
            <w:r>
              <w:rPr>
                <w:rFonts w:hint="default" w:ascii="Times New Roman" w:hAnsi="Times New Roman" w:cs="Times New Roman"/>
                <w:color w:val="auto"/>
                <w:spacing w:val="4"/>
                <w:sz w:val="24"/>
                <w:szCs w:val="24"/>
                <w:highlight w:val="none"/>
                <w:lang w:val="zh-CN"/>
              </w:rPr>
              <w:t>为不影响周围环境，对运输扬尘采取以下措施：</w:t>
            </w:r>
          </w:p>
          <w:p>
            <w:pPr>
              <w:keepNext w:val="0"/>
              <w:keepLines w:val="0"/>
              <w:pageBreakBefore w:val="0"/>
              <w:widowControl w:val="0"/>
              <w:kinsoku/>
              <w:wordWrap/>
              <w:overflowPunct/>
              <w:topLinePunct w:val="0"/>
              <w:autoSpaceDE/>
              <w:autoSpaceDN/>
              <w:bidi w:val="0"/>
              <w:adjustRightInd/>
              <w:snapToGrid w:val="0"/>
              <w:spacing w:line="500" w:lineRule="exact"/>
              <w:ind w:firstLine="496" w:firstLineChars="200"/>
              <w:textAlignment w:val="auto"/>
              <w:rPr>
                <w:rFonts w:hint="default" w:ascii="Times New Roman" w:hAnsi="Times New Roman" w:cs="Times New Roman"/>
                <w:color w:val="auto"/>
                <w:spacing w:val="4"/>
                <w:sz w:val="24"/>
                <w:szCs w:val="24"/>
                <w:highlight w:val="none"/>
                <w:lang w:val="zh-CN"/>
              </w:rPr>
            </w:pPr>
            <w:r>
              <w:rPr>
                <w:rFonts w:hint="default" w:ascii="Times New Roman" w:hAnsi="Times New Roman" w:cs="Times New Roman"/>
                <w:color w:val="auto"/>
                <w:spacing w:val="4"/>
                <w:sz w:val="24"/>
                <w:szCs w:val="24"/>
                <w:highlight w:val="none"/>
                <w:lang w:val="zh-CN"/>
              </w:rPr>
              <w:t>①配备洒水车定期洒水抑尘；</w:t>
            </w:r>
          </w:p>
          <w:p>
            <w:pPr>
              <w:keepNext w:val="0"/>
              <w:keepLines w:val="0"/>
              <w:pageBreakBefore w:val="0"/>
              <w:widowControl w:val="0"/>
              <w:kinsoku/>
              <w:wordWrap/>
              <w:overflowPunct/>
              <w:topLinePunct w:val="0"/>
              <w:autoSpaceDE/>
              <w:autoSpaceDN/>
              <w:bidi w:val="0"/>
              <w:adjustRightInd/>
              <w:snapToGrid w:val="0"/>
              <w:spacing w:line="500" w:lineRule="exact"/>
              <w:ind w:firstLine="496" w:firstLineChars="200"/>
              <w:textAlignment w:val="auto"/>
              <w:rPr>
                <w:rFonts w:hint="default" w:ascii="Times New Roman" w:hAnsi="Times New Roman" w:cs="Times New Roman"/>
                <w:color w:val="auto"/>
                <w:spacing w:val="4"/>
                <w:sz w:val="24"/>
                <w:szCs w:val="24"/>
                <w:highlight w:val="none"/>
                <w:lang w:val="zh-CN"/>
              </w:rPr>
            </w:pPr>
            <w:r>
              <w:rPr>
                <w:rFonts w:hint="default" w:ascii="Times New Roman" w:hAnsi="Times New Roman" w:cs="Times New Roman"/>
                <w:color w:val="auto"/>
                <w:spacing w:val="4"/>
                <w:sz w:val="24"/>
                <w:szCs w:val="24"/>
                <w:highlight w:val="none"/>
                <w:lang w:val="zh-CN"/>
              </w:rPr>
              <w:t>②本项目运输车辆篷布苫盖，严禁超载，设洗车平台。</w:t>
            </w:r>
          </w:p>
          <w:p>
            <w:pPr>
              <w:keepNext w:val="0"/>
              <w:keepLines w:val="0"/>
              <w:pageBreakBefore w:val="0"/>
              <w:widowControl w:val="0"/>
              <w:kinsoku/>
              <w:wordWrap/>
              <w:overflowPunct/>
              <w:topLinePunct w:val="0"/>
              <w:autoSpaceDE/>
              <w:autoSpaceDN/>
              <w:bidi w:val="0"/>
              <w:adjustRightInd/>
              <w:snapToGrid w:val="0"/>
              <w:spacing w:line="500" w:lineRule="exact"/>
              <w:ind w:firstLine="496" w:firstLineChars="200"/>
              <w:textAlignment w:val="auto"/>
              <w:rPr>
                <w:rFonts w:hint="default" w:ascii="Times New Roman" w:hAnsi="Times New Roman" w:cs="Times New Roman"/>
                <w:color w:val="auto"/>
                <w:spacing w:val="4"/>
                <w:sz w:val="24"/>
                <w:szCs w:val="24"/>
                <w:highlight w:val="none"/>
                <w:lang w:val="zh-CN"/>
              </w:rPr>
            </w:pPr>
            <w:r>
              <w:rPr>
                <w:rFonts w:hint="default" w:ascii="Times New Roman" w:hAnsi="Times New Roman" w:cs="Times New Roman"/>
                <w:color w:val="auto"/>
                <w:spacing w:val="4"/>
                <w:sz w:val="24"/>
                <w:szCs w:val="24"/>
                <w:highlight w:val="none"/>
                <w:lang w:val="zh-CN"/>
              </w:rPr>
              <w:t>采取以上措施后可抑尘</w:t>
            </w:r>
            <w:r>
              <w:rPr>
                <w:rFonts w:hint="eastAsia" w:cs="Times New Roman"/>
                <w:color w:val="auto"/>
                <w:spacing w:val="4"/>
                <w:sz w:val="24"/>
                <w:szCs w:val="24"/>
                <w:highlight w:val="none"/>
                <w:lang w:val="en-US" w:eastAsia="zh-CN"/>
              </w:rPr>
              <w:t>70</w:t>
            </w:r>
            <w:r>
              <w:rPr>
                <w:rFonts w:hint="default" w:ascii="Times New Roman" w:hAnsi="Times New Roman" w:cs="Times New Roman"/>
                <w:color w:val="auto"/>
                <w:spacing w:val="4"/>
                <w:sz w:val="24"/>
                <w:szCs w:val="24"/>
                <w:highlight w:val="none"/>
                <w:lang w:val="zh-CN"/>
              </w:rPr>
              <w:t>%，运输扬尘可减少至</w:t>
            </w:r>
            <w:r>
              <w:rPr>
                <w:rFonts w:hint="default" w:ascii="Times New Roman" w:hAnsi="Times New Roman" w:cs="Times New Roman"/>
                <w:color w:val="auto"/>
                <w:spacing w:val="4"/>
                <w:sz w:val="24"/>
                <w:szCs w:val="24"/>
                <w:highlight w:val="none"/>
                <w:lang w:val="en-US" w:eastAsia="zh-CN"/>
              </w:rPr>
              <w:t>0.</w:t>
            </w:r>
            <w:r>
              <w:rPr>
                <w:rFonts w:hint="eastAsia" w:cs="Times New Roman"/>
                <w:color w:val="auto"/>
                <w:spacing w:val="4"/>
                <w:sz w:val="24"/>
                <w:szCs w:val="24"/>
                <w:highlight w:val="none"/>
                <w:lang w:val="en-US" w:eastAsia="zh-CN"/>
              </w:rPr>
              <w:t>10</w:t>
            </w:r>
            <w:r>
              <w:rPr>
                <w:rFonts w:hint="default" w:ascii="Times New Roman" w:hAnsi="Times New Roman" w:cs="Times New Roman"/>
                <w:color w:val="auto"/>
                <w:spacing w:val="4"/>
                <w:sz w:val="24"/>
                <w:szCs w:val="24"/>
                <w:highlight w:val="none"/>
                <w:lang w:val="zh-CN"/>
              </w:rPr>
              <w:t>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eastAsia="zh-CN"/>
              </w:rPr>
              <w:t>）煤泥堆放、装卸</w:t>
            </w:r>
            <w:r>
              <w:rPr>
                <w:rFonts w:hint="eastAsia" w:cs="Times New Roman"/>
                <w:color w:val="auto"/>
                <w:sz w:val="24"/>
                <w:szCs w:val="24"/>
                <w:highlight w:val="none"/>
                <w:lang w:eastAsia="zh-CN"/>
              </w:rPr>
              <w:t>、转载</w:t>
            </w:r>
            <w:r>
              <w:rPr>
                <w:rFonts w:hint="eastAsia" w:ascii="Times New Roman" w:hAnsi="Times New Roman" w:cs="Times New Roman"/>
                <w:color w:val="auto"/>
                <w:sz w:val="24"/>
                <w:szCs w:val="24"/>
                <w:highlight w:val="none"/>
                <w:lang w:eastAsia="zh-CN"/>
              </w:rPr>
              <w:t>时产生的</w:t>
            </w:r>
            <w:r>
              <w:rPr>
                <w:rFonts w:hint="eastAsia" w:cs="Times New Roman"/>
                <w:color w:val="auto"/>
                <w:sz w:val="24"/>
                <w:szCs w:val="24"/>
                <w:highlight w:val="none"/>
                <w:lang w:eastAsia="zh-CN"/>
              </w:rPr>
              <w:t>粉尘</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Times New Roman" w:hAnsi="Times New Roman" w:eastAsia="宋体" w:cs="Times New Roman"/>
                <w:sz w:val="24"/>
                <w:szCs w:val="24"/>
                <w:highlight w:val="none"/>
                <w:lang w:val="zh-CN" w:eastAsia="zh-CN"/>
              </w:rPr>
            </w:pPr>
            <w:r>
              <w:rPr>
                <w:rFonts w:hint="default"/>
                <w:sz w:val="24"/>
                <w:szCs w:val="24"/>
                <w:lang w:val="zh-CN" w:eastAsia="zh-CN"/>
              </w:rPr>
              <w:t>转载采用全封闭输送带</w:t>
            </w:r>
            <w:r>
              <w:rPr>
                <w:rFonts w:hint="eastAsia" w:ascii="Times New Roman" w:hAnsi="Times New Roman" w:cs="Times New Roman"/>
                <w:color w:val="auto"/>
                <w:sz w:val="24"/>
                <w:szCs w:val="24"/>
                <w:highlight w:val="none"/>
                <w:lang w:eastAsia="zh-CN"/>
              </w:rPr>
              <w:t>，基本不产尘；</w:t>
            </w:r>
            <w:r>
              <w:rPr>
                <w:rFonts w:hint="eastAsia"/>
                <w:sz w:val="24"/>
                <w:szCs w:val="24"/>
                <w:lang w:val="zh-CN" w:eastAsia="zh-CN"/>
              </w:rPr>
              <w:t>煤泥装卸及堆放扬尘</w:t>
            </w:r>
            <w:r>
              <w:rPr>
                <w:rFonts w:hint="eastAsia" w:ascii="Times New Roman" w:hAnsi="Times New Roman" w:eastAsia="宋体" w:cs="Times New Roman"/>
                <w:sz w:val="24"/>
                <w:szCs w:val="24"/>
                <w:highlight w:val="none"/>
                <w:lang w:val="zh-CN" w:eastAsia="zh-CN"/>
              </w:rPr>
              <w:t>参照《固体物料堆存颗粒物产排污核算系数手册》中颗粒物产生量核算方法，工业企业固体物料堆存颗粒物包括装卸扬尘和风蚀扬尘，颗粒物产生量核算公式如下：</w:t>
            </w:r>
          </w:p>
          <w:p>
            <w:pPr>
              <w:keepNext w:val="0"/>
              <w:keepLines w:val="0"/>
              <w:pageBreakBefore w:val="0"/>
              <w:widowControl w:val="0"/>
              <w:kinsoku/>
              <w:wordWrap/>
              <w:overflowPunct/>
              <w:topLinePunct w:val="0"/>
              <w:autoSpaceDE/>
              <w:autoSpaceDN/>
              <w:bidi w:val="0"/>
              <w:adjustRightInd w:val="0"/>
              <w:snapToGrid w:val="0"/>
              <w:spacing w:before="157" w:beforeLines="50" w:line="500" w:lineRule="exact"/>
              <w:ind w:left="0" w:leftChars="0" w:firstLine="0" w:firstLineChars="0"/>
              <w:jc w:val="center"/>
              <w:textAlignment w:val="auto"/>
              <w:rPr>
                <w:rFonts w:hint="eastAsia"/>
                <w:sz w:val="24"/>
                <w:szCs w:val="24"/>
                <w:lang w:val="en-US" w:eastAsia="zh-CN"/>
              </w:rPr>
            </w:pPr>
            <w:r>
              <w:drawing>
                <wp:inline distT="0" distB="0" distL="114300" distR="114300">
                  <wp:extent cx="3952875" cy="304800"/>
                  <wp:effectExtent l="0" t="0" r="9525"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pic:cNvPicPr>
                            <a:picLocks noChangeAspect="1"/>
                          </pic:cNvPicPr>
                        </pic:nvPicPr>
                        <pic:blipFill>
                          <a:blip r:embed="rId18"/>
                          <a:stretch>
                            <a:fillRect/>
                          </a:stretch>
                        </pic:blipFill>
                        <pic:spPr>
                          <a:xfrm>
                            <a:off x="0" y="0"/>
                            <a:ext cx="3952875" cy="304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sz w:val="24"/>
                <w:szCs w:val="24"/>
                <w:lang w:val="en-US" w:eastAsia="zh-CN"/>
              </w:rPr>
            </w:pPr>
            <w:r>
              <w:rPr>
                <w:rFonts w:hint="eastAsia"/>
                <w:sz w:val="24"/>
                <w:szCs w:val="24"/>
                <w:lang w:val="en-US" w:eastAsia="zh-CN"/>
              </w:rPr>
              <w:t>式中：P指颗粒物产生量（单位：吨）；</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sz w:val="24"/>
                <w:szCs w:val="24"/>
                <w:lang w:val="en-US" w:eastAsia="zh-CN"/>
              </w:rPr>
            </w:pPr>
            <w:r>
              <w:rPr>
                <w:rFonts w:hint="eastAsia"/>
                <w:sz w:val="24"/>
                <w:szCs w:val="24"/>
                <w:lang w:val="en-US" w:eastAsia="zh-CN"/>
              </w:rPr>
              <w:t>ZC</w:t>
            </w:r>
            <w:r>
              <w:rPr>
                <w:rFonts w:hint="eastAsia"/>
                <w:sz w:val="24"/>
                <w:szCs w:val="24"/>
                <w:vertAlign w:val="subscript"/>
                <w:lang w:val="en-US" w:eastAsia="zh-CN"/>
              </w:rPr>
              <w:t>y</w:t>
            </w:r>
            <w:r>
              <w:rPr>
                <w:rFonts w:hint="eastAsia"/>
                <w:sz w:val="24"/>
                <w:szCs w:val="24"/>
                <w:lang w:val="en-US" w:eastAsia="zh-CN"/>
              </w:rPr>
              <w:t>指装卸扬尘产生量（单位：吨）；</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sz w:val="24"/>
                <w:szCs w:val="24"/>
                <w:lang w:val="en-US" w:eastAsia="zh-CN"/>
              </w:rPr>
            </w:pPr>
            <w:r>
              <w:rPr>
                <w:rFonts w:hint="eastAsia"/>
                <w:sz w:val="24"/>
                <w:szCs w:val="24"/>
                <w:lang w:val="en-US" w:eastAsia="zh-CN"/>
              </w:rPr>
              <w:t>FC</w:t>
            </w:r>
            <w:r>
              <w:rPr>
                <w:rFonts w:hint="eastAsia"/>
                <w:sz w:val="24"/>
                <w:szCs w:val="24"/>
                <w:vertAlign w:val="subscript"/>
                <w:lang w:val="en-US" w:eastAsia="zh-CN"/>
              </w:rPr>
              <w:t>y</w:t>
            </w:r>
            <w:r>
              <w:rPr>
                <w:rFonts w:hint="eastAsia"/>
                <w:sz w:val="24"/>
                <w:szCs w:val="24"/>
                <w:lang w:val="en-US" w:eastAsia="zh-CN"/>
              </w:rPr>
              <w:t>指风蚀扬尘产生量（单位：吨）；</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sz w:val="24"/>
                <w:szCs w:val="24"/>
                <w:lang w:val="en-US" w:eastAsia="zh-CN"/>
              </w:rPr>
            </w:pPr>
            <w:r>
              <w:rPr>
                <w:rFonts w:hint="eastAsia"/>
                <w:sz w:val="24"/>
                <w:szCs w:val="24"/>
                <w:lang w:val="en-US" w:eastAsia="zh-CN"/>
              </w:rPr>
              <w:t>Nc指年物料运载车次，14155车；</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sz w:val="24"/>
                <w:szCs w:val="24"/>
                <w:lang w:val="en-US" w:eastAsia="zh-CN"/>
              </w:rPr>
            </w:pPr>
            <w:r>
              <w:rPr>
                <w:rFonts w:hint="eastAsia"/>
                <w:sz w:val="24"/>
                <w:szCs w:val="24"/>
                <w:lang w:val="en-US" w:eastAsia="zh-CN"/>
              </w:rPr>
              <w:t>D指单车平均运载量，20吨/车；</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sz w:val="24"/>
                <w:szCs w:val="24"/>
                <w:lang w:val="en-US" w:eastAsia="zh-CN"/>
              </w:rPr>
            </w:pPr>
            <w:r>
              <w:rPr>
                <w:rFonts w:hint="eastAsia"/>
                <w:sz w:val="24"/>
                <w:szCs w:val="24"/>
                <w:lang w:val="en-US" w:eastAsia="zh-CN"/>
              </w:rPr>
              <w:t>（a/b）指装卸扬尘概化系数（单位：千克/吨），a指各省风速概化系数，0.001；b指物料含水率概化系数，湿煤泥库0.25，干煤泥库0.155；</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sz w:val="24"/>
                <w:szCs w:val="24"/>
                <w:lang w:val="en-US" w:eastAsia="zh-CN"/>
              </w:rPr>
            </w:pPr>
            <w:r>
              <w:rPr>
                <w:rFonts w:hint="eastAsia"/>
                <w:sz w:val="24"/>
                <w:szCs w:val="24"/>
                <w:lang w:val="en-US" w:eastAsia="zh-CN"/>
              </w:rPr>
              <w:t>E</w:t>
            </w:r>
            <w:r>
              <w:rPr>
                <w:rFonts w:hint="eastAsia"/>
                <w:sz w:val="24"/>
                <w:szCs w:val="24"/>
                <w:vertAlign w:val="subscript"/>
                <w:lang w:val="en-US" w:eastAsia="zh-CN"/>
              </w:rPr>
              <w:t>f</w:t>
            </w:r>
            <w:r>
              <w:rPr>
                <w:rFonts w:hint="eastAsia"/>
                <w:sz w:val="24"/>
                <w:szCs w:val="24"/>
                <w:lang w:val="en-US" w:eastAsia="zh-CN"/>
              </w:rPr>
              <w:t>指堆场风蚀扬尘概化系数，</w:t>
            </w:r>
            <w:r>
              <w:rPr>
                <w:rFonts w:hint="default" w:ascii="Times New Roman" w:hAnsi="Times New Roman" w:eastAsia="宋体" w:cs="Times New Roman"/>
                <w:sz w:val="24"/>
                <w:szCs w:val="24"/>
                <w:lang w:val="zh-CN" w:eastAsia="zh-CN"/>
              </w:rPr>
              <w:t>本项目</w:t>
            </w:r>
            <w:r>
              <w:rPr>
                <w:rFonts w:hint="eastAsia" w:ascii="Times New Roman" w:hAnsi="Times New Roman" w:eastAsia="宋体" w:cs="Times New Roman"/>
                <w:sz w:val="24"/>
                <w:szCs w:val="24"/>
                <w:lang w:val="zh-CN" w:eastAsia="zh-CN"/>
              </w:rPr>
              <w:t>储煤库</w:t>
            </w:r>
            <w:r>
              <w:rPr>
                <w:rFonts w:hint="default" w:ascii="Times New Roman" w:hAnsi="Times New Roman" w:eastAsia="宋体" w:cs="Times New Roman"/>
                <w:sz w:val="24"/>
                <w:szCs w:val="24"/>
                <w:lang w:val="zh-CN" w:eastAsia="zh-CN"/>
              </w:rPr>
              <w:t>全封闭</w:t>
            </w:r>
            <w:r>
              <w:rPr>
                <w:rFonts w:hint="eastAsia" w:ascii="Times New Roman" w:hAnsi="Times New Roman" w:eastAsia="宋体" w:cs="Times New Roman"/>
                <w:sz w:val="24"/>
                <w:szCs w:val="24"/>
                <w:lang w:val="zh-CN" w:eastAsia="zh-CN"/>
              </w:rPr>
              <w:t>，故不考虑风蚀</w:t>
            </w:r>
            <w:r>
              <w:rPr>
                <w:rFonts w:hint="eastAsia"/>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sz w:val="24"/>
                <w:szCs w:val="24"/>
                <w:lang w:val="en-US" w:eastAsia="zh-CN"/>
              </w:rPr>
            </w:pPr>
            <w:r>
              <w:rPr>
                <w:rFonts w:hint="eastAsia"/>
                <w:sz w:val="24"/>
                <w:szCs w:val="24"/>
                <w:lang w:val="en-US" w:eastAsia="zh-CN"/>
              </w:rPr>
              <w:t>S指堆场占地面积，湿煤泥库500m</w:t>
            </w:r>
            <w:r>
              <w:rPr>
                <w:rFonts w:hint="eastAsia"/>
                <w:sz w:val="24"/>
                <w:szCs w:val="24"/>
                <w:vertAlign w:val="superscript"/>
                <w:lang w:val="en-US" w:eastAsia="zh-CN"/>
              </w:rPr>
              <w:t>2</w:t>
            </w:r>
            <w:r>
              <w:rPr>
                <w:rFonts w:hint="eastAsia"/>
                <w:sz w:val="24"/>
                <w:szCs w:val="24"/>
                <w:lang w:val="en-US" w:eastAsia="zh-CN"/>
              </w:rPr>
              <w:t>，干煤泥库3300m</w:t>
            </w:r>
            <w:r>
              <w:rPr>
                <w:rFonts w:hint="eastAsia"/>
                <w:sz w:val="24"/>
                <w:szCs w:val="24"/>
                <w:vertAlign w:val="superscript"/>
                <w:lang w:val="en-US" w:eastAsia="zh-CN"/>
              </w:rPr>
              <w:t>2</w:t>
            </w:r>
            <w:r>
              <w:rPr>
                <w:rFonts w:hint="eastAsia"/>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zh-CN" w:eastAsia="zh-CN"/>
              </w:rPr>
              <w:t>经计算，</w:t>
            </w:r>
            <w:r>
              <w:rPr>
                <w:rFonts w:hint="eastAsia" w:ascii="Times New Roman" w:hAnsi="Times New Roman" w:eastAsia="宋体" w:cs="Times New Roman"/>
                <w:sz w:val="24"/>
                <w:szCs w:val="24"/>
                <w:lang w:val="en-US" w:eastAsia="zh-CN"/>
              </w:rPr>
              <w:t>P=</w:t>
            </w:r>
            <w:r>
              <w:rPr>
                <w:rFonts w:hint="eastAsia" w:cs="Times New Roman"/>
                <w:sz w:val="24"/>
                <w:szCs w:val="24"/>
                <w:lang w:val="en-US" w:eastAsia="zh-CN"/>
              </w:rPr>
              <w:t>1.46</w:t>
            </w:r>
            <w:r>
              <w:rPr>
                <w:rFonts w:hint="eastAsia" w:ascii="Times New Roman" w:hAnsi="Times New Roman" w:eastAsia="宋体" w:cs="Times New Roman"/>
                <w:sz w:val="24"/>
                <w:szCs w:val="24"/>
                <w:lang w:val="en-US" w:eastAsia="zh-CN"/>
              </w:rPr>
              <w:t>t。</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t>为不影响周围环境，对</w:t>
            </w:r>
            <w:r>
              <w:rPr>
                <w:rFonts w:hint="eastAsia" w:ascii="Times New Roman" w:hAnsi="Times New Roman" w:eastAsia="宋体" w:cs="Times New Roman"/>
                <w:sz w:val="24"/>
                <w:szCs w:val="24"/>
                <w:lang w:val="zh-CN" w:eastAsia="zh-CN"/>
              </w:rPr>
              <w:t>装卸和堆场扬尘</w:t>
            </w:r>
            <w:r>
              <w:rPr>
                <w:rFonts w:hint="default" w:ascii="Times New Roman" w:hAnsi="Times New Roman" w:eastAsia="宋体" w:cs="Times New Roman"/>
                <w:sz w:val="24"/>
                <w:szCs w:val="24"/>
                <w:lang w:val="zh-CN" w:eastAsia="zh-CN"/>
              </w:rPr>
              <w:t>采取以下措施：</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sz w:val="24"/>
                <w:szCs w:val="24"/>
                <w:lang w:val="zh-CN" w:eastAsia="zh-CN"/>
              </w:rPr>
            </w:pPr>
            <w:r>
              <w:rPr>
                <w:rFonts w:hint="eastAsia"/>
                <w:sz w:val="24"/>
                <w:szCs w:val="24"/>
                <w:lang w:val="zh-CN" w:eastAsia="zh-CN"/>
              </w:rPr>
              <w:t>①煤泥装卸时，装载机应尽量靠近运输车辆，并尽可能缩小装卸时的高差，同时使用雾炮进行洒水抑尘；</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Times New Roman" w:hAnsi="Times New Roman" w:eastAsia="宋体" w:cs="Times New Roman"/>
                <w:sz w:val="24"/>
                <w:szCs w:val="24"/>
                <w:highlight w:val="none"/>
                <w:lang w:val="zh-CN" w:eastAsia="zh-CN"/>
              </w:rPr>
            </w:pPr>
            <w:r>
              <w:rPr>
                <w:rFonts w:hint="eastAsia" w:ascii="Times New Roman" w:hAnsi="Times New Roman" w:cs="Times New Roman"/>
                <w:color w:val="auto"/>
                <w:sz w:val="24"/>
                <w:szCs w:val="24"/>
                <w:highlight w:val="none"/>
                <w:lang w:eastAsia="zh-CN"/>
              </w:rPr>
              <w:t>②</w:t>
            </w:r>
            <w:r>
              <w:rPr>
                <w:rFonts w:hint="eastAsia" w:ascii="Times New Roman" w:hAnsi="Times New Roman" w:eastAsia="宋体" w:cs="Times New Roman"/>
                <w:sz w:val="24"/>
                <w:szCs w:val="24"/>
                <w:highlight w:val="none"/>
                <w:lang w:val="zh-CN" w:eastAsia="zh-CN"/>
              </w:rPr>
              <w:t>项目干煤泥、湿煤泥全部储存于全封闭储库内，</w:t>
            </w:r>
            <w:r>
              <w:rPr>
                <w:rFonts w:hint="default" w:ascii="Times New Roman" w:hAnsi="Times New Roman" w:eastAsia="宋体" w:cs="Times New Roman"/>
                <w:sz w:val="24"/>
                <w:szCs w:val="24"/>
                <w:highlight w:val="none"/>
                <w:lang w:val="zh-CN" w:eastAsia="zh-CN"/>
              </w:rPr>
              <w:t>地面防渗硬化处理</w:t>
            </w:r>
            <w:r>
              <w:rPr>
                <w:rFonts w:hint="eastAsia" w:ascii="Times New Roman" w:hAnsi="Times New Roman" w:eastAsia="宋体" w:cs="Times New Roman"/>
                <w:sz w:val="24"/>
                <w:szCs w:val="24"/>
                <w:highlight w:val="none"/>
                <w:lang w:val="zh-CN"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en-US" w:eastAsia="zh-CN"/>
              </w:rPr>
              <w:t>工业企业固体物料堆场颗粒物排放量核算公式如下：</w:t>
            </w:r>
          </w:p>
          <w:p>
            <w:pPr>
              <w:keepNext w:val="0"/>
              <w:keepLines w:val="0"/>
              <w:pageBreakBefore w:val="0"/>
              <w:widowControl w:val="0"/>
              <w:kinsoku/>
              <w:wordWrap/>
              <w:overflowPunct/>
              <w:topLinePunct w:val="0"/>
              <w:autoSpaceDE/>
              <w:autoSpaceDN/>
              <w:bidi w:val="0"/>
              <w:adjustRightInd w:val="0"/>
              <w:snapToGrid w:val="0"/>
              <w:spacing w:before="157" w:beforeLines="50" w:line="500" w:lineRule="exact"/>
              <w:ind w:left="0" w:leftChars="0" w:firstLine="0" w:firstLineChars="0"/>
              <w:jc w:val="center"/>
              <w:textAlignment w:val="auto"/>
              <w:rPr>
                <w:rFonts w:hint="eastAsia"/>
                <w:lang w:val="en-US" w:eastAsia="zh-CN"/>
              </w:rPr>
            </w:pPr>
            <w:r>
              <w:drawing>
                <wp:inline distT="0" distB="0" distL="114300" distR="114300">
                  <wp:extent cx="2312035" cy="338455"/>
                  <wp:effectExtent l="0" t="0" r="4445" b="12065"/>
                  <wp:docPr id="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pic:cNvPicPr>
                            <a:picLocks noChangeAspect="1"/>
                          </pic:cNvPicPr>
                        </pic:nvPicPr>
                        <pic:blipFill>
                          <a:blip r:embed="rId19"/>
                          <a:stretch>
                            <a:fillRect/>
                          </a:stretch>
                        </pic:blipFill>
                        <pic:spPr>
                          <a:xfrm>
                            <a:off x="0" y="0"/>
                            <a:ext cx="2312035" cy="3384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式中：</w:t>
            </w:r>
            <w:r>
              <w:rPr>
                <w:rFonts w:hint="default" w:ascii="Times New Roman" w:hAnsi="Times New Roman" w:eastAsia="宋体" w:cs="Times New Roman"/>
                <w:sz w:val="24"/>
                <w:szCs w:val="24"/>
                <w:lang w:val="en-US" w:eastAsia="zh-CN"/>
              </w:rPr>
              <w:t>P</w:t>
            </w:r>
            <w:r>
              <w:rPr>
                <w:rFonts w:hint="eastAsia" w:ascii="Times New Roman" w:hAnsi="Times New Roman" w:eastAsia="宋体" w:cs="Times New Roman"/>
                <w:sz w:val="24"/>
                <w:szCs w:val="24"/>
                <w:lang w:val="en-US" w:eastAsia="zh-CN"/>
              </w:rPr>
              <w:t xml:space="preserve">指颗粒物产生量（单位：吨）； </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Uc</w:t>
            </w:r>
            <w:r>
              <w:rPr>
                <w:rFonts w:hint="eastAsia" w:ascii="Times New Roman" w:hAnsi="Times New Roman" w:eastAsia="宋体" w:cs="Times New Roman"/>
                <w:sz w:val="24"/>
                <w:szCs w:val="24"/>
                <w:lang w:val="en-US" w:eastAsia="zh-CN"/>
              </w:rPr>
              <w:t xml:space="preserve">指颗粒物排放量（单位：吨）； </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Cm</w:t>
            </w:r>
            <w:r>
              <w:rPr>
                <w:rFonts w:hint="eastAsia" w:ascii="Times New Roman" w:hAnsi="Times New Roman" w:eastAsia="宋体" w:cs="Times New Roman"/>
                <w:sz w:val="24"/>
                <w:szCs w:val="24"/>
                <w:lang w:val="en-US" w:eastAsia="zh-CN"/>
              </w:rPr>
              <w:t>指颗粒物控制措施控制效率（74</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Tm</w:t>
            </w:r>
            <w:r>
              <w:rPr>
                <w:rFonts w:hint="eastAsia" w:ascii="Times New Roman" w:hAnsi="Times New Roman" w:eastAsia="宋体" w:cs="Times New Roman"/>
                <w:sz w:val="24"/>
                <w:szCs w:val="24"/>
                <w:lang w:val="en-US" w:eastAsia="zh-CN"/>
              </w:rPr>
              <w:t>指堆场类型控制效率（99</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color w:val="auto"/>
                <w:sz w:val="24"/>
                <w:szCs w:val="24"/>
                <w:highlight w:val="none"/>
              </w:rPr>
            </w:pPr>
            <w:r>
              <w:rPr>
                <w:rFonts w:hint="eastAsia" w:ascii="Times New Roman" w:hAnsi="Times New Roman" w:eastAsia="宋体" w:cs="Times New Roman"/>
                <w:sz w:val="24"/>
                <w:szCs w:val="24"/>
                <w:lang w:val="zh-CN" w:eastAsia="zh-CN"/>
              </w:rPr>
              <w:t>在采取上述措施后，装卸和堆场扬尘排放量</w:t>
            </w:r>
            <w:r>
              <w:rPr>
                <w:rFonts w:hint="default" w:ascii="Times New Roman" w:hAnsi="Times New Roman" w:eastAsia="宋体" w:cs="Times New Roman"/>
                <w:sz w:val="24"/>
                <w:szCs w:val="24"/>
                <w:lang w:val="en-US" w:eastAsia="zh-CN"/>
              </w:rPr>
              <w:t>Uc</w:t>
            </w:r>
            <w:r>
              <w:rPr>
                <w:rFonts w:hint="eastAsia" w:ascii="Times New Roman" w:hAnsi="Times New Roman" w:eastAsia="宋体" w:cs="Times New Roman"/>
                <w:sz w:val="24"/>
                <w:szCs w:val="24"/>
                <w:lang w:val="en-US" w:eastAsia="zh-CN"/>
              </w:rPr>
              <w:t>=0.</w:t>
            </w:r>
            <w:r>
              <w:rPr>
                <w:rFonts w:hint="eastAsia" w:cs="Times New Roman"/>
                <w:sz w:val="24"/>
                <w:szCs w:val="24"/>
                <w:lang w:val="en-US" w:eastAsia="zh-CN"/>
              </w:rPr>
              <w:t>00</w:t>
            </w:r>
            <w:r>
              <w:rPr>
                <w:rFonts w:hint="eastAsia" w:ascii="Times New Roman" w:hAnsi="Times New Roman" w:cs="Times New Roman"/>
                <w:sz w:val="24"/>
                <w:szCs w:val="24"/>
                <w:lang w:val="en-US" w:eastAsia="zh-CN"/>
              </w:rPr>
              <w:t>4</w:t>
            </w:r>
            <w:r>
              <w:rPr>
                <w:rFonts w:hint="eastAsia" w:ascii="Times New Roman" w:hAnsi="Times New Roman" w:eastAsia="宋体" w:cs="Times New Roman"/>
                <w:sz w:val="24"/>
                <w:szCs w:val="24"/>
                <w:lang w:val="en-US" w:eastAsia="zh-CN"/>
              </w:rPr>
              <w:t>t/a。</w:t>
            </w:r>
          </w:p>
          <w:p>
            <w:pPr>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1.2污染治理措施的可行性和达标排放情况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val="0"/>
                <w:color w:val="auto"/>
                <w:sz w:val="24"/>
                <w:szCs w:val="24"/>
                <w:highlight w:val="none"/>
                <w:lang w:val="en-US" w:eastAsia="zh-CN"/>
              </w:rPr>
            </w:pPr>
            <w:r>
              <w:rPr>
                <w:rFonts w:hint="eastAsia"/>
                <w:sz w:val="24"/>
                <w:szCs w:val="24"/>
                <w:highlight w:val="none"/>
                <w:lang w:val="en-US" w:eastAsia="zh-CN"/>
              </w:rPr>
              <w:t>根据</w:t>
            </w:r>
            <w:r>
              <w:rPr>
                <w:rFonts w:hint="default"/>
                <w:sz w:val="24"/>
                <w:szCs w:val="24"/>
                <w:highlight w:val="none"/>
                <w:lang w:val="en-US" w:eastAsia="zh-CN"/>
              </w:rPr>
              <w:t xml:space="preserve">《排污许可证申请与核发技术规范 </w:t>
            </w:r>
            <w:r>
              <w:rPr>
                <w:rFonts w:hint="eastAsia"/>
                <w:sz w:val="24"/>
                <w:szCs w:val="24"/>
                <w:highlight w:val="none"/>
                <w:lang w:val="en-US" w:eastAsia="zh-CN"/>
              </w:rPr>
              <w:t>工业炉窑</w:t>
            </w:r>
            <w:r>
              <w:rPr>
                <w:rFonts w:hint="default"/>
                <w:sz w:val="24"/>
                <w:szCs w:val="24"/>
                <w:highlight w:val="none"/>
                <w:lang w:val="en-US" w:eastAsia="zh-CN"/>
              </w:rPr>
              <w:t>》（HJ</w:t>
            </w:r>
            <w:r>
              <w:rPr>
                <w:rFonts w:hint="eastAsia"/>
                <w:sz w:val="24"/>
                <w:szCs w:val="24"/>
                <w:highlight w:val="none"/>
                <w:lang w:val="en-US" w:eastAsia="zh-CN"/>
              </w:rPr>
              <w:t>1121</w:t>
            </w:r>
            <w:r>
              <w:rPr>
                <w:rFonts w:hint="default"/>
                <w:sz w:val="24"/>
                <w:szCs w:val="24"/>
                <w:highlight w:val="none"/>
                <w:lang w:val="en-US" w:eastAsia="zh-CN"/>
              </w:rPr>
              <w:t>-20</w:t>
            </w:r>
            <w:r>
              <w:rPr>
                <w:rFonts w:hint="eastAsia"/>
                <w:sz w:val="24"/>
                <w:szCs w:val="24"/>
                <w:highlight w:val="none"/>
                <w:lang w:val="en-US" w:eastAsia="zh-CN"/>
              </w:rPr>
              <w:t>20</w:t>
            </w:r>
            <w:r>
              <w:rPr>
                <w:rFonts w:hint="default"/>
                <w:sz w:val="24"/>
                <w:szCs w:val="24"/>
                <w:highlight w:val="none"/>
                <w:lang w:val="en-US" w:eastAsia="zh-CN"/>
              </w:rPr>
              <w:t>）</w:t>
            </w:r>
            <w:r>
              <w:rPr>
                <w:rFonts w:hint="eastAsia"/>
                <w:sz w:val="24"/>
                <w:szCs w:val="24"/>
                <w:highlight w:val="none"/>
                <w:lang w:val="en-US" w:eastAsia="zh-CN"/>
              </w:rPr>
              <w:t>中干燥炉窑烟气治理可行技术，废气治理可行技术包含本项目的SNCR脱硝+旋风除尘+布袋除尘</w:t>
            </w:r>
            <w:r>
              <w:rPr>
                <w:rFonts w:hint="eastAsia"/>
                <w:sz w:val="24"/>
                <w:szCs w:val="24"/>
                <w:highlight w:val="none"/>
                <w:lang w:val="zh-CN" w:eastAsia="zh-CN"/>
              </w:rPr>
              <w:t>设施</w:t>
            </w:r>
            <w:r>
              <w:rPr>
                <w:rFonts w:hint="eastAsia"/>
                <w:sz w:val="24"/>
                <w:szCs w:val="24"/>
                <w:highlight w:val="none"/>
                <w:lang w:val="en-US" w:eastAsia="zh-CN"/>
              </w:rPr>
              <w:t>，</w:t>
            </w:r>
            <w:r>
              <w:rPr>
                <w:rFonts w:hint="eastAsia"/>
                <w:sz w:val="24"/>
                <w:szCs w:val="24"/>
                <w:highlight w:val="none"/>
                <w:lang w:val="zh-CN" w:eastAsia="zh-CN"/>
              </w:rPr>
              <w:t>废</w:t>
            </w:r>
            <w:r>
              <w:rPr>
                <w:rFonts w:hint="eastAsia"/>
                <w:sz w:val="24"/>
                <w:szCs w:val="24"/>
                <w:lang w:val="zh-CN" w:eastAsia="zh-CN"/>
              </w:rPr>
              <w:t>气治理措施可行</w:t>
            </w:r>
            <w:r>
              <w:rPr>
                <w:rFonts w:hint="default"/>
                <w:sz w:val="24"/>
                <w:szCs w:val="24"/>
                <w:lang w:val="en-US" w:eastAsia="zh-CN"/>
              </w:rPr>
              <w:t>，同时通过上述计算可知，本项目废气在认真履行环评要求的前提下，</w:t>
            </w:r>
            <w:r>
              <w:rPr>
                <w:rFonts w:hint="eastAsia"/>
                <w:sz w:val="24"/>
                <w:szCs w:val="24"/>
                <w:lang w:val="en-US" w:eastAsia="zh-CN"/>
              </w:rPr>
              <w:t>粉尘</w:t>
            </w:r>
            <w:r>
              <w:rPr>
                <w:rFonts w:hint="default"/>
                <w:sz w:val="24"/>
                <w:szCs w:val="24"/>
                <w:lang w:val="en-US" w:eastAsia="zh-CN"/>
              </w:rPr>
              <w:t>可达标排放</w:t>
            </w:r>
            <w:r>
              <w:rPr>
                <w:rFonts w:hint="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1.3排放口基本信息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排放口基本信息见下表。</w:t>
            </w:r>
          </w:p>
          <w:p>
            <w:pPr>
              <w:pStyle w:val="39"/>
              <w:keepNext w:val="0"/>
              <w:keepLines w:val="0"/>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eastAsia="宋体"/>
                <w:b/>
                <w:color w:val="auto"/>
                <w:spacing w:val="0"/>
                <w:sz w:val="24"/>
                <w:szCs w:val="24"/>
                <w:highlight w:val="none"/>
                <w:lang w:val="en-US" w:eastAsia="zh-CN"/>
              </w:rPr>
              <w:t>4</w:t>
            </w:r>
            <w:r>
              <w:rPr>
                <w:rFonts w:hint="eastAsia" w:cs="Times New Roman" w:eastAsiaTheme="majorEastAsia"/>
                <w:b/>
                <w:bCs/>
                <w:color w:val="auto"/>
                <w:sz w:val="24"/>
                <w:szCs w:val="24"/>
                <w:highlight w:val="none"/>
                <w:lang w:val="en-US" w:eastAsia="zh-CN"/>
              </w:rPr>
              <w:t>-2</w:t>
            </w:r>
            <w:r>
              <w:rPr>
                <w:rFonts w:hint="eastAsia"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 xml:space="preserve">  </w:t>
            </w:r>
            <w:r>
              <w:rPr>
                <w:rFonts w:hint="eastAsia" w:cs="Times New Roman"/>
                <w:b/>
                <w:bCs/>
                <w:color w:val="auto"/>
                <w:kern w:val="2"/>
                <w:sz w:val="24"/>
                <w:szCs w:val="24"/>
                <w:highlight w:val="none"/>
                <w:lang w:val="en-US" w:eastAsia="zh-CN" w:bidi="ar-SA"/>
              </w:rPr>
              <w:t>排放口基本情况一览表</w:t>
            </w:r>
          </w:p>
          <w:tbl>
            <w:tblPr>
              <w:tblStyle w:val="23"/>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23"/>
              <w:gridCol w:w="1863"/>
              <w:gridCol w:w="1348"/>
              <w:gridCol w:w="1236"/>
              <w:gridCol w:w="966"/>
              <w:gridCol w:w="1025"/>
              <w:gridCol w:w="9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编号</w:t>
                  </w:r>
                </w:p>
              </w:tc>
              <w:tc>
                <w:tcPr>
                  <w:tcW w:w="118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名称</w:t>
                  </w:r>
                </w:p>
              </w:tc>
              <w:tc>
                <w:tcPr>
                  <w:tcW w:w="131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排气筒底部中心坐标（</w:t>
                  </w:r>
                  <w:r>
                    <w:rPr>
                      <w:rFonts w:hint="default" w:ascii="Times New Roman" w:hAnsi="Times New Roman" w:cs="Times New Roman"/>
                      <w:b/>
                      <w:bCs/>
                      <w:color w:val="auto"/>
                      <w:sz w:val="24"/>
                      <w:szCs w:val="24"/>
                      <w:highlight w:val="none"/>
                      <w:vertAlign w:val="baseline"/>
                      <w:lang w:val="en-US" w:eastAsia="zh-CN"/>
                    </w:rPr>
                    <w:t>°</w:t>
                  </w:r>
                  <w:r>
                    <w:rPr>
                      <w:rFonts w:hint="default" w:ascii="Times New Roman" w:hAnsi="Times New Roman" w:eastAsia="宋体" w:cs="Times New Roman"/>
                      <w:b/>
                      <w:bCs/>
                      <w:color w:val="auto"/>
                      <w:sz w:val="24"/>
                      <w:szCs w:val="24"/>
                      <w:highlight w:val="none"/>
                      <w:vertAlign w:val="baseline"/>
                      <w:lang w:val="en-US" w:eastAsia="zh-CN"/>
                    </w:rPr>
                    <w:t>）</w:t>
                  </w:r>
                </w:p>
              </w:tc>
              <w:tc>
                <w:tcPr>
                  <w:tcW w:w="6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排气筒高度（m）</w:t>
                  </w:r>
                </w:p>
              </w:tc>
              <w:tc>
                <w:tcPr>
                  <w:tcW w:w="6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排气筒出口内径（m）</w:t>
                  </w:r>
                </w:p>
              </w:tc>
              <w:tc>
                <w:tcPr>
                  <w:tcW w:w="5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烟气温度（</w:t>
                  </w:r>
                  <w:r>
                    <w:rPr>
                      <w:rFonts w:hint="default" w:ascii="Times New Roman" w:hAnsi="Times New Roman" w:eastAsia="宋体" w:cs="Times New Roman"/>
                      <w:b/>
                      <w:bCs/>
                      <w:color w:val="auto"/>
                      <w:kern w:val="2"/>
                      <w:sz w:val="24"/>
                      <w:szCs w:val="24"/>
                      <w:highlight w:val="none"/>
                      <w:lang w:val="en-US" w:eastAsia="zh-CN"/>
                    </w:rPr>
                    <w:t>℃</w:t>
                  </w:r>
                  <w:r>
                    <w:rPr>
                      <w:rFonts w:hint="default" w:ascii="Times New Roman" w:hAnsi="Times New Roman" w:eastAsia="宋体" w:cs="Times New Roman"/>
                      <w:b/>
                      <w:bCs/>
                      <w:color w:val="auto"/>
                      <w:sz w:val="24"/>
                      <w:szCs w:val="24"/>
                      <w:highlight w:val="none"/>
                      <w:vertAlign w:val="baseli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p>
              </w:tc>
              <w:tc>
                <w:tcPr>
                  <w:tcW w:w="11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经度</w:t>
                  </w:r>
                </w:p>
              </w:tc>
              <w:tc>
                <w:tcPr>
                  <w:tcW w:w="6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纬度</w:t>
                  </w:r>
                </w:p>
              </w:tc>
              <w:tc>
                <w:tcPr>
                  <w:tcW w:w="6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p>
              </w:tc>
              <w:tc>
                <w:tcPr>
                  <w:tcW w:w="6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p>
              </w:tc>
              <w:tc>
                <w:tcPr>
                  <w:tcW w:w="5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vertAlign w:val="baseline"/>
                      <w:lang w:val="en-US" w:eastAsia="zh-CN"/>
                    </w:rPr>
                    <w:t>DA001</w:t>
                  </w:r>
                </w:p>
              </w:tc>
              <w:tc>
                <w:tcPr>
                  <w:tcW w:w="11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lang w:eastAsia="zh-CN"/>
                    </w:rPr>
                    <w:t>煤泥烘干及落料口废气排气筒</w:t>
                  </w: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112.466625</w:t>
                  </w:r>
                </w:p>
              </w:tc>
              <w:tc>
                <w:tcPr>
                  <w:tcW w:w="6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39.491773</w:t>
                  </w: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vertAlign w:val="baseline"/>
                      <w:lang w:val="en-US" w:eastAsia="zh-CN"/>
                    </w:rPr>
                    <w:t>15</w:t>
                  </w:r>
                </w:p>
              </w:tc>
              <w:tc>
                <w:tcPr>
                  <w:tcW w:w="6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vertAlign w:val="baseline"/>
                      <w:lang w:val="en-US" w:eastAsia="zh-CN"/>
                    </w:rPr>
                    <w:t>0.8</w:t>
                  </w:r>
                </w:p>
              </w:tc>
              <w:tc>
                <w:tcPr>
                  <w:tcW w:w="5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vertAlign w:val="baseline"/>
                      <w:lang w:val="en-US" w:eastAsia="zh-CN"/>
                    </w:rPr>
                    <w:t>120</w:t>
                  </w:r>
                </w:p>
              </w:tc>
            </w:tr>
          </w:tbl>
          <w:p>
            <w:pPr>
              <w:spacing w:line="440" w:lineRule="exact"/>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1.4非正常排放情况分析</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cs="Times New Roman"/>
                <w:b w:val="0"/>
                <w:bCs w:val="0"/>
                <w:color w:val="auto"/>
                <w:sz w:val="24"/>
                <w:szCs w:val="24"/>
                <w:highlight w:val="none"/>
                <w:lang w:val="en-US" w:eastAsia="zh-CN"/>
              </w:rPr>
            </w:pPr>
            <w:r>
              <w:rPr>
                <w:rFonts w:hint="default" w:cs="Times New Roman"/>
                <w:b w:val="0"/>
                <w:bCs w:val="0"/>
                <w:color w:val="auto"/>
                <w:sz w:val="24"/>
                <w:szCs w:val="24"/>
                <w:highlight w:val="none"/>
                <w:lang w:val="en-US" w:eastAsia="zh-CN"/>
              </w:rPr>
              <w:t>本项目的非正常工况主要考虑废气环保设施运行不正常。本报告按最不利的情况考虑，即废气处理装置完全失效，处理效率下降至0%。项目非正常工况下废气排放情况详见下表。</w:t>
            </w:r>
          </w:p>
          <w:p>
            <w:pPr>
              <w:pStyle w:val="39"/>
              <w:bidi w:val="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eastAsia="宋体"/>
                <w:b/>
                <w:color w:val="auto"/>
                <w:spacing w:val="0"/>
                <w:sz w:val="24"/>
                <w:szCs w:val="24"/>
                <w:highlight w:val="none"/>
                <w:lang w:val="en-US" w:eastAsia="zh-CN"/>
              </w:rPr>
              <w:t>4</w:t>
            </w:r>
            <w:r>
              <w:rPr>
                <w:rFonts w:hint="eastAsia" w:cs="Times New Roman" w:eastAsiaTheme="majorEastAsia"/>
                <w:b/>
                <w:bCs/>
                <w:color w:val="auto"/>
                <w:sz w:val="24"/>
                <w:szCs w:val="24"/>
                <w:highlight w:val="none"/>
                <w:lang w:val="en-US" w:eastAsia="zh-CN"/>
              </w:rPr>
              <w:t>-3</w:t>
            </w:r>
            <w:r>
              <w:rPr>
                <w:rFonts w:hint="default" w:ascii="Times New Roman" w:hAnsi="Times New Roman" w:eastAsia="宋体" w:cs="Times New Roman"/>
                <w:b/>
                <w:bCs/>
                <w:color w:val="auto"/>
                <w:kern w:val="2"/>
                <w:sz w:val="24"/>
                <w:szCs w:val="24"/>
                <w:highlight w:val="none"/>
                <w:lang w:val="en-US" w:eastAsia="zh-CN" w:bidi="ar-SA"/>
              </w:rPr>
              <w:t xml:space="preserve">       </w:t>
            </w:r>
            <w:r>
              <w:rPr>
                <w:rFonts w:hint="eastAsia" w:cs="Times New Roman"/>
                <w:b/>
                <w:bCs/>
                <w:color w:val="auto"/>
                <w:kern w:val="2"/>
                <w:sz w:val="24"/>
                <w:szCs w:val="24"/>
                <w:highlight w:val="none"/>
                <w:lang w:val="en-US" w:eastAsia="zh-CN" w:bidi="ar-SA"/>
              </w:rPr>
              <w:t>非正常排放情况</w:t>
            </w:r>
            <w:r>
              <w:rPr>
                <w:rFonts w:hint="default" w:ascii="Times New Roman" w:hAnsi="Times New Roman" w:eastAsia="宋体" w:cs="Times New Roman"/>
                <w:b/>
                <w:bCs/>
                <w:color w:val="auto"/>
                <w:kern w:val="2"/>
                <w:sz w:val="24"/>
                <w:szCs w:val="24"/>
                <w:highlight w:val="none"/>
                <w:lang w:val="en-US" w:eastAsia="zh-CN" w:bidi="ar-SA"/>
              </w:rPr>
              <w:t>一览表</w:t>
            </w:r>
          </w:p>
          <w:tbl>
            <w:tblPr>
              <w:tblStyle w:val="23"/>
              <w:tblW w:w="4988"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871"/>
              <w:gridCol w:w="946"/>
              <w:gridCol w:w="1147"/>
              <w:gridCol w:w="1375"/>
              <w:gridCol w:w="942"/>
              <w:gridCol w:w="857"/>
              <w:gridCol w:w="1090"/>
              <w:gridCol w:w="6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25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序号</w:t>
                  </w:r>
                </w:p>
              </w:tc>
              <w:tc>
                <w:tcPr>
                  <w:tcW w:w="5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非正常排放源</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污染物</w:t>
                  </w:r>
                </w:p>
              </w:tc>
              <w:tc>
                <w:tcPr>
                  <w:tcW w:w="6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非正常排放原因</w:t>
                  </w:r>
                </w:p>
              </w:tc>
              <w:tc>
                <w:tcPr>
                  <w:tcW w:w="82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非正常排放浓度（</w:t>
                  </w:r>
                  <w:r>
                    <w:rPr>
                      <w:rFonts w:hint="default" w:ascii="Times New Roman" w:hAnsi="Times New Roman" w:eastAsia="宋体" w:cs="Times New Roman"/>
                      <w:b/>
                      <w:bCs/>
                      <w:color w:val="auto"/>
                      <w:sz w:val="21"/>
                      <w:szCs w:val="21"/>
                      <w:highlight w:val="none"/>
                      <w:lang w:val="zh-CN"/>
                    </w:rPr>
                    <w:t>mg/</w:t>
                  </w:r>
                  <w:r>
                    <w:rPr>
                      <w:rFonts w:hint="eastAsia" w:ascii="Times New Roman" w:hAnsi="Times New Roman" w:eastAsia="宋体" w:cs="Times New Roman"/>
                      <w:b/>
                      <w:bCs/>
                      <w:color w:val="auto"/>
                      <w:sz w:val="21"/>
                      <w:szCs w:val="21"/>
                      <w:highlight w:val="none"/>
                      <w:lang w:val="en-US" w:eastAsia="zh-CN"/>
                    </w:rPr>
                    <w:t>N</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56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单次持续时间/h</w:t>
                  </w:r>
                </w:p>
              </w:tc>
              <w:tc>
                <w:tcPr>
                  <w:tcW w:w="5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年发生频次（次）</w:t>
                  </w:r>
                </w:p>
              </w:tc>
              <w:tc>
                <w:tcPr>
                  <w:tcW w:w="65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非正常排放量（kg/a）</w:t>
                  </w:r>
                </w:p>
              </w:tc>
              <w:tc>
                <w:tcPr>
                  <w:tcW w:w="39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应对措施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25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23"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滚筒干燥机</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1"/>
                      <w:szCs w:val="21"/>
                      <w:highlight w:val="none"/>
                      <w:lang w:eastAsia="zh-CN"/>
                    </w:rPr>
                    <w:t>颗粒物</w:t>
                  </w:r>
                </w:p>
              </w:tc>
              <w:tc>
                <w:tcPr>
                  <w:tcW w:w="6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废气处理设施故障</w:t>
                  </w:r>
                </w:p>
              </w:tc>
              <w:tc>
                <w:tcPr>
                  <w:tcW w:w="82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1"/>
                      <w:szCs w:val="21"/>
                      <w:highlight w:val="none"/>
                      <w:lang w:val="en-US" w:eastAsia="zh-CN"/>
                    </w:rPr>
                    <w:t>1087</w:t>
                  </w:r>
                </w:p>
              </w:tc>
              <w:tc>
                <w:tcPr>
                  <w:tcW w:w="56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65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144</w:t>
                  </w:r>
                </w:p>
              </w:tc>
              <w:tc>
                <w:tcPr>
                  <w:tcW w:w="39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停止生产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256" w:type="pct"/>
                  <w:tcBorders>
                    <w:bottom w:val="single" w:color="auto" w:sz="4" w:space="0"/>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523" w:type="pct"/>
                  <w:vMerge w:val="continue"/>
                  <w:tcBorders>
                    <w:bottom w:val="single" w:color="auto" w:sz="4" w:space="0"/>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689" w:type="pct"/>
                  <w:tcBorders>
                    <w:bottom w:val="single" w:color="auto" w:sz="4" w:space="0"/>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废气处理设施故障</w:t>
                  </w:r>
                </w:p>
              </w:tc>
              <w:tc>
                <w:tcPr>
                  <w:tcW w:w="82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27.2</w:t>
                  </w:r>
                </w:p>
              </w:tc>
              <w:tc>
                <w:tcPr>
                  <w:tcW w:w="56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655" w:type="pct"/>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4"/>
                      <w:szCs w:val="24"/>
                      <w:highlight w:val="none"/>
                      <w:u w:val="none"/>
                      <w:lang w:val="en-US" w:eastAsia="zh-CN" w:bidi="ar"/>
                    </w:rPr>
                  </w:pPr>
                  <w:r>
                    <w:rPr>
                      <w:rFonts w:hint="eastAsia" w:cs="Times New Roman"/>
                      <w:i w:val="0"/>
                      <w:iCs w:val="0"/>
                      <w:color w:val="auto"/>
                      <w:kern w:val="0"/>
                      <w:sz w:val="24"/>
                      <w:szCs w:val="24"/>
                      <w:highlight w:val="none"/>
                      <w:u w:val="none"/>
                      <w:lang w:val="en-US" w:eastAsia="zh-CN" w:bidi="ar"/>
                    </w:rPr>
                    <w:t>3.6</w:t>
                  </w:r>
                </w:p>
              </w:tc>
              <w:tc>
                <w:tcPr>
                  <w:tcW w:w="396" w:type="pct"/>
                  <w:tcBorders>
                    <w:bottom w:val="single" w:color="auto" w:sz="4" w:space="0"/>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停止生产</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1.5</w:t>
            </w:r>
            <w:r>
              <w:rPr>
                <w:rFonts w:hint="eastAsia" w:ascii="Times New Roman" w:hAnsi="Times New Roman" w:eastAsia="宋体" w:cs="Times New Roman"/>
                <w:b/>
                <w:bCs/>
                <w:color w:val="auto"/>
                <w:sz w:val="24"/>
                <w:szCs w:val="24"/>
                <w:highlight w:val="none"/>
                <w:lang w:val="en-US" w:eastAsia="zh-CN"/>
              </w:rPr>
              <w:t>环境影响分析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w:t>
            </w:r>
            <w:r>
              <w:rPr>
                <w:rFonts w:hint="eastAsia" w:cs="Times New Roman"/>
                <w:b w:val="0"/>
                <w:bCs w:val="0"/>
                <w:color w:val="auto"/>
                <w:sz w:val="24"/>
                <w:szCs w:val="24"/>
                <w:highlight w:val="none"/>
                <w:lang w:val="en-US" w:eastAsia="zh-CN"/>
              </w:rPr>
              <w:t>例行监测数据及</w:t>
            </w:r>
            <w:r>
              <w:rPr>
                <w:rFonts w:hint="eastAsia" w:ascii="Times New Roman" w:hAnsi="Times New Roman" w:eastAsia="宋体" w:cs="Times New Roman"/>
                <w:b w:val="0"/>
                <w:bCs w:val="0"/>
                <w:color w:val="auto"/>
                <w:sz w:val="24"/>
                <w:szCs w:val="24"/>
                <w:highlight w:val="none"/>
                <w:lang w:val="en-US" w:eastAsia="zh-CN"/>
              </w:rPr>
              <w:t>补充监测，本项目所在区域的TSP</w:t>
            </w:r>
            <w:r>
              <w:rPr>
                <w:rFonts w:hint="eastAsia" w:cs="Times New Roman"/>
                <w:b w:val="0"/>
                <w:bCs w:val="0"/>
                <w:color w:val="auto"/>
                <w:sz w:val="24"/>
                <w:szCs w:val="24"/>
                <w:highlight w:val="none"/>
                <w:lang w:val="en-US" w:eastAsia="zh-CN"/>
              </w:rPr>
              <w:t>、SO</w:t>
            </w:r>
            <w:r>
              <w:rPr>
                <w:rFonts w:hint="eastAsia" w:cs="Times New Roman"/>
                <w:b w:val="0"/>
                <w:bCs w:val="0"/>
                <w:color w:val="auto"/>
                <w:sz w:val="24"/>
                <w:szCs w:val="24"/>
                <w:highlight w:val="none"/>
                <w:vertAlign w:val="subscript"/>
                <w:lang w:val="en-US" w:eastAsia="zh-CN"/>
              </w:rPr>
              <w:t>2</w:t>
            </w:r>
            <w:r>
              <w:rPr>
                <w:rFonts w:hint="eastAsia" w:cs="Times New Roman"/>
                <w:b w:val="0"/>
                <w:bCs w:val="0"/>
                <w:color w:val="auto"/>
                <w:sz w:val="24"/>
                <w:szCs w:val="24"/>
                <w:highlight w:val="none"/>
                <w:lang w:val="en-US" w:eastAsia="zh-CN"/>
              </w:rPr>
              <w:t>、NO</w:t>
            </w:r>
            <w:r>
              <w:rPr>
                <w:rFonts w:hint="eastAsia" w:cs="Times New Roman"/>
                <w:b w:val="0"/>
                <w:bCs w:val="0"/>
                <w:color w:val="auto"/>
                <w:sz w:val="24"/>
                <w:szCs w:val="24"/>
                <w:highlight w:val="none"/>
                <w:vertAlign w:val="subscript"/>
                <w:lang w:val="en-US" w:eastAsia="zh-CN"/>
              </w:rPr>
              <w:t>2</w:t>
            </w:r>
            <w:r>
              <w:rPr>
                <w:rFonts w:hint="eastAsia" w:ascii="Times New Roman" w:hAnsi="Times New Roman" w:eastAsia="宋体" w:cs="Times New Roman"/>
                <w:b w:val="0"/>
                <w:bCs w:val="0"/>
                <w:color w:val="auto"/>
                <w:sz w:val="24"/>
                <w:szCs w:val="24"/>
                <w:highlight w:val="none"/>
                <w:lang w:val="en-US" w:eastAsia="zh-CN"/>
              </w:rPr>
              <w:t>能满足《环境空气质量标准》（GB3095-2012）及修改单中的二级标准要求，并且本项目营运期</w:t>
            </w:r>
            <w:r>
              <w:rPr>
                <w:rFonts w:hint="eastAsia" w:cs="Times New Roman"/>
                <w:b w:val="0"/>
                <w:bCs w:val="0"/>
                <w:color w:val="auto"/>
                <w:sz w:val="24"/>
                <w:szCs w:val="24"/>
                <w:highlight w:val="none"/>
                <w:lang w:val="en-US" w:eastAsia="zh-CN"/>
              </w:rPr>
              <w:t>煤泥烘干及落料口废气</w:t>
            </w:r>
            <w:r>
              <w:rPr>
                <w:rFonts w:hint="eastAsia" w:ascii="Times New Roman" w:hAnsi="Times New Roman" w:eastAsia="宋体" w:cs="Times New Roman"/>
                <w:b w:val="0"/>
                <w:bCs w:val="0"/>
                <w:color w:val="auto"/>
                <w:sz w:val="24"/>
                <w:szCs w:val="24"/>
                <w:highlight w:val="none"/>
                <w:lang w:val="en-US" w:eastAsia="zh-CN"/>
              </w:rPr>
              <w:t>经</w:t>
            </w:r>
            <w:r>
              <w:rPr>
                <w:rFonts w:hint="eastAsia"/>
                <w:color w:val="auto"/>
                <w:sz w:val="24"/>
                <w:szCs w:val="24"/>
                <w:highlight w:val="none"/>
                <w:lang w:val="en-US" w:eastAsia="zh-CN"/>
              </w:rPr>
              <w:t>SNCR脱硝+旋风除尘+布袋除尘</w:t>
            </w:r>
            <w:r>
              <w:rPr>
                <w:rFonts w:hint="eastAsia"/>
                <w:color w:val="auto"/>
                <w:sz w:val="24"/>
                <w:szCs w:val="24"/>
                <w:highlight w:val="none"/>
                <w:lang w:eastAsia="zh-CN"/>
              </w:rPr>
              <w:t>设施</w:t>
            </w:r>
            <w:r>
              <w:rPr>
                <w:rFonts w:hint="eastAsia" w:ascii="Times New Roman" w:hAnsi="Times New Roman" w:eastAsia="宋体" w:cs="Times New Roman"/>
                <w:b w:val="0"/>
                <w:bCs w:val="0"/>
                <w:color w:val="auto"/>
                <w:sz w:val="24"/>
                <w:szCs w:val="24"/>
                <w:highlight w:val="none"/>
                <w:lang w:val="en-US" w:eastAsia="zh-CN"/>
              </w:rPr>
              <w:t>处理后通过15m排气筒高空达标排放，因此项目大气环境影响可以接受。</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监测要求</w:t>
            </w:r>
          </w:p>
          <w:p>
            <w:pPr>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baseline"/>
              <w:rPr>
                <w:rFonts w:hint="eastAsia" w:ascii="Times New Roman" w:hAnsi="Times New Roman" w:cs="宋体"/>
                <w:bCs/>
                <w:color w:val="auto"/>
                <w:sz w:val="24"/>
                <w:szCs w:val="24"/>
                <w:highlight w:val="none"/>
                <w:lang w:val="en-US" w:eastAsia="zh-CN" w:bidi="ar"/>
              </w:rPr>
            </w:pPr>
            <w:r>
              <w:rPr>
                <w:rFonts w:hint="eastAsia" w:ascii="Times New Roman" w:hAnsi="Times New Roman" w:cs="宋体"/>
                <w:bCs/>
                <w:color w:val="auto"/>
                <w:sz w:val="24"/>
                <w:szCs w:val="24"/>
                <w:highlight w:val="none"/>
                <w:lang w:val="en-US" w:eastAsia="zh-CN" w:bidi="ar"/>
              </w:rPr>
              <w:t>依据《排污单位自行监测技术指南 总则》（HJ819-2017）和《排污许可证申请与核发技术规范 工业炉窑》（HJ1121-2020）开展自行监测，监测要求见下表。</w:t>
            </w:r>
          </w:p>
          <w:p>
            <w:pPr>
              <w:pStyle w:val="39"/>
              <w:bidi w:val="0"/>
              <w:rPr>
                <w:rFonts w:hint="default" w:ascii="Times New Roman" w:hAnsi="Times New Roman" w:eastAsia="宋体" w:cs="Times New Roman"/>
                <w:b/>
                <w:bCs/>
                <w:color w:val="auto"/>
                <w:sz w:val="24"/>
                <w:szCs w:val="24"/>
                <w:highlight w:val="none"/>
              </w:rPr>
            </w:pPr>
          </w:p>
          <w:p>
            <w:pPr>
              <w:pStyle w:val="39"/>
              <w:bidi w:val="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eastAsia="宋体"/>
                <w:b/>
                <w:color w:val="auto"/>
                <w:spacing w:val="0"/>
                <w:sz w:val="24"/>
                <w:szCs w:val="24"/>
                <w:highlight w:val="none"/>
                <w:lang w:val="en-US" w:eastAsia="zh-CN"/>
              </w:rPr>
              <w:t>4</w:t>
            </w:r>
            <w:r>
              <w:rPr>
                <w:rFonts w:hint="eastAsia" w:cs="Times New Roman" w:eastAsiaTheme="majorEastAsia"/>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eastAsia="zh-CN"/>
              </w:rPr>
              <w:t>大气监测要求</w:t>
            </w:r>
            <w:r>
              <w:rPr>
                <w:rFonts w:hint="default" w:ascii="Times New Roman" w:hAnsi="Times New Roman" w:eastAsia="宋体" w:cs="Times New Roman"/>
                <w:b/>
                <w:bCs/>
                <w:color w:val="auto"/>
                <w:sz w:val="24"/>
                <w:szCs w:val="24"/>
                <w:highlight w:val="none"/>
              </w:rPr>
              <w:t>一览表</w:t>
            </w:r>
          </w:p>
          <w:tbl>
            <w:tblPr>
              <w:tblStyle w:val="22"/>
              <w:tblW w:w="488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3973"/>
              <w:gridCol w:w="1516"/>
              <w:gridCol w:w="19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39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15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19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3974" w:type="dxa"/>
                  <w:tcBorders>
                    <w:tl2br w:val="nil"/>
                    <w:tr2bl w:val="nil"/>
                  </w:tcBorders>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val="en-US" w:eastAsia="zh-CN"/>
                    </w:rPr>
                    <w:t>DA001</w:t>
                  </w:r>
                  <w:r>
                    <w:rPr>
                      <w:rFonts w:hint="eastAsia" w:ascii="Times New Roman" w:hAnsi="Times New Roman"/>
                      <w:color w:val="auto"/>
                      <w:sz w:val="21"/>
                      <w:szCs w:val="21"/>
                      <w:highlight w:val="none"/>
                      <w:lang w:eastAsia="zh-CN"/>
                    </w:rPr>
                    <w:t>排气筒（</w:t>
                  </w:r>
                  <w:r>
                    <w:rPr>
                      <w:rFonts w:hint="eastAsia" w:cs="Times New Roman"/>
                      <w:b w:val="0"/>
                      <w:bCs w:val="0"/>
                      <w:color w:val="auto"/>
                      <w:sz w:val="21"/>
                      <w:szCs w:val="21"/>
                      <w:highlight w:val="none"/>
                      <w:lang w:eastAsia="zh-CN"/>
                    </w:rPr>
                    <w:t>煤泥烘干及落料口废气</w:t>
                  </w:r>
                  <w:r>
                    <w:rPr>
                      <w:rFonts w:hint="eastAsia" w:ascii="Times New Roman" w:hAnsi="Times New Roman"/>
                      <w:color w:val="auto"/>
                      <w:sz w:val="21"/>
                      <w:szCs w:val="21"/>
                      <w:highlight w:val="none"/>
                      <w:lang w:eastAsia="zh-CN"/>
                    </w:rPr>
                    <w:t>）</w:t>
                  </w:r>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highlight w:val="none"/>
                    </w:rPr>
                    <w:t>颗粒物</w:t>
                  </w:r>
                  <w:r>
                    <w:rPr>
                      <w:rFonts w:hint="eastAsia"/>
                      <w:color w:val="auto"/>
                      <w:sz w:val="21"/>
                      <w:szCs w:val="21"/>
                      <w:highlight w:val="none"/>
                      <w:lang w:eastAsia="zh-CN"/>
                    </w:rPr>
                    <w:t>、</w:t>
                  </w:r>
                  <w:r>
                    <w:rPr>
                      <w:rFonts w:hint="eastAsia"/>
                      <w:color w:val="auto"/>
                      <w:sz w:val="21"/>
                      <w:szCs w:val="21"/>
                      <w:highlight w:val="none"/>
                      <w:lang w:val="en-US" w:eastAsia="zh-CN"/>
                    </w:rPr>
                    <w:t>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、NOx</w:t>
                  </w:r>
                </w:p>
              </w:tc>
              <w:tc>
                <w:tcPr>
                  <w:tcW w:w="1924" w:type="dxa"/>
                  <w:tcBorders>
                    <w:tl2br w:val="nil"/>
                    <w:tr2bl w:val="nil"/>
                  </w:tcBorders>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olor w:val="auto"/>
                      <w:sz w:val="21"/>
                      <w:szCs w:val="21"/>
                      <w:highlight w:val="none"/>
                      <w:lang w:bidi="ar"/>
                    </w:rPr>
                    <w:t>1次/</w:t>
                  </w:r>
                  <w:r>
                    <w:rPr>
                      <w:rFonts w:hint="eastAsia"/>
                      <w:color w:val="auto"/>
                      <w:sz w:val="21"/>
                      <w:szCs w:val="21"/>
                      <w:highlight w:val="none"/>
                      <w:lang w:eastAsia="zh-CN" w:bidi="ar"/>
                    </w:rPr>
                    <w:t>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highlight w:val="none"/>
                    </w:rPr>
                  </w:pPr>
                </w:p>
              </w:tc>
              <w:tc>
                <w:tcPr>
                  <w:tcW w:w="3974" w:type="dxa"/>
                  <w:tcBorders>
                    <w:tl2br w:val="nil"/>
                    <w:tr2bl w:val="nil"/>
                  </w:tcBorders>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cs="Times New Roman"/>
                      <w:color w:val="auto"/>
                      <w:sz w:val="21"/>
                      <w:szCs w:val="21"/>
                      <w:highlight w:val="none"/>
                      <w:lang w:eastAsia="zh-CN"/>
                    </w:rPr>
                  </w:pPr>
                  <w:r>
                    <w:rPr>
                      <w:rFonts w:ascii="Times New Roman" w:hAnsi="Times New Roman"/>
                      <w:color w:val="auto"/>
                      <w:sz w:val="21"/>
                      <w:szCs w:val="21"/>
                      <w:highlight w:val="none"/>
                    </w:rPr>
                    <w:t>厂界无组织监控点（上风向设1个参照点，下风向设4个监控点）</w:t>
                  </w:r>
                </w:p>
              </w:tc>
              <w:tc>
                <w:tcPr>
                  <w:tcW w:w="1516" w:type="dxa"/>
                  <w:tcBorders>
                    <w:tl2br w:val="nil"/>
                    <w:tr2bl w:val="nil"/>
                  </w:tcBorders>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olor w:val="auto"/>
                      <w:sz w:val="21"/>
                      <w:szCs w:val="21"/>
                      <w:highlight w:val="none"/>
                    </w:rPr>
                    <w:t>颗粒物</w:t>
                  </w:r>
                </w:p>
              </w:tc>
              <w:tc>
                <w:tcPr>
                  <w:tcW w:w="1924" w:type="dxa"/>
                  <w:tcBorders>
                    <w:tl2br w:val="nil"/>
                    <w:tr2bl w:val="nil"/>
                  </w:tcBorders>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cs="Times New Roman"/>
                      <w:bCs/>
                      <w:color w:val="auto"/>
                      <w:sz w:val="21"/>
                      <w:szCs w:val="21"/>
                      <w:highlight w:val="none"/>
                    </w:rPr>
                  </w:pPr>
                  <w:r>
                    <w:rPr>
                      <w:rFonts w:ascii="Times New Roman" w:hAnsi="Times New Roman"/>
                      <w:color w:val="auto"/>
                      <w:sz w:val="21"/>
                      <w:szCs w:val="21"/>
                      <w:highlight w:val="none"/>
                      <w:lang w:bidi="ar"/>
                    </w:rPr>
                    <w:t>1次/</w:t>
                  </w:r>
                  <w:r>
                    <w:rPr>
                      <w:rFonts w:hint="eastAsia" w:ascii="Times New Roman" w:hAnsi="Times New Roman"/>
                      <w:color w:val="auto"/>
                      <w:sz w:val="21"/>
                      <w:szCs w:val="21"/>
                      <w:highlight w:val="none"/>
                      <w:lang w:bidi="ar"/>
                    </w:rPr>
                    <w:t>年</w:t>
                  </w:r>
                </w:p>
              </w:tc>
            </w:tr>
          </w:tbl>
          <w:p>
            <w:pPr>
              <w:keepNext w:val="0"/>
              <w:keepLines w:val="0"/>
              <w:pageBreakBefore w:val="0"/>
              <w:widowControl w:val="0"/>
              <w:kinsoku/>
              <w:wordWrap/>
              <w:overflowPunct/>
              <w:topLinePunct w:val="0"/>
              <w:autoSpaceDE/>
              <w:autoSpaceDN/>
              <w:bidi w:val="0"/>
              <w:adjustRightInd w:val="0"/>
              <w:snapToGrid w:val="0"/>
              <w:spacing w:line="480" w:lineRule="exact"/>
              <w:ind w:left="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2、水环境影响分析及保护措施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z w:val="24"/>
                <w:szCs w:val="24"/>
                <w:highlight w:val="none"/>
              </w:rPr>
              <w:t>（1）</w:t>
            </w:r>
            <w:r>
              <w:rPr>
                <w:rFonts w:hint="default" w:ascii="Times New Roman" w:hAnsi="Times New Roman" w:cs="Times New Roman"/>
                <w:color w:val="auto"/>
                <w:spacing w:val="4"/>
                <w:sz w:val="24"/>
                <w:szCs w:val="24"/>
                <w:highlight w:val="none"/>
              </w:rPr>
              <w:t>初期雨水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bCs/>
                <w:color w:val="auto"/>
                <w:sz w:val="24"/>
                <w:szCs w:val="24"/>
                <w:highlight w:val="none"/>
              </w:rPr>
            </w:pPr>
            <w:r>
              <w:rPr>
                <w:rFonts w:hint="eastAsia" w:cs="Times New Roman"/>
                <w:color w:val="auto"/>
                <w:sz w:val="24"/>
                <w:szCs w:val="24"/>
                <w:highlight w:val="none"/>
                <w:lang w:eastAsia="zh-CN"/>
              </w:rPr>
              <w:t>本项目初期雨水</w:t>
            </w:r>
            <w:r>
              <w:rPr>
                <w:rFonts w:hint="default" w:ascii="Times New Roman" w:hAnsi="Times New Roman" w:cs="Times New Roman"/>
                <w:color w:val="auto"/>
                <w:sz w:val="24"/>
                <w:szCs w:val="24"/>
                <w:highlight w:val="none"/>
              </w:rPr>
              <w:t>评价按下列暴雨强度</w:t>
            </w:r>
            <w:r>
              <w:rPr>
                <w:rFonts w:hint="default" w:ascii="Times New Roman" w:hAnsi="Times New Roman" w:cs="Times New Roman"/>
                <w:color w:val="auto"/>
                <w:sz w:val="24"/>
                <w:szCs w:val="24"/>
                <w:highlight w:val="none"/>
                <w:lang w:val="pt-BR"/>
              </w:rPr>
              <w:t>公式</w:t>
            </w:r>
            <w:r>
              <w:rPr>
                <w:rFonts w:hint="eastAsia" w:ascii="Times New Roman" w:hAnsi="Times New Roman" w:cs="Times New Roman"/>
                <w:color w:val="auto"/>
                <w:sz w:val="24"/>
                <w:szCs w:val="24"/>
                <w:highlight w:val="none"/>
                <w:lang w:val="pt-BR" w:eastAsia="zh-CN"/>
              </w:rPr>
              <w:t>计算初期雨水量</w:t>
            </w:r>
            <w:r>
              <w:rPr>
                <w:rFonts w:hint="default" w:ascii="Times New Roman" w:hAnsi="Times New Roman" w:cs="Times New Roman"/>
                <w:bCs/>
                <w:color w:val="auto"/>
                <w:sz w:val="24"/>
                <w:szCs w:val="24"/>
                <w:highlight w:val="none"/>
              </w:rPr>
              <w:t>：</w:t>
            </w:r>
          </w:p>
          <w:p>
            <w:pPr>
              <w:spacing w:line="480" w:lineRule="atLeast"/>
              <w:ind w:firstLine="480" w:firstLineChars="20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position w:val="-28"/>
                <w:sz w:val="24"/>
                <w:szCs w:val="24"/>
                <w:highlight w:val="none"/>
              </w:rPr>
              <w:object>
                <v:shape id="_x0000_i1026" o:spt="75" type="#_x0000_t75" style="height:34pt;width:114.3pt;" o:ole="t" filled="f" o:preferrelative="t" stroked="f" coordsize="21600,21600">
                  <v:path/>
                  <v:fill on="f" focussize="0,0"/>
                  <v:stroke on="f"/>
                  <v:imagedata r:id="rId21" o:title=""/>
                  <o:lock v:ext="edit" aspectratio="t"/>
                  <w10:wrap type="none"/>
                  <w10:anchorlock/>
                </v:shape>
                <o:OLEObject Type="Embed" ProgID="Equations" ShapeID="_x0000_i1026" DrawAspect="Content" ObjectID="_1468075726" r:id="rId20">
                  <o:LockedField>false</o:LockedField>
                </o:OLEObject>
              </w:objec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式中：q：暴雨强度，L/s.hm</w:t>
            </w:r>
            <w:r>
              <w:rPr>
                <w:rFonts w:hint="default" w:ascii="Times New Roman" w:hAnsi="Times New Roman" w:cs="Times New Roman"/>
                <w:bCs/>
                <w:color w:val="auto"/>
                <w:sz w:val="24"/>
                <w:szCs w:val="24"/>
                <w:highlight w:val="none"/>
                <w:vertAlign w:val="superscript"/>
              </w:rPr>
              <w:t>2</w:t>
            </w:r>
            <w:r>
              <w:rPr>
                <w:rFonts w:hint="default" w:ascii="Times New Roman" w:hAnsi="Times New Roman" w:cs="Times New Roman"/>
                <w:bCs/>
                <w:color w:val="auto"/>
                <w:sz w:val="24"/>
                <w:szCs w:val="24"/>
                <w:highlight w:val="none"/>
              </w:rPr>
              <w:t>；</w:t>
            </w:r>
          </w:p>
          <w:p>
            <w:pPr>
              <w:keepNext w:val="0"/>
              <w:keepLines w:val="0"/>
              <w:pageBreakBefore w:val="0"/>
              <w:widowControl w:val="0"/>
              <w:kinsoku/>
              <w:wordWrap/>
              <w:overflowPunct/>
              <w:topLinePunct w:val="0"/>
              <w:bidi w:val="0"/>
              <w:snapToGrid/>
              <w:spacing w:line="500" w:lineRule="exact"/>
              <w:ind w:firstLine="1200" w:firstLineChars="500"/>
              <w:textAlignment w:val="auto"/>
              <w:rPr>
                <w:rFonts w:hint="default" w:ascii="Times New Roman" w:hAnsi="Times New Roman" w:cs="Times New Roman"/>
                <w:bCs/>
                <w:color w:val="auto"/>
                <w:sz w:val="24"/>
                <w:szCs w:val="24"/>
                <w:highlight w:val="none"/>
              </w:rPr>
            </w:pPr>
            <w:r>
              <w:rPr>
                <w:rFonts w:hint="eastAsia" w:cs="Times New Roman"/>
                <w:bCs/>
                <w:color w:val="auto"/>
                <w:sz w:val="24"/>
                <w:szCs w:val="24"/>
                <w:highlight w:val="none"/>
                <w:lang w:val="en-US" w:eastAsia="zh-CN"/>
              </w:rPr>
              <w:t>T</w:t>
            </w:r>
            <w:r>
              <w:rPr>
                <w:rFonts w:hint="default" w:ascii="Times New Roman" w:hAnsi="Times New Roman" w:cs="Times New Roman"/>
                <w:bCs/>
                <w:color w:val="auto"/>
                <w:sz w:val="24"/>
                <w:szCs w:val="24"/>
                <w:highlight w:val="none"/>
              </w:rPr>
              <w:t xml:space="preserve">：重现期，取2； </w:t>
            </w:r>
          </w:p>
          <w:p>
            <w:pPr>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t：集水时间，取15min。</w:t>
            </w:r>
          </w:p>
          <w:p>
            <w:pPr>
              <w:pStyle w:val="29"/>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经计算，暴雨强度为</w:t>
            </w:r>
            <w:r>
              <w:rPr>
                <w:rFonts w:hint="default" w:ascii="Times New Roman" w:hAnsi="Times New Roman" w:cs="Times New Roman"/>
                <w:bCs/>
                <w:color w:val="auto"/>
                <w:sz w:val="24"/>
                <w:szCs w:val="24"/>
                <w:highlight w:val="none"/>
                <w:lang w:val="en-US" w:eastAsia="zh-CN"/>
              </w:rPr>
              <w:t>147.81</w:t>
            </w:r>
            <w:r>
              <w:rPr>
                <w:rFonts w:hint="default" w:ascii="Times New Roman" w:hAnsi="Times New Roman" w:cs="Times New Roman"/>
                <w:bCs/>
                <w:color w:val="auto"/>
                <w:sz w:val="24"/>
                <w:szCs w:val="24"/>
                <w:highlight w:val="none"/>
              </w:rPr>
              <w:t>L/s</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rPr>
              <w:t>hm</w:t>
            </w:r>
            <w:r>
              <w:rPr>
                <w:rFonts w:hint="default" w:ascii="Times New Roman" w:hAnsi="Times New Roman" w:cs="Times New Roman"/>
                <w:bCs/>
                <w:color w:val="auto"/>
                <w:sz w:val="24"/>
                <w:szCs w:val="24"/>
                <w:highlight w:val="none"/>
                <w:vertAlign w:val="superscript"/>
              </w:rPr>
              <w:t>2</w:t>
            </w:r>
            <w:r>
              <w:rPr>
                <w:rFonts w:hint="default" w:ascii="Times New Roman" w:hAnsi="Times New Roman" w:cs="Times New Roman"/>
                <w:bCs/>
                <w:color w:val="auto"/>
                <w:sz w:val="24"/>
                <w:szCs w:val="24"/>
                <w:highlight w:val="none"/>
              </w:rPr>
              <w:t>。</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初期雨水量计算按：Q=Φ×q×F×t</w:t>
            </w:r>
          </w:p>
          <w:p>
            <w:pPr>
              <w:keepNext w:val="0"/>
              <w:keepLines w:val="0"/>
              <w:pageBreakBefore w:val="0"/>
              <w:widowControl w:val="0"/>
              <w:kinsoku/>
              <w:wordWrap/>
              <w:overflowPunct/>
              <w:topLinePunct w:val="0"/>
              <w:autoSpaceDE/>
              <w:autoSpaceDN/>
              <w:bidi w:val="0"/>
              <w:snapToGrid/>
              <w:spacing w:line="500" w:lineRule="exact"/>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式中：Φ—径流系数，取0.</w:t>
            </w:r>
            <w:r>
              <w:rPr>
                <w:rFonts w:hint="default" w:ascii="Times New Roman" w:hAnsi="Times New Roman" w:cs="Times New Roman"/>
                <w:bCs/>
                <w:color w:val="auto"/>
                <w:sz w:val="24"/>
                <w:szCs w:val="24"/>
                <w:highlight w:val="none"/>
                <w:lang w:val="en-US" w:eastAsia="zh-CN"/>
              </w:rPr>
              <w:t>9</w:t>
            </w:r>
            <w:r>
              <w:rPr>
                <w:rFonts w:hint="default" w:ascii="Times New Roman" w:hAnsi="Times New Roman" w:cs="Times New Roman"/>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q—暴雨强度（L/s•公顷）；</w:t>
            </w:r>
          </w:p>
          <w:p>
            <w:pPr>
              <w:keepNext w:val="0"/>
              <w:keepLines w:val="0"/>
              <w:pageBreakBefore w:val="0"/>
              <w:widowControl w:val="0"/>
              <w:kinsoku/>
              <w:wordWrap/>
              <w:overflowPunct/>
              <w:topLinePunct w:val="0"/>
              <w:autoSpaceDE/>
              <w:autoSpaceDN/>
              <w:bidi w:val="0"/>
              <w:spacing w:line="500" w:lineRule="exact"/>
              <w:ind w:firstLine="1320" w:firstLineChars="55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F—汇水面积（</w:t>
            </w:r>
            <w:r>
              <w:rPr>
                <w:rFonts w:hint="eastAsia" w:cs="Times New Roman"/>
                <w:bCs/>
                <w:color w:val="auto"/>
                <w:sz w:val="24"/>
                <w:szCs w:val="24"/>
                <w:highlight w:val="none"/>
                <w:lang w:eastAsia="zh-CN"/>
              </w:rPr>
              <w:t>山西中源拓森煤炭销售有限公司储煤场占地面积，</w:t>
            </w:r>
            <w:r>
              <w:rPr>
                <w:rFonts w:hint="eastAsia" w:cs="Times New Roman"/>
                <w:bCs/>
                <w:color w:val="auto"/>
                <w:sz w:val="24"/>
                <w:szCs w:val="24"/>
                <w:highlight w:val="none"/>
                <w:lang w:val="en-US" w:eastAsia="zh-CN"/>
              </w:rPr>
              <w:t>43629.3m</w:t>
            </w:r>
            <w:r>
              <w:rPr>
                <w:rFonts w:hint="eastAsia" w:cs="Times New Roman"/>
                <w:bCs/>
                <w:color w:val="auto"/>
                <w:sz w:val="24"/>
                <w:szCs w:val="24"/>
                <w:highlight w:val="none"/>
                <w:vertAlign w:val="superscript"/>
                <w:lang w:val="en-US" w:eastAsia="zh-CN"/>
              </w:rPr>
              <w:t>2</w:t>
            </w:r>
            <w:r>
              <w:rPr>
                <w:rFonts w:hint="default" w:ascii="Times New Roman" w:hAnsi="Times New Roman" w:cs="Times New Roman"/>
                <w:bCs/>
                <w:color w:val="auto"/>
                <w:sz w:val="24"/>
                <w:szCs w:val="24"/>
                <w:highlight w:val="none"/>
              </w:rPr>
              <w:t>）；</w:t>
            </w:r>
          </w:p>
          <w:p>
            <w:pPr>
              <w:keepNext w:val="0"/>
              <w:keepLines w:val="0"/>
              <w:pageBreakBefore w:val="0"/>
              <w:widowControl w:val="0"/>
              <w:kinsoku/>
              <w:wordWrap/>
              <w:overflowPunct/>
              <w:topLinePunct w:val="0"/>
              <w:autoSpaceDE/>
              <w:autoSpaceDN/>
              <w:bidi w:val="0"/>
              <w:spacing w:line="500" w:lineRule="exact"/>
              <w:ind w:firstLine="1320" w:firstLineChars="550"/>
              <w:textAlignment w:val="auto"/>
              <w:rPr>
                <w:rFonts w:hint="eastAsia" w:ascii="Times New Roman" w:hAnsi="Times New Roman" w:eastAsia="宋体" w:cs="Times New Roman"/>
                <w:bCs/>
                <w:color w:val="auto"/>
                <w:sz w:val="24"/>
                <w:szCs w:val="24"/>
                <w:highlight w:val="none"/>
                <w:lang w:eastAsia="zh-CN"/>
              </w:rPr>
            </w:pPr>
            <w:r>
              <w:rPr>
                <w:rFonts w:hint="default" w:ascii="Times New Roman" w:hAnsi="Times New Roman" w:cs="Times New Roman"/>
                <w:bCs/>
                <w:color w:val="auto"/>
                <w:sz w:val="24"/>
                <w:szCs w:val="24"/>
                <w:highlight w:val="none"/>
              </w:rPr>
              <w:t>t—降雨历时取15min</w:t>
            </w:r>
            <w:r>
              <w:rPr>
                <w:rFonts w:hint="eastAsia" w:ascii="Times New Roman" w:hAnsi="Times New Roman" w:cs="Times New Roman"/>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default" w:ascii="Times New Roman" w:hAnsi="Times New Roman" w:cs="Times New Roman"/>
                <w:color w:val="auto"/>
                <w:spacing w:val="4"/>
                <w:sz w:val="24"/>
                <w:szCs w:val="24"/>
                <w:highlight w:val="red"/>
              </w:rPr>
            </w:pPr>
            <w:r>
              <w:rPr>
                <w:rFonts w:hint="default" w:ascii="Times New Roman" w:hAnsi="Times New Roman" w:cs="Times New Roman"/>
                <w:bCs/>
                <w:color w:val="auto"/>
                <w:sz w:val="24"/>
                <w:szCs w:val="24"/>
                <w:highlight w:val="none"/>
              </w:rPr>
              <w:t>经计算，</w:t>
            </w:r>
            <w:r>
              <w:rPr>
                <w:rFonts w:hint="eastAsia"/>
                <w:color w:val="auto"/>
                <w:highlight w:val="none"/>
                <w:lang w:eastAsia="zh-CN"/>
              </w:rPr>
              <w:t>初期雨水收集池应不小于</w:t>
            </w:r>
            <w:r>
              <w:rPr>
                <w:rFonts w:hint="eastAsia"/>
                <w:color w:val="auto"/>
                <w:highlight w:val="none"/>
                <w:lang w:val="en-US" w:eastAsia="zh-CN"/>
              </w:rPr>
              <w:t>522.4</w:t>
            </w:r>
            <w:r>
              <w:rPr>
                <w:rFonts w:hint="default" w:ascii="Times New Roman" w:hAnsi="Times New Roman" w:cs="Times New Roman"/>
                <w:bCs/>
                <w:color w:val="auto"/>
                <w:sz w:val="24"/>
                <w:szCs w:val="24"/>
                <w:highlight w:val="none"/>
              </w:rPr>
              <w:t>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w:t>
            </w:r>
            <w:r>
              <w:rPr>
                <w:rFonts w:hint="eastAsia" w:cs="Times New Roman"/>
                <w:bCs/>
                <w:color w:val="auto"/>
                <w:sz w:val="24"/>
                <w:szCs w:val="24"/>
                <w:highlight w:val="none"/>
                <w:lang w:eastAsia="zh-CN"/>
              </w:rPr>
              <w:t>山西中源拓森煤炭销售有限公司储煤场</w:t>
            </w:r>
            <w:r>
              <w:rPr>
                <w:rFonts w:hint="eastAsia" w:cs="Times New Roman"/>
                <w:bCs/>
                <w:color w:val="auto"/>
                <w:sz w:val="24"/>
                <w:szCs w:val="24"/>
                <w:highlight w:val="none"/>
                <w:lang w:val="en-US" w:eastAsia="zh-CN"/>
              </w:rPr>
              <w:t>厂区西北侧现有</w:t>
            </w:r>
            <w:r>
              <w:rPr>
                <w:rFonts w:hint="default" w:ascii="Times New Roman" w:hAnsi="Times New Roman" w:cs="Times New Roman"/>
                <w:color w:val="auto"/>
                <w:spacing w:val="4"/>
                <w:sz w:val="24"/>
                <w:szCs w:val="24"/>
                <w:highlight w:val="none"/>
              </w:rPr>
              <w:t>1座</w:t>
            </w:r>
            <w:r>
              <w:rPr>
                <w:rFonts w:hint="eastAsia" w:cs="Times New Roman"/>
                <w:color w:val="auto"/>
                <w:spacing w:val="4"/>
                <w:sz w:val="24"/>
                <w:szCs w:val="24"/>
                <w:highlight w:val="none"/>
                <w:lang w:val="en-US" w:eastAsia="zh-CN"/>
              </w:rPr>
              <w:t>550</w:t>
            </w:r>
            <w:r>
              <w:rPr>
                <w:rFonts w:hint="default" w:ascii="Times New Roman" w:hAnsi="Times New Roman" w:cs="Times New Roman"/>
                <w:color w:val="auto"/>
                <w:spacing w:val="4"/>
                <w:sz w:val="24"/>
                <w:szCs w:val="24"/>
                <w:highlight w:val="none"/>
              </w:rPr>
              <w:t>m</w:t>
            </w:r>
            <w:r>
              <w:rPr>
                <w:rFonts w:hint="default" w:ascii="Times New Roman" w:hAnsi="Times New Roman" w:cs="Times New Roman"/>
                <w:color w:val="auto"/>
                <w:spacing w:val="4"/>
                <w:sz w:val="24"/>
                <w:szCs w:val="24"/>
                <w:highlight w:val="none"/>
                <w:vertAlign w:val="superscript"/>
              </w:rPr>
              <w:t>3</w:t>
            </w:r>
            <w:r>
              <w:rPr>
                <w:rFonts w:hint="eastAsia" w:cs="Times New Roman"/>
                <w:color w:val="auto"/>
                <w:spacing w:val="4"/>
                <w:sz w:val="24"/>
                <w:szCs w:val="24"/>
                <w:highlight w:val="none"/>
                <w:lang w:val="en-US" w:eastAsia="zh-CN"/>
              </w:rPr>
              <w:t>的</w:t>
            </w:r>
            <w:r>
              <w:rPr>
                <w:rFonts w:hint="default" w:ascii="Times New Roman" w:hAnsi="Times New Roman" w:cs="Times New Roman"/>
                <w:color w:val="auto"/>
                <w:spacing w:val="4"/>
                <w:sz w:val="24"/>
                <w:szCs w:val="24"/>
                <w:highlight w:val="none"/>
              </w:rPr>
              <w:t>初期雨水收集</w:t>
            </w:r>
            <w:r>
              <w:rPr>
                <w:rFonts w:hint="default" w:ascii="Times New Roman" w:hAnsi="Times New Roman" w:cs="Times New Roman"/>
                <w:color w:val="auto"/>
                <w:spacing w:val="4"/>
                <w:sz w:val="24"/>
                <w:szCs w:val="24"/>
                <w:highlight w:val="none"/>
                <w:lang w:val="en-US" w:eastAsia="zh-CN"/>
              </w:rPr>
              <w:t>池</w:t>
            </w:r>
            <w:r>
              <w:rPr>
                <w:rFonts w:hint="default" w:ascii="Times New Roman" w:hAnsi="Times New Roman" w:cs="Times New Roman"/>
                <w:color w:val="auto"/>
                <w:highlight w:val="none"/>
              </w:rPr>
              <w:t>，采用</w:t>
            </w:r>
            <w:r>
              <w:rPr>
                <w:rFonts w:hint="eastAsia" w:cs="Times New Roman"/>
                <w:color w:val="auto"/>
                <w:highlight w:val="none"/>
                <w:lang w:val="en-US" w:eastAsia="zh-CN"/>
              </w:rPr>
              <w:t>的</w:t>
            </w:r>
            <w:r>
              <w:rPr>
                <w:rFonts w:hint="default" w:ascii="Times New Roman" w:hAnsi="Times New Roman" w:cs="Times New Roman"/>
                <w:color w:val="auto"/>
                <w:highlight w:val="none"/>
              </w:rPr>
              <w:t>钢筋混凝土结构</w:t>
            </w:r>
            <w:r>
              <w:rPr>
                <w:rFonts w:hint="eastAsia" w:cs="Times New Roman"/>
                <w:color w:val="auto"/>
                <w:highlight w:val="none"/>
                <w:lang w:eastAsia="zh-CN"/>
              </w:rPr>
              <w:t>，</w:t>
            </w:r>
            <w:r>
              <w:rPr>
                <w:rFonts w:hint="eastAsia" w:cs="Times New Roman"/>
                <w:color w:val="auto"/>
                <w:highlight w:val="none"/>
                <w:lang w:val="en-US" w:eastAsia="zh-CN"/>
              </w:rPr>
              <w:t>因此，完全可以依托利用，</w:t>
            </w:r>
            <w:r>
              <w:rPr>
                <w:rFonts w:hint="default" w:ascii="Times New Roman" w:hAnsi="Times New Roman" w:cs="Times New Roman"/>
                <w:color w:val="auto"/>
                <w:spacing w:val="4"/>
                <w:sz w:val="24"/>
                <w:szCs w:val="24"/>
                <w:highlight w:val="none"/>
              </w:rPr>
              <w:t>收集的初期雨水经沉淀后用于</w:t>
            </w:r>
            <w:r>
              <w:rPr>
                <w:rFonts w:hint="eastAsia" w:ascii="Times New Roman" w:hAnsi="Times New Roman" w:cs="Times New Roman"/>
                <w:color w:val="auto"/>
                <w:spacing w:val="4"/>
                <w:sz w:val="24"/>
                <w:szCs w:val="24"/>
                <w:highlight w:val="none"/>
                <w:lang w:val="en-US" w:eastAsia="zh-CN"/>
              </w:rPr>
              <w:t>厂区</w:t>
            </w:r>
            <w:r>
              <w:rPr>
                <w:rFonts w:hint="default" w:ascii="Times New Roman" w:hAnsi="Times New Roman" w:cs="Times New Roman"/>
                <w:color w:val="auto"/>
                <w:spacing w:val="4"/>
                <w:sz w:val="24"/>
                <w:szCs w:val="24"/>
                <w:highlight w:val="none"/>
              </w:rPr>
              <w:t>洒水抑尘，不外排。</w:t>
            </w:r>
          </w:p>
          <w:p>
            <w:pPr>
              <w:keepNext w:val="0"/>
              <w:keepLines w:val="0"/>
              <w:pageBreakBefore w:val="0"/>
              <w:widowControl w:val="0"/>
              <w:kinsoku/>
              <w:wordWrap/>
              <w:overflowPunct/>
              <w:topLinePunct w:val="0"/>
              <w:autoSpaceDE/>
              <w:autoSpaceDN/>
              <w:bidi w:val="0"/>
              <w:adjustRightInd/>
              <w:snapToGrid w:val="0"/>
              <w:spacing w:line="500" w:lineRule="exact"/>
              <w:ind w:firstLine="496"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pacing w:val="4"/>
                <w:sz w:val="24"/>
                <w:szCs w:val="24"/>
                <w:highlight w:val="none"/>
              </w:rPr>
              <w:t>（2）洗车废水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red"/>
                <w:lang w:val="en-US" w:eastAsia="zh-CN"/>
              </w:rPr>
            </w:pPr>
            <w:r>
              <w:rPr>
                <w:rFonts w:hint="default" w:ascii="Times New Roman" w:hAnsi="Times New Roman" w:cs="Times New Roman"/>
                <w:color w:val="auto"/>
                <w:sz w:val="24"/>
                <w:szCs w:val="24"/>
                <w:highlight w:val="none"/>
                <w:lang w:val="en-US" w:eastAsia="zh-CN"/>
              </w:rPr>
              <w:t>本项目建成后，洗车平台每天补水</w:t>
            </w:r>
            <w:r>
              <w:rPr>
                <w:rFonts w:hint="eastAsia" w:cs="Times New Roman"/>
                <w:color w:val="auto"/>
                <w:sz w:val="24"/>
                <w:szCs w:val="24"/>
                <w:highlight w:val="none"/>
                <w:lang w:val="en-US" w:eastAsia="zh-CN"/>
              </w:rPr>
              <w:t>0.34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，循环废水约</w:t>
            </w:r>
            <w:r>
              <w:rPr>
                <w:rFonts w:hint="eastAsia" w:cs="Times New Roman"/>
                <w:color w:val="auto"/>
                <w:sz w:val="24"/>
                <w:szCs w:val="24"/>
                <w:highlight w:val="none"/>
                <w:lang w:val="en-US" w:eastAsia="zh-CN"/>
              </w:rPr>
              <w:t>1.38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，主要污染物为SS，浓度100</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mg/L，经</w:t>
            </w:r>
            <w:r>
              <w:rPr>
                <w:rFonts w:hint="eastAsia" w:cs="Times New Roman"/>
                <w:color w:val="auto"/>
                <w:sz w:val="24"/>
                <w:szCs w:val="24"/>
                <w:highlight w:val="none"/>
                <w:lang w:val="en-US" w:eastAsia="zh-CN"/>
              </w:rPr>
              <w:t>沉淀池</w:t>
            </w:r>
            <w:r>
              <w:rPr>
                <w:rFonts w:hint="default" w:ascii="Times New Roman" w:hAnsi="Times New Roman" w:cs="Times New Roman"/>
                <w:color w:val="auto"/>
                <w:sz w:val="24"/>
                <w:szCs w:val="24"/>
                <w:highlight w:val="none"/>
                <w:lang w:val="en-US" w:eastAsia="zh-CN"/>
              </w:rPr>
              <w:t>沉淀后回用于车辆冲洗。</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（3）煤泥淋控水</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default" w:ascii="Times New Roman" w:hAnsi="Times New Roman" w:eastAsia="宋体" w:cs="Times New Roman"/>
                <w:bCs/>
                <w:color w:val="auto"/>
                <w:sz w:val="24"/>
                <w:szCs w:val="24"/>
                <w:highlight w:val="red"/>
                <w:lang w:val="en-US" w:eastAsia="zh-CN"/>
              </w:rPr>
            </w:pPr>
            <w:r>
              <w:rPr>
                <w:rFonts w:hint="default" w:ascii="Times New Roman" w:hAnsi="Times New Roman" w:cs="Times New Roman"/>
                <w:bCs/>
                <w:color w:val="auto"/>
                <w:sz w:val="24"/>
                <w:szCs w:val="24"/>
                <w:highlight w:val="none"/>
              </w:rPr>
              <w:t>项目在湿煤泥库建设1座淋控水池，用于储存湿煤泥淋控水，经沉淀后洒水抑尘。</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default" w:ascii="Times New Roman" w:hAnsi="Times New Roman" w:cs="Times New Roman"/>
                <w:bCs/>
                <w:color w:val="auto"/>
                <w:spacing w:val="4"/>
                <w:sz w:val="24"/>
                <w:szCs w:val="24"/>
                <w:highlight w:val="none"/>
              </w:rPr>
            </w:pPr>
            <w:r>
              <w:rPr>
                <w:rFonts w:hint="default" w:ascii="Times New Roman" w:hAnsi="Times New Roman" w:cs="Times New Roman"/>
                <w:bCs/>
                <w:color w:val="auto"/>
                <w:sz w:val="24"/>
                <w:szCs w:val="24"/>
                <w:highlight w:val="none"/>
              </w:rPr>
              <w:t>（</w:t>
            </w:r>
            <w:r>
              <w:rPr>
                <w:rFonts w:hint="eastAsia" w:cs="Times New Roman"/>
                <w:bCs/>
                <w:color w:val="auto"/>
                <w:sz w:val="24"/>
                <w:szCs w:val="24"/>
                <w:highlight w:val="none"/>
                <w:lang w:val="en-US" w:eastAsia="zh-CN"/>
              </w:rPr>
              <w:t>4</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pacing w:val="4"/>
                <w:sz w:val="24"/>
                <w:szCs w:val="24"/>
                <w:highlight w:val="none"/>
              </w:rPr>
              <w:t>生活污水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本项目生活废水主要为盥洗废水，水量较少，水质简单，收集沉淀后用于抑尘洒水，不外排。</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3、声环境影响分析及保护措施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3.1</w:t>
            </w:r>
            <w:r>
              <w:rPr>
                <w:rFonts w:hint="eastAsia" w:ascii="Times New Roman" w:hAnsi="Times New Roman" w:eastAsia="宋体" w:cs="Times New Roman"/>
                <w:b/>
                <w:bCs/>
                <w:color w:val="auto"/>
                <w:sz w:val="24"/>
                <w:szCs w:val="24"/>
                <w:highlight w:val="none"/>
                <w:lang w:eastAsia="zh-CN"/>
              </w:rPr>
              <w:t>源强分析</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Times New Roman" w:hAnsi="Times New Roman" w:cs="Times New Roman"/>
                <w:bCs/>
                <w:color w:val="auto"/>
                <w:sz w:val="24"/>
                <w:szCs w:val="24"/>
                <w:highlight w:val="none"/>
                <w:lang w:eastAsia="zh-CN"/>
              </w:rPr>
            </w:pPr>
            <w:r>
              <w:rPr>
                <w:rFonts w:hint="eastAsia" w:ascii="Times New Roman" w:hAnsi="Times New Roman" w:cs="Times New Roman"/>
                <w:bCs/>
                <w:color w:val="auto"/>
                <w:sz w:val="24"/>
                <w:szCs w:val="24"/>
                <w:highlight w:val="none"/>
                <w:lang w:eastAsia="zh-CN"/>
              </w:rPr>
              <w:t>本工程主要产噪设备为滚筒干燥机、风机等，噪声在8</w:t>
            </w:r>
            <w:r>
              <w:rPr>
                <w:rFonts w:hint="eastAsia" w:ascii="Times New Roman" w:hAnsi="Times New Roman" w:cs="Times New Roman"/>
                <w:bCs/>
                <w:color w:val="auto"/>
                <w:sz w:val="24"/>
                <w:szCs w:val="24"/>
                <w:highlight w:val="none"/>
                <w:lang w:val="en-US" w:eastAsia="zh-CN"/>
              </w:rPr>
              <w:t>0</w:t>
            </w:r>
            <w:r>
              <w:rPr>
                <w:rFonts w:hint="eastAsia" w:ascii="Times New Roman" w:hAnsi="Times New Roman" w:cs="Times New Roman"/>
                <w:bCs/>
                <w:color w:val="auto"/>
                <w:sz w:val="24"/>
                <w:szCs w:val="24"/>
                <w:highlight w:val="none"/>
                <w:lang w:eastAsia="zh-CN"/>
              </w:rPr>
              <w:t>-</w:t>
            </w:r>
            <w:r>
              <w:rPr>
                <w:rFonts w:hint="eastAsia" w:cs="Times New Roman"/>
                <w:bCs/>
                <w:color w:val="auto"/>
                <w:sz w:val="24"/>
                <w:szCs w:val="24"/>
                <w:highlight w:val="none"/>
                <w:lang w:val="en-US" w:eastAsia="zh-CN"/>
              </w:rPr>
              <w:t>8</w:t>
            </w:r>
            <w:r>
              <w:rPr>
                <w:rFonts w:hint="eastAsia" w:ascii="Times New Roman" w:hAnsi="Times New Roman" w:cs="Times New Roman"/>
                <w:bCs/>
                <w:color w:val="auto"/>
                <w:sz w:val="24"/>
                <w:szCs w:val="24"/>
                <w:highlight w:val="none"/>
                <w:lang w:eastAsia="zh-CN"/>
              </w:rPr>
              <w:t>5dB</w:t>
            </w:r>
            <w:r>
              <w:rPr>
                <w:rFonts w:hint="eastAsia"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eastAsia="zh-CN"/>
              </w:rPr>
              <w:t>A</w:t>
            </w:r>
            <w:r>
              <w:rPr>
                <w:rFonts w:hint="eastAsia"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eastAsia="zh-CN"/>
              </w:rPr>
              <w:t>之间。主要噪声源及治理措施见下表。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4-5</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eastAsia" w:eastAsia="宋体" w:cs="Times New Roman"/>
                <w:b/>
                <w:bCs/>
                <w:color w:val="auto"/>
                <w:sz w:val="24"/>
                <w:szCs w:val="24"/>
                <w:lang w:val="en-US" w:eastAsia="zh-CN"/>
              </w:rPr>
              <w:t>本项目</w:t>
            </w:r>
            <w:r>
              <w:rPr>
                <w:rFonts w:hint="eastAsia" w:ascii="Times New Roman" w:hAnsi="Times New Roman" w:eastAsia="宋体" w:cs="Times New Roman"/>
                <w:b/>
                <w:bCs/>
                <w:color w:val="auto"/>
                <w:sz w:val="24"/>
                <w:szCs w:val="24"/>
                <w:lang w:val="en-US" w:eastAsia="zh-CN"/>
              </w:rPr>
              <w:t>噪声源强调查清单（室内声源）</w:t>
            </w:r>
          </w:p>
          <w:tbl>
            <w:tblPr>
              <w:tblStyle w:val="23"/>
              <w:tblW w:w="4995" w:type="pct"/>
              <w:tblInd w:w="-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410"/>
              <w:gridCol w:w="413"/>
              <w:gridCol w:w="601"/>
              <w:gridCol w:w="744"/>
              <w:gridCol w:w="601"/>
              <w:gridCol w:w="651"/>
              <w:gridCol w:w="651"/>
              <w:gridCol w:w="336"/>
              <w:gridCol w:w="453"/>
              <w:gridCol w:w="744"/>
              <w:gridCol w:w="403"/>
              <w:gridCol w:w="745"/>
              <w:gridCol w:w="745"/>
              <w:gridCol w:w="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3"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247"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建筑物名称</w:t>
                  </w:r>
                </w:p>
              </w:tc>
              <w:tc>
                <w:tcPr>
                  <w:tcW w:w="248"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声源名称</w:t>
                  </w:r>
                </w:p>
              </w:tc>
              <w:tc>
                <w:tcPr>
                  <w:tcW w:w="361"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型号</w:t>
                  </w: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声源源强</w:t>
                  </w:r>
                </w:p>
              </w:tc>
              <w:tc>
                <w:tcPr>
                  <w:tcW w:w="361"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声源控制措施</w:t>
                  </w:r>
                </w:p>
              </w:tc>
              <w:tc>
                <w:tcPr>
                  <w:tcW w:w="984" w:type="pct"/>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空间相对位置/m</w:t>
                  </w:r>
                </w:p>
              </w:tc>
              <w:tc>
                <w:tcPr>
                  <w:tcW w:w="272"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距离内</w:t>
                  </w:r>
                  <w:r>
                    <w:rPr>
                      <w:rFonts w:hint="eastAsia" w:eastAsia="宋体" w:cs="Times New Roman"/>
                      <w:color w:val="auto"/>
                      <w:highlight w:val="none"/>
                      <w:lang w:val="en-US" w:eastAsia="zh-CN"/>
                    </w:rPr>
                    <w:t>边界</w:t>
                  </w:r>
                  <w:r>
                    <w:rPr>
                      <w:rFonts w:hint="eastAsia" w:ascii="Times New Roman" w:hAnsi="Times New Roman" w:eastAsia="宋体" w:cs="Times New Roman"/>
                      <w:color w:val="auto"/>
                      <w:highlight w:val="none"/>
                      <w:lang w:val="en-US" w:eastAsia="zh-CN"/>
                    </w:rPr>
                    <w:t>距离/m</w:t>
                  </w:r>
                </w:p>
              </w:tc>
              <w:tc>
                <w:tcPr>
                  <w:tcW w:w="447"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室内边界声级/dB（A）</w:t>
                  </w:r>
                </w:p>
              </w:tc>
              <w:tc>
                <w:tcPr>
                  <w:tcW w:w="242"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运行时段</w:t>
                  </w:r>
                </w:p>
              </w:tc>
              <w:tc>
                <w:tcPr>
                  <w:tcW w:w="448"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建筑物插入损失/dB（A）</w:t>
                  </w:r>
                </w:p>
              </w:tc>
              <w:tc>
                <w:tcPr>
                  <w:tcW w:w="695" w:type="pct"/>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建筑物外噪声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247"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248"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1"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（声压级/距声源距离）/（dB（A）/m）</w:t>
                  </w:r>
                </w:p>
              </w:tc>
              <w:tc>
                <w:tcPr>
                  <w:tcW w:w="361"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9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X</w:t>
                  </w:r>
                </w:p>
              </w:tc>
              <w:tc>
                <w:tcPr>
                  <w:tcW w:w="39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Y</w:t>
                  </w:r>
                </w:p>
              </w:tc>
              <w:tc>
                <w:tcPr>
                  <w:tcW w:w="20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Z</w:t>
                  </w:r>
                </w:p>
              </w:tc>
              <w:tc>
                <w:tcPr>
                  <w:tcW w:w="272"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447"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242"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448"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4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声压级/dB（A）</w:t>
                  </w:r>
                </w:p>
              </w:tc>
              <w:tc>
                <w:tcPr>
                  <w:tcW w:w="24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建筑物外距离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2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烘干车间</w:t>
                  </w:r>
                </w:p>
              </w:tc>
              <w:tc>
                <w:tcPr>
                  <w:tcW w:w="2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烘干滚筒</w:t>
                  </w:r>
                </w:p>
              </w:tc>
              <w:tc>
                <w:tcPr>
                  <w:tcW w:w="36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80</w:t>
                  </w:r>
                  <w:r>
                    <w:rPr>
                      <w:rFonts w:hint="eastAsia" w:eastAsia="宋体" w:cs="Times New Roman"/>
                      <w:color w:val="auto"/>
                      <w:highlight w:val="none"/>
                      <w:lang w:val="en-US" w:eastAsia="zh-CN"/>
                    </w:rPr>
                    <w:t>/1</w:t>
                  </w:r>
                </w:p>
              </w:tc>
              <w:tc>
                <w:tcPr>
                  <w:tcW w:w="361"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隔声罩，消音，</w:t>
                  </w:r>
                  <w:r>
                    <w:rPr>
                      <w:rFonts w:hint="eastAsia" w:ascii="Times New Roman" w:hAnsi="Times New Roman" w:eastAsia="宋体" w:cs="Times New Roman"/>
                      <w:color w:val="auto"/>
                      <w:highlight w:val="none"/>
                      <w:lang w:val="en-US" w:eastAsia="zh-CN"/>
                    </w:rPr>
                    <w:t>基础减振，厂房隔声</w:t>
                  </w:r>
                </w:p>
              </w:tc>
              <w:tc>
                <w:tcPr>
                  <w:tcW w:w="6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-199.07</w:t>
                  </w:r>
                </w:p>
              </w:tc>
              <w:tc>
                <w:tcPr>
                  <w:tcW w:w="6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118.16</w:t>
                  </w:r>
                </w:p>
              </w:tc>
              <w:tc>
                <w:tcPr>
                  <w:tcW w:w="20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w:t>
                  </w:r>
                </w:p>
              </w:tc>
              <w:tc>
                <w:tcPr>
                  <w:tcW w:w="27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13.51</w:t>
                  </w: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64.9</w:t>
                  </w:r>
                </w:p>
              </w:tc>
              <w:tc>
                <w:tcPr>
                  <w:tcW w:w="2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8h/d</w:t>
                  </w:r>
                </w:p>
              </w:tc>
              <w:tc>
                <w:tcPr>
                  <w:tcW w:w="4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26</w:t>
                  </w:r>
                </w:p>
              </w:tc>
              <w:tc>
                <w:tcPr>
                  <w:tcW w:w="4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38.9</w:t>
                  </w:r>
                </w:p>
              </w:tc>
              <w:tc>
                <w:tcPr>
                  <w:tcW w:w="24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2</w:t>
                  </w:r>
                </w:p>
              </w:tc>
              <w:tc>
                <w:tcPr>
                  <w:tcW w:w="2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烘干车间</w:t>
                  </w:r>
                </w:p>
              </w:tc>
              <w:tc>
                <w:tcPr>
                  <w:tcW w:w="2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风机</w:t>
                  </w:r>
                </w:p>
              </w:tc>
              <w:tc>
                <w:tcPr>
                  <w:tcW w:w="36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8</w:t>
                  </w:r>
                  <w:r>
                    <w:rPr>
                      <w:rFonts w:hint="eastAsia" w:eastAsia="宋体" w:cs="Times New Roman"/>
                      <w:color w:val="auto"/>
                      <w:highlight w:val="none"/>
                      <w:lang w:val="en-US" w:eastAsia="zh-CN"/>
                    </w:rPr>
                    <w:t>5/1</w:t>
                  </w:r>
                </w:p>
              </w:tc>
              <w:tc>
                <w:tcPr>
                  <w:tcW w:w="361"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6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-184</w:t>
                  </w:r>
                </w:p>
              </w:tc>
              <w:tc>
                <w:tcPr>
                  <w:tcW w:w="6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133.83</w:t>
                  </w:r>
                </w:p>
              </w:tc>
              <w:tc>
                <w:tcPr>
                  <w:tcW w:w="20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0.2</w:t>
                  </w:r>
                </w:p>
              </w:tc>
              <w:tc>
                <w:tcPr>
                  <w:tcW w:w="27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5.06</w:t>
                  </w: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70.3</w:t>
                  </w:r>
                </w:p>
              </w:tc>
              <w:tc>
                <w:tcPr>
                  <w:tcW w:w="2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8h/d</w:t>
                  </w:r>
                </w:p>
              </w:tc>
              <w:tc>
                <w:tcPr>
                  <w:tcW w:w="4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26</w:t>
                  </w:r>
                </w:p>
              </w:tc>
              <w:tc>
                <w:tcPr>
                  <w:tcW w:w="4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44.3</w:t>
                  </w:r>
                </w:p>
              </w:tc>
              <w:tc>
                <w:tcPr>
                  <w:tcW w:w="24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3</w:t>
                  </w:r>
                </w:p>
              </w:tc>
              <w:tc>
                <w:tcPr>
                  <w:tcW w:w="2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湿煤泥库</w:t>
                  </w:r>
                </w:p>
              </w:tc>
              <w:tc>
                <w:tcPr>
                  <w:tcW w:w="2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highlight w:val="none"/>
                      <w:lang w:val="en-US" w:eastAsia="zh-CN"/>
                    </w:rPr>
                    <w:t>装载机</w:t>
                  </w:r>
                </w:p>
              </w:tc>
              <w:tc>
                <w:tcPr>
                  <w:tcW w:w="36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highlight w:val="none"/>
                      <w:lang w:val="en-US" w:eastAsia="zh-CN"/>
                    </w:rPr>
                    <w:t>50</w:t>
                  </w:r>
                  <w:r>
                    <w:rPr>
                      <w:rFonts w:hint="eastAsia" w:ascii="Times New Roman" w:hAnsi="Times New Roman" w:eastAsia="宋体" w:cs="Times New Roman"/>
                      <w:color w:val="auto"/>
                      <w:highlight w:val="none"/>
                      <w:lang w:val="en-US" w:eastAsia="zh-CN"/>
                    </w:rPr>
                    <w:t>型</w:t>
                  </w: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8</w:t>
                  </w:r>
                  <w:r>
                    <w:rPr>
                      <w:rFonts w:hint="eastAsia" w:eastAsia="宋体" w:cs="Times New Roman"/>
                      <w:color w:val="auto"/>
                      <w:highlight w:val="none"/>
                      <w:lang w:val="en-US" w:eastAsia="zh-CN"/>
                    </w:rPr>
                    <w:t>5/1</w:t>
                  </w:r>
                </w:p>
              </w:tc>
              <w:tc>
                <w:tcPr>
                  <w:tcW w:w="361"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6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-222.58</w:t>
                  </w:r>
                </w:p>
              </w:tc>
              <w:tc>
                <w:tcPr>
                  <w:tcW w:w="6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136.24</w:t>
                  </w:r>
                </w:p>
              </w:tc>
              <w:tc>
                <w:tcPr>
                  <w:tcW w:w="336"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w:t>
                  </w:r>
                </w:p>
              </w:tc>
              <w:tc>
                <w:tcPr>
                  <w:tcW w:w="27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3.75</w:t>
                  </w: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74.0</w:t>
                  </w:r>
                </w:p>
              </w:tc>
              <w:tc>
                <w:tcPr>
                  <w:tcW w:w="2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8h/d</w:t>
                  </w:r>
                </w:p>
              </w:tc>
              <w:tc>
                <w:tcPr>
                  <w:tcW w:w="4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26</w:t>
                  </w:r>
                </w:p>
              </w:tc>
              <w:tc>
                <w:tcPr>
                  <w:tcW w:w="4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48.0</w:t>
                  </w:r>
                </w:p>
              </w:tc>
              <w:tc>
                <w:tcPr>
                  <w:tcW w:w="24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4</w:t>
                  </w:r>
                </w:p>
              </w:tc>
              <w:tc>
                <w:tcPr>
                  <w:tcW w:w="2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干煤泥库</w:t>
                  </w:r>
                </w:p>
              </w:tc>
              <w:tc>
                <w:tcPr>
                  <w:tcW w:w="2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装载机</w:t>
                  </w:r>
                </w:p>
              </w:tc>
              <w:tc>
                <w:tcPr>
                  <w:tcW w:w="36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50</w:t>
                  </w:r>
                  <w:r>
                    <w:rPr>
                      <w:rFonts w:hint="eastAsia" w:ascii="Times New Roman" w:hAnsi="Times New Roman" w:eastAsia="宋体" w:cs="Times New Roman"/>
                      <w:color w:val="auto"/>
                      <w:highlight w:val="none"/>
                      <w:lang w:val="en-US" w:eastAsia="zh-CN"/>
                    </w:rPr>
                    <w:t>型</w:t>
                  </w: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8</w:t>
                  </w:r>
                  <w:r>
                    <w:rPr>
                      <w:rFonts w:hint="eastAsia" w:eastAsia="宋体" w:cs="Times New Roman"/>
                      <w:color w:val="auto"/>
                      <w:highlight w:val="none"/>
                      <w:lang w:val="en-US" w:eastAsia="zh-CN"/>
                    </w:rPr>
                    <w:t>5/1</w:t>
                  </w:r>
                </w:p>
              </w:tc>
              <w:tc>
                <w:tcPr>
                  <w:tcW w:w="361"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6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-71.89</w:t>
                  </w:r>
                </w:p>
              </w:tc>
              <w:tc>
                <w:tcPr>
                  <w:tcW w:w="6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116.35</w:t>
                  </w:r>
                </w:p>
              </w:tc>
              <w:tc>
                <w:tcPr>
                  <w:tcW w:w="336"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w:t>
                  </w:r>
                </w:p>
              </w:tc>
              <w:tc>
                <w:tcPr>
                  <w:tcW w:w="27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24.76</w:t>
                  </w:r>
                </w:p>
              </w:tc>
              <w:tc>
                <w:tcPr>
                  <w:tcW w:w="44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68.9</w:t>
                  </w:r>
                </w:p>
              </w:tc>
              <w:tc>
                <w:tcPr>
                  <w:tcW w:w="2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8h/d</w:t>
                  </w:r>
                </w:p>
              </w:tc>
              <w:tc>
                <w:tcPr>
                  <w:tcW w:w="4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26</w:t>
                  </w:r>
                </w:p>
              </w:tc>
              <w:tc>
                <w:tcPr>
                  <w:tcW w:w="44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42.9</w:t>
                  </w:r>
                </w:p>
              </w:tc>
              <w:tc>
                <w:tcPr>
                  <w:tcW w:w="24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textAlignment w:val="auto"/>
              <w:rPr>
                <w:rFonts w:hint="eastAsia"/>
                <w:highlight w:val="none"/>
                <w:lang w:val="en-US" w:eastAsia="zh-CN"/>
              </w:rPr>
            </w:pPr>
            <w:r>
              <w:rPr>
                <w:rFonts w:hint="eastAsia"/>
                <w:highlight w:val="none"/>
                <w:lang w:val="en-US" w:eastAsia="zh-CN"/>
              </w:rPr>
              <w:t>注：以山西中源拓森煤炭销售有限公司厂界东南角为原点。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但是由于本项目位于山西中源拓森煤炭销售有限公司厂区内，两者无明显厂界界线，因此，本项目以山西中源拓森煤炭销售有限公司厂界为厂界，以本项目与山西中源拓森煤炭销售有限公司储煤场项目的设备同时考虑进行噪声预测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jc w:val="center"/>
              <w:textAlignment w:val="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4-6</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中原拓森储煤场项目</w:t>
            </w:r>
            <w:r>
              <w:rPr>
                <w:rFonts w:hint="eastAsia" w:ascii="Times New Roman" w:hAnsi="Times New Roman" w:eastAsia="宋体" w:cs="Times New Roman"/>
                <w:b/>
                <w:bCs/>
                <w:color w:val="auto"/>
                <w:sz w:val="24"/>
                <w:szCs w:val="24"/>
                <w:lang w:val="en-US" w:eastAsia="zh-CN"/>
              </w:rPr>
              <w:t>噪声源强调查清单（室内声源）</w:t>
            </w:r>
          </w:p>
          <w:tbl>
            <w:tblPr>
              <w:tblStyle w:val="23"/>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3"/>
              <w:gridCol w:w="404"/>
              <w:gridCol w:w="602"/>
              <w:gridCol w:w="1193"/>
              <w:gridCol w:w="814"/>
              <w:gridCol w:w="507"/>
              <w:gridCol w:w="624"/>
              <w:gridCol w:w="519"/>
              <w:gridCol w:w="271"/>
              <w:gridCol w:w="527"/>
              <w:gridCol w:w="602"/>
              <w:gridCol w:w="378"/>
              <w:gridCol w:w="642"/>
              <w:gridCol w:w="549"/>
              <w:gridCol w:w="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243"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建筑物名称</w:t>
                  </w:r>
                </w:p>
              </w:tc>
              <w:tc>
                <w:tcPr>
                  <w:tcW w:w="362"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声源名称</w:t>
                  </w:r>
                </w:p>
              </w:tc>
              <w:tc>
                <w:tcPr>
                  <w:tcW w:w="717"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型号</w:t>
                  </w: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声源源强</w:t>
                  </w:r>
                </w:p>
              </w:tc>
              <w:tc>
                <w:tcPr>
                  <w:tcW w:w="305"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声源控制措施</w:t>
                  </w:r>
                </w:p>
              </w:tc>
              <w:tc>
                <w:tcPr>
                  <w:tcW w:w="850" w:type="pct"/>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空间相对位置/m</w:t>
                  </w:r>
                </w:p>
              </w:tc>
              <w:tc>
                <w:tcPr>
                  <w:tcW w:w="317"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距离内边界距离/m</w:t>
                  </w:r>
                </w:p>
              </w:tc>
              <w:tc>
                <w:tcPr>
                  <w:tcW w:w="362"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室内边界声级/dB（A）</w:t>
                  </w:r>
                </w:p>
              </w:tc>
              <w:tc>
                <w:tcPr>
                  <w:tcW w:w="227"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运行时段</w:t>
                  </w:r>
                </w:p>
              </w:tc>
              <w:tc>
                <w:tcPr>
                  <w:tcW w:w="386"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建筑物插入损失/dB（A）</w:t>
                  </w:r>
                </w:p>
              </w:tc>
              <w:tc>
                <w:tcPr>
                  <w:tcW w:w="580" w:type="pct"/>
                  <w:gridSpan w:val="2"/>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建筑物外噪声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2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2"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717"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（声压级/距声源距离）/（dB（A）/m）</w:t>
                  </w:r>
                </w:p>
              </w:tc>
              <w:tc>
                <w:tcPr>
                  <w:tcW w:w="305"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7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X</w:t>
                  </w:r>
                </w:p>
              </w:tc>
              <w:tc>
                <w:tcPr>
                  <w:tcW w:w="31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Y</w:t>
                  </w:r>
                </w:p>
              </w:tc>
              <w:tc>
                <w:tcPr>
                  <w:tcW w:w="1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Z</w:t>
                  </w:r>
                </w:p>
              </w:tc>
              <w:tc>
                <w:tcPr>
                  <w:tcW w:w="317"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2"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227"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86"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3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声压级/dB（A）</w:t>
                  </w:r>
                </w:p>
              </w:tc>
              <w:tc>
                <w:tcPr>
                  <w:tcW w:w="24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建筑物外距离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243"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煤库</w:t>
                  </w: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装载机1</w:t>
                  </w:r>
                </w:p>
              </w:tc>
              <w:tc>
                <w:tcPr>
                  <w:tcW w:w="7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50型</w:t>
                  </w: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85/1</w:t>
                  </w:r>
                </w:p>
              </w:tc>
              <w:tc>
                <w:tcPr>
                  <w:tcW w:w="305"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基础减振，厂房隔声</w:t>
                  </w:r>
                </w:p>
              </w:tc>
              <w:tc>
                <w:tcPr>
                  <w:tcW w:w="37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-300.25</w:t>
                  </w:r>
                </w:p>
              </w:tc>
              <w:tc>
                <w:tcPr>
                  <w:tcW w:w="31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-20.43</w:t>
                  </w:r>
                </w:p>
              </w:tc>
              <w:tc>
                <w:tcPr>
                  <w:tcW w:w="1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1</w:t>
                  </w:r>
                </w:p>
              </w:tc>
              <w:tc>
                <w:tcPr>
                  <w:tcW w:w="3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13.92</w:t>
                  </w: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62.4</w:t>
                  </w:r>
                </w:p>
              </w:tc>
              <w:tc>
                <w:tcPr>
                  <w:tcW w:w="22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38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6</w:t>
                  </w:r>
                </w:p>
              </w:tc>
              <w:tc>
                <w:tcPr>
                  <w:tcW w:w="33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36.4</w:t>
                  </w:r>
                </w:p>
              </w:tc>
              <w:tc>
                <w:tcPr>
                  <w:tcW w:w="24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2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装载机2</w:t>
                  </w:r>
                </w:p>
              </w:tc>
              <w:tc>
                <w:tcPr>
                  <w:tcW w:w="7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50型</w:t>
                  </w: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85/1</w:t>
                  </w:r>
                </w:p>
              </w:tc>
              <w:tc>
                <w:tcPr>
                  <w:tcW w:w="305"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7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-228.48</w:t>
                  </w:r>
                </w:p>
              </w:tc>
              <w:tc>
                <w:tcPr>
                  <w:tcW w:w="31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-51.9</w:t>
                  </w:r>
                </w:p>
              </w:tc>
              <w:tc>
                <w:tcPr>
                  <w:tcW w:w="1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1</w:t>
                  </w:r>
                </w:p>
              </w:tc>
              <w:tc>
                <w:tcPr>
                  <w:tcW w:w="3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11.11</w:t>
                  </w: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62.5</w:t>
                  </w:r>
                </w:p>
              </w:tc>
              <w:tc>
                <w:tcPr>
                  <w:tcW w:w="22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38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6</w:t>
                  </w:r>
                </w:p>
              </w:tc>
              <w:tc>
                <w:tcPr>
                  <w:tcW w:w="33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36.5</w:t>
                  </w:r>
                </w:p>
              </w:tc>
              <w:tc>
                <w:tcPr>
                  <w:tcW w:w="24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w:t>
                  </w:r>
                </w:p>
              </w:tc>
              <w:tc>
                <w:tcPr>
                  <w:tcW w:w="2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装载机</w:t>
                  </w:r>
                  <w:r>
                    <w:rPr>
                      <w:rFonts w:hint="eastAsia" w:cs="Times New Roman"/>
                      <w:color w:val="auto"/>
                      <w:highlight w:val="none"/>
                      <w:lang w:val="en-US" w:eastAsia="zh-CN"/>
                    </w:rPr>
                    <w:t>3</w:t>
                  </w:r>
                </w:p>
              </w:tc>
              <w:tc>
                <w:tcPr>
                  <w:tcW w:w="7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50型</w:t>
                  </w: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85/1</w:t>
                  </w:r>
                </w:p>
              </w:tc>
              <w:tc>
                <w:tcPr>
                  <w:tcW w:w="305"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red"/>
                      <w:lang w:val="en-US" w:eastAsia="zh-CN"/>
                    </w:rPr>
                  </w:pPr>
                </w:p>
              </w:tc>
              <w:tc>
                <w:tcPr>
                  <w:tcW w:w="37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-202.24</w:t>
                  </w:r>
                </w:p>
              </w:tc>
              <w:tc>
                <w:tcPr>
                  <w:tcW w:w="31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64.71</w:t>
                  </w:r>
                </w:p>
              </w:tc>
              <w:tc>
                <w:tcPr>
                  <w:tcW w:w="1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1</w:t>
                  </w:r>
                </w:p>
              </w:tc>
              <w:tc>
                <w:tcPr>
                  <w:tcW w:w="3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16.80</w:t>
                  </w: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62.3</w:t>
                  </w:r>
                </w:p>
              </w:tc>
              <w:tc>
                <w:tcPr>
                  <w:tcW w:w="22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昼间</w:t>
                  </w:r>
                </w:p>
              </w:tc>
              <w:tc>
                <w:tcPr>
                  <w:tcW w:w="38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2</w:t>
                  </w:r>
                  <w:r>
                    <w:rPr>
                      <w:rFonts w:hint="eastAsia" w:cs="Times New Roman"/>
                      <w:color w:val="auto"/>
                      <w:highlight w:val="none"/>
                      <w:lang w:val="en-US" w:eastAsia="zh-CN"/>
                    </w:rPr>
                    <w:t>6</w:t>
                  </w:r>
                </w:p>
              </w:tc>
              <w:tc>
                <w:tcPr>
                  <w:tcW w:w="33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36.3</w:t>
                  </w:r>
                </w:p>
              </w:tc>
              <w:tc>
                <w:tcPr>
                  <w:tcW w:w="24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4</w:t>
                  </w:r>
                </w:p>
              </w:tc>
              <w:tc>
                <w:tcPr>
                  <w:tcW w:w="2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振动筛</w:t>
                  </w:r>
                </w:p>
              </w:tc>
              <w:tc>
                <w:tcPr>
                  <w:tcW w:w="7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ZSG1443S</w:t>
                  </w: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85/1</w:t>
                  </w:r>
                </w:p>
              </w:tc>
              <w:tc>
                <w:tcPr>
                  <w:tcW w:w="305"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7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-246.6</w:t>
                  </w:r>
                </w:p>
              </w:tc>
              <w:tc>
                <w:tcPr>
                  <w:tcW w:w="31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43.71</w:t>
                  </w:r>
                </w:p>
              </w:tc>
              <w:tc>
                <w:tcPr>
                  <w:tcW w:w="1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1</w:t>
                  </w:r>
                </w:p>
              </w:tc>
              <w:tc>
                <w:tcPr>
                  <w:tcW w:w="3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9.00</w:t>
                  </w: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62.8</w:t>
                  </w:r>
                </w:p>
              </w:tc>
              <w:tc>
                <w:tcPr>
                  <w:tcW w:w="22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38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6</w:t>
                  </w:r>
                </w:p>
              </w:tc>
              <w:tc>
                <w:tcPr>
                  <w:tcW w:w="33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36.8</w:t>
                  </w:r>
                </w:p>
              </w:tc>
              <w:tc>
                <w:tcPr>
                  <w:tcW w:w="24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c>
                <w:tcPr>
                  <w:tcW w:w="2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破碎机</w:t>
                  </w:r>
                </w:p>
              </w:tc>
              <w:tc>
                <w:tcPr>
                  <w:tcW w:w="7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PC1200×1000</w:t>
                  </w: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80/1</w:t>
                  </w:r>
                </w:p>
              </w:tc>
              <w:tc>
                <w:tcPr>
                  <w:tcW w:w="305"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7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-240.16</w:t>
                  </w:r>
                </w:p>
              </w:tc>
              <w:tc>
                <w:tcPr>
                  <w:tcW w:w="31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29.64</w:t>
                  </w:r>
                </w:p>
              </w:tc>
              <w:tc>
                <w:tcPr>
                  <w:tcW w:w="1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1</w:t>
                  </w:r>
                </w:p>
              </w:tc>
              <w:tc>
                <w:tcPr>
                  <w:tcW w:w="3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8.36</w:t>
                  </w: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57.9</w:t>
                  </w:r>
                </w:p>
              </w:tc>
              <w:tc>
                <w:tcPr>
                  <w:tcW w:w="22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38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6</w:t>
                  </w:r>
                </w:p>
              </w:tc>
              <w:tc>
                <w:tcPr>
                  <w:tcW w:w="33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31.9</w:t>
                  </w:r>
                </w:p>
              </w:tc>
              <w:tc>
                <w:tcPr>
                  <w:tcW w:w="24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配煤机</w:t>
                  </w:r>
                </w:p>
              </w:tc>
              <w:tc>
                <w:tcPr>
                  <w:tcW w:w="7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两</w:t>
                  </w:r>
                  <w:r>
                    <w:rPr>
                      <w:rFonts w:hint="default" w:ascii="Times New Roman" w:hAnsi="Times New Roman" w:eastAsia="宋体" w:cs="Times New Roman"/>
                      <w:color w:val="auto"/>
                      <w:highlight w:val="none"/>
                      <w:lang w:val="en-US" w:eastAsia="zh-CN"/>
                    </w:rPr>
                    <w:t>仓配煤机</w:t>
                  </w: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85/1</w:t>
                  </w:r>
                </w:p>
              </w:tc>
              <w:tc>
                <w:tcPr>
                  <w:tcW w:w="305"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7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-210.59</w:t>
                  </w:r>
                </w:p>
              </w:tc>
              <w:tc>
                <w:tcPr>
                  <w:tcW w:w="31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36.32</w:t>
                  </w:r>
                </w:p>
              </w:tc>
              <w:tc>
                <w:tcPr>
                  <w:tcW w:w="1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1</w:t>
                  </w:r>
                </w:p>
              </w:tc>
              <w:tc>
                <w:tcPr>
                  <w:tcW w:w="3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21.54</w:t>
                  </w: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62.2</w:t>
                  </w:r>
                </w:p>
              </w:tc>
              <w:tc>
                <w:tcPr>
                  <w:tcW w:w="22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38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6</w:t>
                  </w:r>
                </w:p>
              </w:tc>
              <w:tc>
                <w:tcPr>
                  <w:tcW w:w="33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36.2</w:t>
                  </w:r>
                </w:p>
              </w:tc>
              <w:tc>
                <w:tcPr>
                  <w:tcW w:w="24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6</w:t>
                  </w:r>
                </w:p>
              </w:tc>
              <w:tc>
                <w:tcPr>
                  <w:tcW w:w="2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风机1</w:t>
                  </w:r>
                </w:p>
              </w:tc>
              <w:tc>
                <w:tcPr>
                  <w:tcW w:w="7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80/1</w:t>
                  </w:r>
                </w:p>
              </w:tc>
              <w:tc>
                <w:tcPr>
                  <w:tcW w:w="305"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7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-247.55</w:t>
                  </w:r>
                </w:p>
              </w:tc>
              <w:tc>
                <w:tcPr>
                  <w:tcW w:w="31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49.67</w:t>
                  </w:r>
                </w:p>
              </w:tc>
              <w:tc>
                <w:tcPr>
                  <w:tcW w:w="1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0.2</w:t>
                  </w:r>
                </w:p>
              </w:tc>
              <w:tc>
                <w:tcPr>
                  <w:tcW w:w="3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7.63</w:t>
                  </w: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58.1</w:t>
                  </w:r>
                </w:p>
              </w:tc>
              <w:tc>
                <w:tcPr>
                  <w:tcW w:w="22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38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6</w:t>
                  </w:r>
                </w:p>
              </w:tc>
              <w:tc>
                <w:tcPr>
                  <w:tcW w:w="33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32.1</w:t>
                  </w:r>
                </w:p>
              </w:tc>
              <w:tc>
                <w:tcPr>
                  <w:tcW w:w="24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w:t>
                  </w:r>
                </w:p>
              </w:tc>
              <w:tc>
                <w:tcPr>
                  <w:tcW w:w="2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风机2</w:t>
                  </w:r>
                </w:p>
              </w:tc>
              <w:tc>
                <w:tcPr>
                  <w:tcW w:w="7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8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80/1</w:t>
                  </w:r>
                </w:p>
              </w:tc>
              <w:tc>
                <w:tcPr>
                  <w:tcW w:w="305"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p>
              </w:tc>
              <w:tc>
                <w:tcPr>
                  <w:tcW w:w="37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-205.82</w:t>
                  </w:r>
                </w:p>
              </w:tc>
              <w:tc>
                <w:tcPr>
                  <w:tcW w:w="31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45.86</w:t>
                  </w:r>
                </w:p>
              </w:tc>
              <w:tc>
                <w:tcPr>
                  <w:tcW w:w="1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0.2</w:t>
                  </w:r>
                </w:p>
              </w:tc>
              <w:tc>
                <w:tcPr>
                  <w:tcW w:w="31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7.34</w:t>
                  </w:r>
                </w:p>
              </w:tc>
              <w:tc>
                <w:tcPr>
                  <w:tcW w:w="3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58.1</w:t>
                  </w:r>
                </w:p>
              </w:tc>
              <w:tc>
                <w:tcPr>
                  <w:tcW w:w="227"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38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6</w:t>
                  </w:r>
                </w:p>
              </w:tc>
              <w:tc>
                <w:tcPr>
                  <w:tcW w:w="33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32.1</w:t>
                  </w:r>
                </w:p>
              </w:tc>
              <w:tc>
                <w:tcPr>
                  <w:tcW w:w="249"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0" w:firstLineChars="200"/>
              <w:textAlignment w:val="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color w:val="auto"/>
                <w:highlight w:val="none"/>
                <w:lang w:val="en-US" w:eastAsia="zh-CN"/>
              </w:rPr>
              <w:t>注：以厂界</w:t>
            </w:r>
            <w:r>
              <w:rPr>
                <w:rFonts w:hint="eastAsia" w:cs="Times New Roman"/>
                <w:color w:val="auto"/>
                <w:highlight w:val="none"/>
                <w:lang w:val="en-US" w:eastAsia="zh-CN"/>
              </w:rPr>
              <w:t>东</w:t>
            </w:r>
            <w:r>
              <w:rPr>
                <w:rFonts w:hint="default" w:ascii="Times New Roman" w:hAnsi="Times New Roman" w:cs="Times New Roman"/>
                <w:color w:val="auto"/>
                <w:highlight w:val="none"/>
                <w:lang w:val="en-US" w:eastAsia="zh-CN"/>
              </w:rPr>
              <w:t>南角为原点，东西向为X轴，南北向为Y轴。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3.2</w:t>
            </w:r>
            <w:r>
              <w:rPr>
                <w:rFonts w:hint="default" w:ascii="Times New Roman" w:hAnsi="Times New Roman" w:eastAsia="宋体" w:cs="Times New Roman"/>
                <w:b/>
                <w:bCs/>
                <w:color w:val="auto"/>
                <w:sz w:val="24"/>
                <w:szCs w:val="24"/>
                <w:highlight w:val="none"/>
              </w:rPr>
              <w:t>噪声环境影响分析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为预测分析其对</w:t>
            </w:r>
            <w:r>
              <w:rPr>
                <w:rFonts w:hint="default"/>
                <w:color w:val="auto"/>
                <w:sz w:val="24"/>
                <w:szCs w:val="24"/>
                <w:highlight w:val="none"/>
                <w:lang w:eastAsia="zh-CN"/>
              </w:rPr>
              <w:t>厂</w:t>
            </w:r>
            <w:r>
              <w:rPr>
                <w:rFonts w:hint="default"/>
                <w:color w:val="auto"/>
                <w:sz w:val="24"/>
                <w:szCs w:val="24"/>
                <w:highlight w:val="none"/>
              </w:rPr>
              <w:t>界的影响，本次评价将室内声源等效成室外声源，然后按室外声源方法计算预测点处的等效连续A声级。噪声预测采用HJ2.4-2021附录A.2基本公式及附录B工业噪声预测计算模型。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lang w:eastAsia="zh-CN"/>
              </w:rPr>
              <w:t>（</w:t>
            </w:r>
            <w:r>
              <w:rPr>
                <w:rFonts w:hint="default"/>
                <w:color w:val="auto"/>
                <w:sz w:val="24"/>
                <w:szCs w:val="24"/>
                <w:highlight w:val="none"/>
                <w:lang w:val="en-US" w:eastAsia="zh-CN"/>
              </w:rPr>
              <w:t>1</w:t>
            </w:r>
            <w:r>
              <w:rPr>
                <w:rFonts w:hint="default"/>
                <w:color w:val="auto"/>
                <w:sz w:val="24"/>
                <w:szCs w:val="24"/>
                <w:highlight w:val="none"/>
                <w:lang w:eastAsia="zh-CN"/>
              </w:rPr>
              <w:t>）</w:t>
            </w:r>
            <w:r>
              <w:rPr>
                <w:rFonts w:hint="default"/>
                <w:color w:val="auto"/>
                <w:sz w:val="24"/>
                <w:szCs w:val="24"/>
                <w:highlight w:val="none"/>
              </w:rPr>
              <w:t>室内声源等效室外声源声功率级计算方法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如</w:t>
            </w:r>
            <w:r>
              <w:rPr>
                <w:rFonts w:hint="default"/>
                <w:color w:val="auto"/>
                <w:sz w:val="24"/>
                <w:szCs w:val="24"/>
                <w:highlight w:val="none"/>
                <w:lang w:eastAsia="zh-CN"/>
              </w:rPr>
              <w:t>下</w:t>
            </w:r>
            <w:r>
              <w:rPr>
                <w:rFonts w:hint="default"/>
                <w:color w:val="auto"/>
                <w:sz w:val="24"/>
                <w:szCs w:val="24"/>
                <w:highlight w:val="none"/>
              </w:rPr>
              <w:t>图所示，声源位于室内，室内声源可采用等效室外声源声功率级法进行计算。设靠近开口处</w:t>
            </w:r>
            <w:r>
              <w:rPr>
                <w:rFonts w:hint="default"/>
                <w:color w:val="auto"/>
                <w:sz w:val="24"/>
                <w:szCs w:val="24"/>
                <w:highlight w:val="none"/>
                <w:lang w:eastAsia="zh-CN"/>
              </w:rPr>
              <w:t>（</w:t>
            </w:r>
            <w:r>
              <w:rPr>
                <w:rFonts w:hint="default"/>
                <w:color w:val="auto"/>
                <w:sz w:val="24"/>
                <w:szCs w:val="24"/>
                <w:highlight w:val="none"/>
              </w:rPr>
              <w:t>或窗户</w:t>
            </w:r>
            <w:r>
              <w:rPr>
                <w:rFonts w:hint="default"/>
                <w:color w:val="auto"/>
                <w:sz w:val="24"/>
                <w:szCs w:val="24"/>
                <w:highlight w:val="none"/>
                <w:lang w:eastAsia="zh-CN"/>
              </w:rPr>
              <w:t>）</w:t>
            </w:r>
            <w:r>
              <w:rPr>
                <w:rFonts w:hint="default"/>
                <w:color w:val="auto"/>
                <w:sz w:val="24"/>
                <w:szCs w:val="24"/>
                <w:highlight w:val="none"/>
              </w:rPr>
              <w:t>室内、室外某倍频带的声压级或A声级分别为L</w:t>
            </w:r>
            <w:r>
              <w:rPr>
                <w:rFonts w:hint="default"/>
                <w:color w:val="auto"/>
                <w:sz w:val="24"/>
                <w:szCs w:val="24"/>
                <w:highlight w:val="none"/>
                <w:vertAlign w:val="subscript"/>
              </w:rPr>
              <w:t>p1</w:t>
            </w:r>
            <w:r>
              <w:rPr>
                <w:rFonts w:hint="default"/>
                <w:color w:val="auto"/>
                <w:sz w:val="24"/>
                <w:szCs w:val="24"/>
                <w:highlight w:val="none"/>
              </w:rPr>
              <w:t>和L</w:t>
            </w:r>
            <w:r>
              <w:rPr>
                <w:rFonts w:hint="default"/>
                <w:color w:val="auto"/>
                <w:sz w:val="24"/>
                <w:szCs w:val="24"/>
                <w:highlight w:val="none"/>
                <w:vertAlign w:val="subscript"/>
              </w:rPr>
              <w:t>p2</w:t>
            </w:r>
            <w:r>
              <w:rPr>
                <w:rFonts w:hint="default"/>
                <w:color w:val="auto"/>
                <w:sz w:val="24"/>
                <w:szCs w:val="24"/>
                <w:highlight w:val="none"/>
              </w:rPr>
              <w:t>。若声源所在室内声场为近似扩散声场，则室外的倍频带声压级可按下式近似求出：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eastAsia="zh-CN"/>
              </w:rPr>
            </w:pPr>
            <w:r>
              <w:rPr>
                <w:rFonts w:hint="default"/>
                <w:color w:val="auto"/>
                <w:sz w:val="24"/>
                <w:szCs w:val="24"/>
                <w:highlight w:val="none"/>
              </w:rPr>
              <w:t>L</w:t>
            </w:r>
            <w:r>
              <w:rPr>
                <w:rFonts w:hint="default"/>
                <w:color w:val="auto"/>
                <w:sz w:val="24"/>
                <w:szCs w:val="24"/>
                <w:highlight w:val="none"/>
                <w:vertAlign w:val="subscript"/>
              </w:rPr>
              <w:t>p2</w:t>
            </w:r>
            <w:r>
              <w:rPr>
                <w:rFonts w:hint="default"/>
                <w:color w:val="auto"/>
                <w:sz w:val="24"/>
                <w:szCs w:val="24"/>
                <w:highlight w:val="none"/>
              </w:rPr>
              <w:t>=L</w:t>
            </w:r>
            <w:r>
              <w:rPr>
                <w:rFonts w:hint="default"/>
                <w:color w:val="auto"/>
                <w:sz w:val="24"/>
                <w:szCs w:val="24"/>
                <w:highlight w:val="none"/>
                <w:vertAlign w:val="subscript"/>
              </w:rPr>
              <w:t>p1</w:t>
            </w:r>
            <w:r>
              <w:rPr>
                <w:rFonts w:hint="default"/>
                <w:color w:val="auto"/>
                <w:sz w:val="24"/>
                <w:szCs w:val="24"/>
                <w:highlight w:val="none"/>
                <w:lang w:val="en-US" w:eastAsia="zh-CN"/>
              </w:rPr>
              <w:t>-</w:t>
            </w:r>
            <w:r>
              <w:rPr>
                <w:rFonts w:hint="default"/>
                <w:color w:val="auto"/>
                <w:sz w:val="24"/>
                <w:szCs w:val="24"/>
                <w:highlight w:val="none"/>
                <w:lang w:eastAsia="zh-CN"/>
              </w:rPr>
              <w:t>（</w:t>
            </w:r>
            <w:r>
              <w:rPr>
                <w:rFonts w:hint="default"/>
                <w:color w:val="auto"/>
                <w:sz w:val="24"/>
                <w:szCs w:val="24"/>
                <w:highlight w:val="none"/>
              </w:rPr>
              <w:t>T</w:t>
            </w:r>
            <w:r>
              <w:rPr>
                <w:rFonts w:hint="default"/>
                <w:color w:val="auto"/>
                <w:sz w:val="24"/>
                <w:szCs w:val="24"/>
                <w:highlight w:val="none"/>
                <w:vertAlign w:val="subscript"/>
              </w:rPr>
              <w:t>L</w:t>
            </w:r>
            <w:r>
              <w:rPr>
                <w:rFonts w:hint="default"/>
                <w:color w:val="auto"/>
                <w:sz w:val="24"/>
                <w:szCs w:val="24"/>
                <w:highlight w:val="none"/>
              </w:rPr>
              <w:t>+6</w:t>
            </w:r>
            <w:r>
              <w:rPr>
                <w:rFonts w:hint="default"/>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式中：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p1</w:t>
            </w:r>
            <w:r>
              <w:rPr>
                <w:rFonts w:hint="default"/>
                <w:color w:val="auto"/>
                <w:sz w:val="24"/>
                <w:szCs w:val="24"/>
                <w:highlight w:val="none"/>
              </w:rPr>
              <w:t>—靠近开口处</w:t>
            </w:r>
            <w:r>
              <w:rPr>
                <w:rFonts w:hint="default"/>
                <w:color w:val="auto"/>
                <w:sz w:val="24"/>
                <w:szCs w:val="24"/>
                <w:highlight w:val="none"/>
                <w:lang w:eastAsia="zh-CN"/>
              </w:rPr>
              <w:t>（</w:t>
            </w:r>
            <w:r>
              <w:rPr>
                <w:rFonts w:hint="default"/>
                <w:color w:val="auto"/>
                <w:sz w:val="24"/>
                <w:szCs w:val="24"/>
                <w:highlight w:val="none"/>
              </w:rPr>
              <w:t>或窗户</w:t>
            </w:r>
            <w:r>
              <w:rPr>
                <w:rFonts w:hint="default"/>
                <w:color w:val="auto"/>
                <w:sz w:val="24"/>
                <w:szCs w:val="24"/>
                <w:highlight w:val="none"/>
                <w:lang w:eastAsia="zh-CN"/>
              </w:rPr>
              <w:t>）</w:t>
            </w:r>
            <w:r>
              <w:rPr>
                <w:rFonts w:hint="default"/>
                <w:color w:val="auto"/>
                <w:sz w:val="24"/>
                <w:szCs w:val="24"/>
                <w:highlight w:val="none"/>
              </w:rPr>
              <w:t>室内某倍频带的声压级或A声级，dB；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p2</w:t>
            </w:r>
            <w:r>
              <w:rPr>
                <w:rFonts w:hint="default"/>
                <w:color w:val="auto"/>
                <w:sz w:val="24"/>
                <w:szCs w:val="24"/>
                <w:highlight w:val="none"/>
              </w:rPr>
              <w:t>—靠近开口处</w:t>
            </w:r>
            <w:r>
              <w:rPr>
                <w:rFonts w:hint="default"/>
                <w:color w:val="auto"/>
                <w:sz w:val="24"/>
                <w:szCs w:val="24"/>
                <w:highlight w:val="none"/>
                <w:lang w:eastAsia="zh-CN"/>
              </w:rPr>
              <w:t>（</w:t>
            </w:r>
            <w:r>
              <w:rPr>
                <w:rFonts w:hint="default"/>
                <w:color w:val="auto"/>
                <w:sz w:val="24"/>
                <w:szCs w:val="24"/>
                <w:highlight w:val="none"/>
              </w:rPr>
              <w:t>或窗户</w:t>
            </w:r>
            <w:r>
              <w:rPr>
                <w:rFonts w:hint="default"/>
                <w:color w:val="auto"/>
                <w:sz w:val="24"/>
                <w:szCs w:val="24"/>
                <w:highlight w:val="none"/>
                <w:lang w:eastAsia="zh-CN"/>
              </w:rPr>
              <w:t>）</w:t>
            </w:r>
            <w:r>
              <w:rPr>
                <w:rFonts w:hint="default"/>
                <w:color w:val="auto"/>
                <w:sz w:val="24"/>
                <w:szCs w:val="24"/>
                <w:highlight w:val="none"/>
              </w:rPr>
              <w:t>室外某倍频带的声压级或A声级，dB；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T</w:t>
            </w:r>
            <w:r>
              <w:rPr>
                <w:rFonts w:hint="default"/>
                <w:color w:val="auto"/>
                <w:sz w:val="24"/>
                <w:szCs w:val="24"/>
                <w:highlight w:val="none"/>
                <w:vertAlign w:val="subscript"/>
              </w:rPr>
              <w:t>L</w:t>
            </w:r>
            <w:r>
              <w:rPr>
                <w:rFonts w:hint="default"/>
                <w:color w:val="auto"/>
                <w:sz w:val="24"/>
                <w:szCs w:val="24"/>
                <w:highlight w:val="none"/>
              </w:rPr>
              <w:t>—隔墙</w:t>
            </w:r>
            <w:r>
              <w:rPr>
                <w:rFonts w:hint="default"/>
                <w:color w:val="auto"/>
                <w:sz w:val="24"/>
                <w:szCs w:val="24"/>
                <w:highlight w:val="none"/>
                <w:lang w:eastAsia="zh-CN"/>
              </w:rPr>
              <w:t>（</w:t>
            </w:r>
            <w:r>
              <w:rPr>
                <w:rFonts w:hint="default"/>
                <w:color w:val="auto"/>
                <w:sz w:val="24"/>
                <w:szCs w:val="24"/>
                <w:highlight w:val="none"/>
              </w:rPr>
              <w:t>或窗户</w:t>
            </w:r>
            <w:r>
              <w:rPr>
                <w:rFonts w:hint="default"/>
                <w:color w:val="auto"/>
                <w:sz w:val="24"/>
                <w:szCs w:val="24"/>
                <w:highlight w:val="none"/>
                <w:lang w:eastAsia="zh-CN"/>
              </w:rPr>
              <w:t>）</w:t>
            </w:r>
            <w:r>
              <w:rPr>
                <w:rFonts w:hint="default"/>
                <w:color w:val="auto"/>
                <w:sz w:val="24"/>
                <w:szCs w:val="24"/>
                <w:highlight w:val="none"/>
              </w:rPr>
              <w:t>倍频带或A声级的隔声量，dB。</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rPr>
              <w:drawing>
                <wp:inline distT="0" distB="0" distL="114300" distR="114300">
                  <wp:extent cx="2147570" cy="1022350"/>
                  <wp:effectExtent l="0" t="0" r="5080" b="635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22"/>
                          <a:stretch>
                            <a:fillRect/>
                          </a:stretch>
                        </pic:blipFill>
                        <pic:spPr>
                          <a:xfrm>
                            <a:off x="0" y="0"/>
                            <a:ext cx="2147570" cy="1022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center"/>
              <w:textAlignment w:val="auto"/>
              <w:rPr>
                <w:rFonts w:hint="default"/>
                <w:b/>
                <w:bCs/>
                <w:color w:val="auto"/>
                <w:sz w:val="24"/>
                <w:szCs w:val="24"/>
                <w:highlight w:val="none"/>
              </w:rPr>
            </w:pPr>
            <w:r>
              <w:rPr>
                <w:rFonts w:hint="default"/>
                <w:b/>
                <w:bCs/>
                <w:color w:val="auto"/>
                <w:sz w:val="24"/>
                <w:szCs w:val="24"/>
                <w:highlight w:val="none"/>
              </w:rPr>
              <w:t>图</w:t>
            </w:r>
            <w:r>
              <w:rPr>
                <w:rFonts w:hint="default"/>
                <w:b/>
                <w:bCs/>
                <w:color w:val="auto"/>
                <w:sz w:val="24"/>
                <w:szCs w:val="24"/>
                <w:highlight w:val="none"/>
                <w:lang w:val="en-US" w:eastAsia="zh-CN"/>
              </w:rPr>
              <w:t xml:space="preserve">4-1    </w:t>
            </w:r>
            <w:r>
              <w:rPr>
                <w:rFonts w:hint="default"/>
                <w:b/>
                <w:bCs/>
                <w:color w:val="auto"/>
                <w:sz w:val="24"/>
                <w:szCs w:val="24"/>
                <w:highlight w:val="none"/>
              </w:rPr>
              <w:t>室内声源等效为室外声源图例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按下式计算某一室内声源靠近围护结构处产生的倍频带声压级：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p1</w:t>
            </w:r>
            <w:r>
              <w:rPr>
                <w:rFonts w:hint="default"/>
                <w:color w:val="auto"/>
                <w:sz w:val="24"/>
                <w:szCs w:val="24"/>
                <w:highlight w:val="none"/>
              </w:rPr>
              <w:t>=L</w:t>
            </w:r>
            <w:r>
              <w:rPr>
                <w:rFonts w:hint="default"/>
                <w:color w:val="auto"/>
                <w:sz w:val="24"/>
                <w:szCs w:val="24"/>
                <w:highlight w:val="none"/>
                <w:vertAlign w:val="subscript"/>
              </w:rPr>
              <w:t>w</w:t>
            </w:r>
            <w:r>
              <w:rPr>
                <w:rFonts w:hint="default"/>
                <w:color w:val="auto"/>
                <w:sz w:val="24"/>
                <w:szCs w:val="24"/>
                <w:highlight w:val="none"/>
              </w:rPr>
              <w:t>+10lg</w:t>
            </w:r>
            <w:r>
              <w:rPr>
                <w:rFonts w:hint="default"/>
                <w:color w:val="auto"/>
                <w:sz w:val="24"/>
                <w:szCs w:val="24"/>
                <w:highlight w:val="none"/>
                <w:lang w:eastAsia="zh-CN"/>
              </w:rPr>
              <w:t>（</w:t>
            </w:r>
            <w:r>
              <w:rPr>
                <w:rFonts w:hint="default"/>
                <w:color w:val="auto"/>
                <w:sz w:val="24"/>
                <w:szCs w:val="24"/>
                <w:highlight w:val="none"/>
                <w:lang w:val="en-US" w:eastAsia="zh-CN"/>
              </w:rPr>
              <w:t>Q/4πr</w:t>
            </w:r>
            <w:r>
              <w:rPr>
                <w:rFonts w:hint="default"/>
                <w:color w:val="auto"/>
                <w:sz w:val="24"/>
                <w:szCs w:val="24"/>
                <w:highlight w:val="none"/>
                <w:vertAlign w:val="superscript"/>
                <w:lang w:val="en-US" w:eastAsia="zh-CN"/>
              </w:rPr>
              <w:t>2</w:t>
            </w:r>
            <w:r>
              <w:rPr>
                <w:rFonts w:hint="default"/>
                <w:color w:val="auto"/>
                <w:sz w:val="24"/>
                <w:szCs w:val="24"/>
                <w:highlight w:val="none"/>
                <w:lang w:val="en-US" w:eastAsia="zh-CN"/>
              </w:rPr>
              <w:t>+4/R</w:t>
            </w:r>
            <w:r>
              <w:rPr>
                <w:rFonts w:hint="default"/>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式中：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eastAsia="zh-CN"/>
              </w:rPr>
            </w:pPr>
            <w:r>
              <w:rPr>
                <w:rFonts w:hint="default"/>
                <w:color w:val="auto"/>
                <w:sz w:val="24"/>
                <w:szCs w:val="24"/>
                <w:highlight w:val="none"/>
              </w:rPr>
              <w:t>L</w:t>
            </w:r>
            <w:r>
              <w:rPr>
                <w:rFonts w:hint="default"/>
                <w:color w:val="auto"/>
                <w:sz w:val="24"/>
                <w:szCs w:val="24"/>
                <w:highlight w:val="none"/>
                <w:vertAlign w:val="subscript"/>
              </w:rPr>
              <w:t>p1</w:t>
            </w:r>
            <w:r>
              <w:rPr>
                <w:rFonts w:hint="default"/>
                <w:color w:val="auto"/>
                <w:sz w:val="24"/>
                <w:szCs w:val="24"/>
                <w:highlight w:val="none"/>
              </w:rPr>
              <w:t>—靠近开口处</w:t>
            </w:r>
            <w:r>
              <w:rPr>
                <w:rFonts w:hint="default"/>
                <w:color w:val="auto"/>
                <w:sz w:val="24"/>
                <w:szCs w:val="24"/>
                <w:highlight w:val="none"/>
                <w:lang w:eastAsia="zh-CN"/>
              </w:rPr>
              <w:t>（</w:t>
            </w:r>
            <w:r>
              <w:rPr>
                <w:rFonts w:hint="default"/>
                <w:color w:val="auto"/>
                <w:sz w:val="24"/>
                <w:szCs w:val="24"/>
                <w:highlight w:val="none"/>
              </w:rPr>
              <w:t>或窗户</w:t>
            </w:r>
            <w:r>
              <w:rPr>
                <w:rFonts w:hint="default"/>
                <w:color w:val="auto"/>
                <w:sz w:val="24"/>
                <w:szCs w:val="24"/>
                <w:highlight w:val="none"/>
                <w:lang w:eastAsia="zh-CN"/>
              </w:rPr>
              <w:t>）</w:t>
            </w:r>
            <w:r>
              <w:rPr>
                <w:rFonts w:hint="default"/>
                <w:color w:val="auto"/>
                <w:sz w:val="24"/>
                <w:szCs w:val="24"/>
                <w:highlight w:val="none"/>
              </w:rPr>
              <w:t>室内某倍频带的声压级或A声级，dB；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w</w:t>
            </w:r>
            <w:r>
              <w:rPr>
                <w:rFonts w:hint="default"/>
                <w:color w:val="auto"/>
                <w:sz w:val="24"/>
                <w:szCs w:val="24"/>
                <w:highlight w:val="none"/>
              </w:rPr>
              <w:t>—点声源声功率级（A计权或倍频带），dB；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Q—指向性因素；通常对无指向性声源，当声源放在房间中心时，Q=1；当放在一面墙的中心时，Q=2；当放在两面墙夹角处时，Q=4；当放在三面墙夹角处时，Q=8。</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R—房间常数；R=Sα/</w:t>
            </w:r>
            <w:r>
              <w:rPr>
                <w:rFonts w:hint="default"/>
                <w:color w:val="auto"/>
                <w:sz w:val="24"/>
                <w:szCs w:val="24"/>
                <w:highlight w:val="none"/>
                <w:lang w:eastAsia="zh-CN"/>
              </w:rPr>
              <w:t>（</w:t>
            </w:r>
            <w:r>
              <w:rPr>
                <w:rFonts w:hint="default"/>
                <w:color w:val="auto"/>
                <w:sz w:val="24"/>
                <w:szCs w:val="24"/>
                <w:highlight w:val="none"/>
              </w:rPr>
              <w:t>1-α</w:t>
            </w:r>
            <w:r>
              <w:rPr>
                <w:rFonts w:hint="default"/>
                <w:color w:val="auto"/>
                <w:sz w:val="24"/>
                <w:szCs w:val="24"/>
                <w:highlight w:val="none"/>
                <w:lang w:eastAsia="zh-CN"/>
              </w:rPr>
              <w:t>）</w:t>
            </w:r>
            <w:r>
              <w:rPr>
                <w:rFonts w:hint="default"/>
                <w:color w:val="auto"/>
                <w:sz w:val="24"/>
                <w:szCs w:val="24"/>
                <w:highlight w:val="none"/>
              </w:rPr>
              <w:t>，S为房间内表面面积，m</w:t>
            </w:r>
            <w:r>
              <w:rPr>
                <w:rFonts w:hint="default"/>
                <w:color w:val="auto"/>
                <w:sz w:val="24"/>
                <w:szCs w:val="24"/>
                <w:highlight w:val="none"/>
                <w:vertAlign w:val="superscript"/>
                <w:lang w:val="en-US" w:eastAsia="zh-CN"/>
              </w:rPr>
              <w:t>2</w:t>
            </w:r>
            <w:r>
              <w:rPr>
                <w:rFonts w:hint="default"/>
                <w:color w:val="auto"/>
                <w:sz w:val="24"/>
                <w:szCs w:val="24"/>
                <w:highlight w:val="none"/>
              </w:rPr>
              <w:t>；α为平均吸声系数。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page">
                        <wp:posOffset>4104005</wp:posOffset>
                      </wp:positionH>
                      <wp:positionV relativeFrom="page">
                        <wp:posOffset>1889760</wp:posOffset>
                      </wp:positionV>
                      <wp:extent cx="78105" cy="18097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78105" cy="180975"/>
                              </a:xfrm>
                              <a:prstGeom prst="rect">
                                <a:avLst/>
                              </a:prstGeom>
                              <a:noFill/>
                              <a:ln>
                                <a:noFill/>
                              </a:ln>
                              <a:effectLst/>
                            </wps:spPr>
                            <wps:txbx>
                              <w:txbxContent>
                                <w:p>
                                  <w:pPr>
                                    <w:overflowPunct w:val="0"/>
                                    <w:spacing w:before="20" w:line="244" w:lineRule="exact"/>
                                    <w:ind w:left="20"/>
                                    <w:rPr>
                                      <w:rFonts w:ascii="Times New Roman" w:hAnsi="Times New Roman" w:eastAsia="Times New Roman" w:cs="Times New Roman"/>
                                      <w:sz w:val="18"/>
                                      <w:szCs w:val="18"/>
                                    </w:rPr>
                                  </w:pPr>
                                  <w:r>
                                    <w:rPr>
                                      <w:rFonts w:ascii="Times New Roman" w:hAnsi="Times New Roman" w:eastAsia="Times New Roman" w:cs="Times New Roman"/>
                                      <w:i/>
                                      <w:iCs/>
                                      <w:spacing w:val="32"/>
                                      <w:position w:val="4"/>
                                      <w:sz w:val="18"/>
                                      <w:szCs w:val="18"/>
                                    </w:rPr>
                                    <w:t>j</w:t>
                                  </w:r>
                                </w:p>
                              </w:txbxContent>
                            </wps:txbx>
                            <wps:bodyPr lIns="0" tIns="0" rIns="0" bIns="0" upright="1"/>
                          </wps:wsp>
                        </a:graphicData>
                      </a:graphic>
                    </wp:anchor>
                  </w:drawing>
                </mc:Choice>
                <mc:Fallback>
                  <w:pict>
                    <v:shape id="_x0000_s1026" o:spid="_x0000_s1026" o:spt="202" type="#_x0000_t202" style="position:absolute;left:0pt;margin-left:323.15pt;margin-top:148.8pt;height:14.25pt;width:6.15pt;mso-position-horizontal-relative:page;mso-position-vertical-relative:page;z-index:251661312;mso-width-relative:page;mso-height-relative:page;" filled="f" stroked="f" coordsize="21600,21600" o:gfxdata="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5ZWDk2gAAAAsBAAAPAAAAAAAAAAEAIAAAACIAAABkcnMvZG93bnJldi54&#10;bWxQSwECFAAUAAAACACHTuJACmkpn78BAACAAwAADgAAAAAAAAABACAAAAApAQAAZHJzL2Uyb0Rv&#10;Yy54bWxQSwUGAAAAAAYABgBZAQAAWgUAAAAA&#10;">
                      <v:fill on="f" focussize="0,0"/>
                      <v:stroke on="f"/>
                      <v:imagedata o:title=""/>
                      <o:lock v:ext="edit" aspectratio="f"/>
                      <v:textbox inset="0mm,0mm,0mm,0mm">
                        <w:txbxContent>
                          <w:p>
                            <w:pPr>
                              <w:overflowPunct w:val="0"/>
                              <w:spacing w:before="20" w:line="244" w:lineRule="exact"/>
                              <w:ind w:left="20"/>
                              <w:rPr>
                                <w:rFonts w:ascii="Times New Roman" w:hAnsi="Times New Roman" w:eastAsia="Times New Roman" w:cs="Times New Roman"/>
                                <w:sz w:val="18"/>
                                <w:szCs w:val="18"/>
                              </w:rPr>
                            </w:pPr>
                            <w:r>
                              <w:rPr>
                                <w:rFonts w:ascii="Times New Roman" w:hAnsi="Times New Roman" w:eastAsia="Times New Roman" w:cs="Times New Roman"/>
                                <w:i/>
                                <w:iCs/>
                                <w:spacing w:val="32"/>
                                <w:position w:val="4"/>
                                <w:sz w:val="18"/>
                                <w:szCs w:val="18"/>
                              </w:rPr>
                              <w:t>j</w:t>
                            </w:r>
                          </w:p>
                        </w:txbxContent>
                      </v:textbox>
                    </v:shape>
                  </w:pict>
                </mc:Fallback>
              </mc:AlternateContent>
            </w:r>
            <w:r>
              <w:rPr>
                <w:rFonts w:hint="default"/>
                <w:color w:val="auto"/>
                <w:sz w:val="24"/>
                <w:szCs w:val="24"/>
                <w:highlight w:val="none"/>
              </w:rPr>
              <w:t>r—声源到靠近维护结构某点处距离，m。</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然后按下式计算出所有室内声源在围护结构处产生的i倍频带叠加声压级：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rPr>
              <w:drawing>
                <wp:inline distT="0" distB="0" distL="114300" distR="114300">
                  <wp:extent cx="1753870" cy="464185"/>
                  <wp:effectExtent l="0" t="0" r="17780" b="1206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23"/>
                          <a:stretch>
                            <a:fillRect/>
                          </a:stretch>
                        </pic:blipFill>
                        <pic:spPr>
                          <a:xfrm>
                            <a:off x="0" y="0"/>
                            <a:ext cx="1753870" cy="464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式中：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p1i</w:t>
            </w:r>
            <w:r>
              <w:rPr>
                <w:rFonts w:hint="default"/>
                <w:color w:val="auto"/>
                <w:sz w:val="24"/>
                <w:szCs w:val="24"/>
                <w:highlight w:val="none"/>
              </w:rPr>
              <w:t>（T）——靠近围护结构处室内N个声源i倍频带的叠加声压级，dB；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p1ij</w:t>
            </w:r>
            <w:r>
              <w:rPr>
                <w:rFonts w:hint="default"/>
                <w:color w:val="auto"/>
                <w:sz w:val="24"/>
                <w:szCs w:val="24"/>
                <w:highlight w:val="none"/>
              </w:rPr>
              <w:t>—室内j声源i倍频带的声压级，dB；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N—室内声源总数。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在室内近似为扩散声场时，按式下式计算出靠近室外围护结构处的声压级：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p2i</w:t>
            </w:r>
            <w:r>
              <w:rPr>
                <w:rFonts w:hint="default"/>
                <w:color w:val="auto"/>
                <w:sz w:val="24"/>
                <w:szCs w:val="24"/>
                <w:highlight w:val="none"/>
              </w:rPr>
              <w:t>（T）=L</w:t>
            </w:r>
            <w:r>
              <w:rPr>
                <w:rFonts w:hint="default"/>
                <w:color w:val="auto"/>
                <w:sz w:val="24"/>
                <w:szCs w:val="24"/>
                <w:highlight w:val="none"/>
                <w:vertAlign w:val="subscript"/>
              </w:rPr>
              <w:t>p1i</w:t>
            </w:r>
            <w:r>
              <w:rPr>
                <w:rFonts w:hint="default"/>
                <w:color w:val="auto"/>
                <w:sz w:val="24"/>
                <w:szCs w:val="24"/>
                <w:highlight w:val="none"/>
              </w:rPr>
              <w:t>（T）-（T</w:t>
            </w:r>
            <w:r>
              <w:rPr>
                <w:rFonts w:hint="default"/>
                <w:color w:val="auto"/>
                <w:sz w:val="24"/>
                <w:szCs w:val="24"/>
                <w:highlight w:val="none"/>
                <w:vertAlign w:val="subscript"/>
              </w:rPr>
              <w:t>Li</w:t>
            </w:r>
            <w:r>
              <w:rPr>
                <w:rFonts w:hint="default"/>
                <w:color w:val="auto"/>
                <w:sz w:val="24"/>
                <w:szCs w:val="24"/>
                <w:highlight w:val="none"/>
              </w:rPr>
              <w:t>+6）</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式中：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1"/>
                <w:szCs w:val="21"/>
                <w:highlight w:val="none"/>
                <w:vertAlign w:val="subscript"/>
              </w:rPr>
              <w:t>p2i</w:t>
            </w:r>
            <w:r>
              <w:rPr>
                <w:rFonts w:hint="default"/>
                <w:color w:val="auto"/>
                <w:sz w:val="24"/>
                <w:szCs w:val="24"/>
                <w:highlight w:val="none"/>
              </w:rPr>
              <w:t>（T）—靠近围护结构处室外N个声源i倍频带的叠加声压级，dB；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1"/>
                <w:szCs w:val="21"/>
                <w:highlight w:val="none"/>
                <w:vertAlign w:val="subscript"/>
              </w:rPr>
              <w:t>p1i</w:t>
            </w:r>
            <w:r>
              <w:rPr>
                <w:rFonts w:hint="default"/>
                <w:color w:val="auto"/>
                <w:sz w:val="24"/>
                <w:szCs w:val="24"/>
                <w:highlight w:val="none"/>
              </w:rPr>
              <w:t>（T）—靠近围护结构处室内N个声源i倍频带的叠加声压级，dB；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T</w:t>
            </w:r>
            <w:r>
              <w:rPr>
                <w:rFonts w:hint="default"/>
                <w:color w:val="auto"/>
                <w:sz w:val="21"/>
                <w:szCs w:val="21"/>
                <w:highlight w:val="none"/>
                <w:vertAlign w:val="subscript"/>
              </w:rPr>
              <w:t>Li</w:t>
            </w:r>
            <w:r>
              <w:rPr>
                <w:rFonts w:hint="default"/>
                <w:color w:val="auto"/>
                <w:sz w:val="24"/>
                <w:szCs w:val="24"/>
                <w:highlight w:val="none"/>
              </w:rPr>
              <w:t>—围护结构i倍频带的隔声量，dB。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然后按下式将室外声源的声压级和透过面积换算成等效的室外声源，计算出中心位置位于透声面积（S）处的等效声源的倍频带声功率级。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w</w:t>
            </w:r>
            <w:r>
              <w:rPr>
                <w:rFonts w:hint="default"/>
                <w:color w:val="auto"/>
                <w:sz w:val="24"/>
                <w:szCs w:val="24"/>
                <w:highlight w:val="none"/>
              </w:rPr>
              <w:t>=L</w:t>
            </w:r>
            <w:r>
              <w:rPr>
                <w:rFonts w:hint="default"/>
                <w:color w:val="auto"/>
                <w:sz w:val="24"/>
                <w:szCs w:val="24"/>
                <w:highlight w:val="none"/>
                <w:vertAlign w:val="subscript"/>
              </w:rPr>
              <w:t>p2</w:t>
            </w:r>
            <w:r>
              <w:rPr>
                <w:rFonts w:hint="default"/>
                <w:color w:val="auto"/>
                <w:sz w:val="24"/>
                <w:szCs w:val="24"/>
                <w:highlight w:val="none"/>
              </w:rPr>
              <w:t>（T）+10lgS</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式中：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w</w:t>
            </w:r>
            <w:r>
              <w:rPr>
                <w:rFonts w:hint="default"/>
                <w:color w:val="auto"/>
                <w:sz w:val="24"/>
                <w:szCs w:val="24"/>
                <w:highlight w:val="none"/>
              </w:rPr>
              <w:t>—中心位置位于透声面积（S）处的等效声源的倍频带声功率级，dB；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p2</w:t>
            </w:r>
            <w:r>
              <w:rPr>
                <w:rFonts w:hint="default"/>
                <w:color w:val="auto"/>
                <w:sz w:val="24"/>
                <w:szCs w:val="24"/>
                <w:highlight w:val="none"/>
              </w:rPr>
              <w:t>（T）—靠近围护结构处室外声源的声压级，dB；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S—透声面积，m</w:t>
            </w:r>
            <w:r>
              <w:rPr>
                <w:rFonts w:hint="default"/>
                <w:color w:val="auto"/>
                <w:sz w:val="24"/>
                <w:szCs w:val="24"/>
                <w:highlight w:val="none"/>
                <w:vertAlign w:val="superscript"/>
              </w:rPr>
              <w:t>2</w:t>
            </w:r>
            <w:r>
              <w:rPr>
                <w:rFonts w:hint="default"/>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然后按室外声源预测方法计算预测点处的A声级。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lang w:eastAsia="zh-CN"/>
              </w:rPr>
              <w:t>（</w:t>
            </w:r>
            <w:r>
              <w:rPr>
                <w:rFonts w:hint="default"/>
                <w:color w:val="auto"/>
                <w:sz w:val="24"/>
                <w:szCs w:val="24"/>
                <w:highlight w:val="none"/>
                <w:lang w:val="en-US" w:eastAsia="zh-CN"/>
              </w:rPr>
              <w:t>2</w:t>
            </w:r>
            <w:r>
              <w:rPr>
                <w:rFonts w:hint="default"/>
                <w:color w:val="auto"/>
                <w:sz w:val="24"/>
                <w:szCs w:val="24"/>
                <w:highlight w:val="none"/>
                <w:lang w:eastAsia="zh-CN"/>
              </w:rPr>
              <w:t>）</w:t>
            </w:r>
            <w:r>
              <w:rPr>
                <w:rFonts w:hint="default"/>
                <w:color w:val="auto"/>
                <w:sz w:val="24"/>
                <w:szCs w:val="24"/>
                <w:highlight w:val="none"/>
              </w:rPr>
              <w:t>单个室外的点声源在预测点产生的声级计算基本公式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p</w:t>
            </w:r>
            <w:r>
              <w:rPr>
                <w:rFonts w:hint="default"/>
                <w:color w:val="auto"/>
                <w:sz w:val="24"/>
                <w:szCs w:val="24"/>
                <w:highlight w:val="none"/>
              </w:rPr>
              <w:t>（r）＝L</w:t>
            </w:r>
            <w:r>
              <w:rPr>
                <w:rFonts w:hint="default"/>
                <w:color w:val="auto"/>
                <w:sz w:val="24"/>
                <w:szCs w:val="24"/>
                <w:highlight w:val="none"/>
                <w:vertAlign w:val="subscript"/>
                <w:lang w:val="en-US" w:eastAsia="zh-CN"/>
              </w:rPr>
              <w:t>w</w:t>
            </w:r>
            <w:r>
              <w:rPr>
                <w:rFonts w:hint="default"/>
                <w:color w:val="auto"/>
                <w:sz w:val="24"/>
                <w:szCs w:val="24"/>
                <w:highlight w:val="none"/>
              </w:rPr>
              <w:t>+D</w:t>
            </w:r>
            <w:r>
              <w:rPr>
                <w:rFonts w:hint="default"/>
                <w:color w:val="auto"/>
                <w:sz w:val="24"/>
                <w:szCs w:val="24"/>
                <w:highlight w:val="none"/>
                <w:vertAlign w:val="subscript"/>
              </w:rPr>
              <w:t>C</w:t>
            </w:r>
            <w:r>
              <w:rPr>
                <w:rFonts w:hint="default"/>
                <w:color w:val="auto"/>
                <w:sz w:val="24"/>
                <w:szCs w:val="24"/>
                <w:highlight w:val="none"/>
              </w:rPr>
              <w:t>－（A</w:t>
            </w:r>
            <w:r>
              <w:rPr>
                <w:rFonts w:hint="default"/>
                <w:color w:val="auto"/>
                <w:sz w:val="24"/>
                <w:szCs w:val="24"/>
                <w:highlight w:val="none"/>
                <w:vertAlign w:val="subscript"/>
              </w:rPr>
              <w:t>div</w:t>
            </w:r>
            <w:r>
              <w:rPr>
                <w:rFonts w:hint="default"/>
                <w:color w:val="auto"/>
                <w:sz w:val="24"/>
                <w:szCs w:val="24"/>
                <w:highlight w:val="none"/>
              </w:rPr>
              <w:t>＋A</w:t>
            </w:r>
            <w:r>
              <w:rPr>
                <w:rFonts w:hint="default"/>
                <w:color w:val="auto"/>
                <w:sz w:val="24"/>
                <w:szCs w:val="24"/>
                <w:highlight w:val="none"/>
                <w:vertAlign w:val="subscript"/>
              </w:rPr>
              <w:t>atm</w:t>
            </w:r>
            <w:r>
              <w:rPr>
                <w:rFonts w:hint="default"/>
                <w:color w:val="auto"/>
                <w:sz w:val="24"/>
                <w:szCs w:val="24"/>
                <w:highlight w:val="none"/>
              </w:rPr>
              <w:t>＋A</w:t>
            </w:r>
            <w:r>
              <w:rPr>
                <w:rFonts w:hint="default"/>
                <w:color w:val="auto"/>
                <w:sz w:val="24"/>
                <w:szCs w:val="24"/>
                <w:highlight w:val="none"/>
                <w:vertAlign w:val="subscript"/>
              </w:rPr>
              <w:t>gr</w:t>
            </w:r>
            <w:r>
              <w:rPr>
                <w:rFonts w:hint="default"/>
                <w:color w:val="auto"/>
                <w:sz w:val="24"/>
                <w:szCs w:val="24"/>
                <w:highlight w:val="none"/>
              </w:rPr>
              <w:t>＋A</w:t>
            </w:r>
            <w:r>
              <w:rPr>
                <w:rFonts w:hint="default"/>
                <w:color w:val="auto"/>
                <w:sz w:val="24"/>
                <w:szCs w:val="24"/>
                <w:highlight w:val="none"/>
                <w:vertAlign w:val="subscript"/>
              </w:rPr>
              <w:t>bar</w:t>
            </w:r>
            <w:r>
              <w:rPr>
                <w:rFonts w:hint="default"/>
                <w:color w:val="auto"/>
                <w:sz w:val="24"/>
                <w:szCs w:val="24"/>
                <w:highlight w:val="none"/>
              </w:rPr>
              <w:t>＋A</w:t>
            </w:r>
            <w:r>
              <w:rPr>
                <w:rFonts w:hint="default"/>
                <w:color w:val="auto"/>
                <w:sz w:val="24"/>
                <w:szCs w:val="24"/>
                <w:highlight w:val="none"/>
                <w:vertAlign w:val="subscript"/>
              </w:rPr>
              <w:t>misc</w:t>
            </w:r>
            <w:r>
              <w:rPr>
                <w:rFonts w:hint="default"/>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式中：L</w:t>
            </w:r>
            <w:r>
              <w:rPr>
                <w:rFonts w:hint="default"/>
                <w:color w:val="auto"/>
                <w:sz w:val="24"/>
                <w:szCs w:val="24"/>
                <w:highlight w:val="none"/>
                <w:vertAlign w:val="subscript"/>
              </w:rPr>
              <w:t>p</w:t>
            </w:r>
            <w:r>
              <w:rPr>
                <w:rFonts w:hint="default"/>
                <w:color w:val="auto"/>
                <w:sz w:val="24"/>
                <w:szCs w:val="24"/>
                <w:highlight w:val="none"/>
              </w:rPr>
              <w:t>（r）—预测点处声压级，dB；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lang w:val="en-US" w:eastAsia="zh-CN"/>
              </w:rPr>
              <w:t>w</w:t>
            </w:r>
            <w:r>
              <w:rPr>
                <w:rFonts w:hint="default"/>
                <w:color w:val="auto"/>
                <w:sz w:val="24"/>
                <w:szCs w:val="24"/>
                <w:highlight w:val="none"/>
              </w:rPr>
              <w:t>—由点声源产生的声功率级（A计权或倍频带），dB；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D</w:t>
            </w:r>
            <w:r>
              <w:rPr>
                <w:rFonts w:hint="default"/>
                <w:color w:val="auto"/>
                <w:sz w:val="24"/>
                <w:szCs w:val="24"/>
                <w:highlight w:val="none"/>
                <w:vertAlign w:val="subscript"/>
              </w:rPr>
              <w:t>C</w:t>
            </w:r>
            <w:r>
              <w:rPr>
                <w:rFonts w:hint="default"/>
                <w:color w:val="auto"/>
                <w:sz w:val="24"/>
                <w:szCs w:val="24"/>
                <w:highlight w:val="none"/>
              </w:rPr>
              <w:t>—指向性校正，它描述点声源的等效连续声压级与产生声功率级Lw的全向点声源在规定方向的声级的偏差程度，dB；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A</w:t>
            </w:r>
            <w:r>
              <w:rPr>
                <w:rFonts w:hint="default"/>
                <w:color w:val="auto"/>
                <w:sz w:val="24"/>
                <w:szCs w:val="24"/>
                <w:highlight w:val="none"/>
                <w:vertAlign w:val="subscript"/>
              </w:rPr>
              <w:t>div</w:t>
            </w:r>
            <w:r>
              <w:rPr>
                <w:rFonts w:hint="default"/>
                <w:color w:val="auto"/>
                <w:sz w:val="24"/>
                <w:szCs w:val="24"/>
                <w:highlight w:val="none"/>
              </w:rPr>
              <w:t>—几何发散引起的衰减，dB；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A</w:t>
            </w:r>
            <w:r>
              <w:rPr>
                <w:rFonts w:hint="default"/>
                <w:color w:val="auto"/>
                <w:sz w:val="24"/>
                <w:szCs w:val="24"/>
                <w:highlight w:val="none"/>
                <w:vertAlign w:val="subscript"/>
              </w:rPr>
              <w:t>atm</w:t>
            </w:r>
            <w:r>
              <w:rPr>
                <w:rFonts w:hint="default"/>
                <w:color w:val="auto"/>
                <w:sz w:val="24"/>
                <w:szCs w:val="24"/>
                <w:highlight w:val="none"/>
              </w:rPr>
              <w:t>—大气吸收引起的衰减，dB；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A</w:t>
            </w:r>
            <w:r>
              <w:rPr>
                <w:rFonts w:hint="default"/>
                <w:color w:val="auto"/>
                <w:sz w:val="24"/>
                <w:szCs w:val="24"/>
                <w:highlight w:val="none"/>
                <w:vertAlign w:val="subscript"/>
              </w:rPr>
              <w:t>gr</w:t>
            </w:r>
            <w:r>
              <w:rPr>
                <w:rFonts w:hint="default"/>
                <w:color w:val="auto"/>
                <w:sz w:val="24"/>
                <w:szCs w:val="24"/>
                <w:highlight w:val="none"/>
              </w:rPr>
              <w:t>—地面效应引起的衰减，dB；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A</w:t>
            </w:r>
            <w:r>
              <w:rPr>
                <w:rFonts w:hint="default"/>
                <w:color w:val="auto"/>
                <w:sz w:val="24"/>
                <w:szCs w:val="24"/>
                <w:highlight w:val="none"/>
                <w:vertAlign w:val="subscript"/>
              </w:rPr>
              <w:t>bar</w:t>
            </w:r>
            <w:r>
              <w:rPr>
                <w:rFonts w:hint="default"/>
                <w:color w:val="auto"/>
                <w:sz w:val="24"/>
                <w:szCs w:val="24"/>
                <w:highlight w:val="none"/>
              </w:rPr>
              <w:t>—障碍物屏蔽引起的衰减，dB；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A</w:t>
            </w:r>
            <w:r>
              <w:rPr>
                <w:rFonts w:hint="default"/>
                <w:color w:val="auto"/>
                <w:sz w:val="24"/>
                <w:szCs w:val="24"/>
                <w:highlight w:val="none"/>
                <w:vertAlign w:val="subscript"/>
              </w:rPr>
              <w:t>misc</w:t>
            </w:r>
            <w:r>
              <w:rPr>
                <w:rFonts w:hint="default"/>
                <w:color w:val="auto"/>
                <w:sz w:val="24"/>
                <w:szCs w:val="24"/>
                <w:highlight w:val="none"/>
              </w:rPr>
              <w:t>—其他多方面效应引起的衰减，dB。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eastAsia="zh-CN"/>
              </w:rPr>
            </w:pPr>
            <w:r>
              <w:rPr>
                <w:rFonts w:hint="default"/>
                <w:color w:val="auto"/>
                <w:sz w:val="24"/>
                <w:szCs w:val="24"/>
                <w:highlight w:val="none"/>
                <w:lang w:eastAsia="zh-CN"/>
              </w:rPr>
              <w:t>本项目的噪声源均无指向性，且本次室内声源等效为室外声源后仅考虑几何衰减，因此，对于本项目而言，</w:t>
            </w:r>
            <w:r>
              <w:rPr>
                <w:rFonts w:hint="default"/>
                <w:color w:val="auto"/>
                <w:sz w:val="24"/>
                <w:szCs w:val="24"/>
                <w:highlight w:val="none"/>
              </w:rPr>
              <w:t>单个室外的点声源在预测点产生的声级计算公式</w:t>
            </w:r>
            <w:r>
              <w:rPr>
                <w:rFonts w:hint="default"/>
                <w:color w:val="auto"/>
                <w:sz w:val="24"/>
                <w:szCs w:val="24"/>
                <w:highlight w:val="none"/>
                <w:lang w:eastAsia="zh-CN"/>
              </w:rPr>
              <w:t>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4"/>
                <w:szCs w:val="24"/>
                <w:highlight w:val="none"/>
                <w:lang w:val="pt-BR"/>
              </w:rPr>
            </w:pPr>
            <w:r>
              <w:rPr>
                <w:rFonts w:hint="default"/>
                <w:color w:val="auto"/>
                <w:sz w:val="24"/>
                <w:szCs w:val="24"/>
                <w:highlight w:val="none"/>
              </w:rPr>
              <w:object>
                <v:shape id="_x0000_i1027" o:spt="75" type="#_x0000_t75" style="height:34pt;width:108.3pt;" o:ole="t" filled="f" o:preferrelative="t" stroked="f" coordsize="21600,21600">
                  <v:path/>
                  <v:fill on="f" focussize="0,0"/>
                  <v:stroke on="f"/>
                  <v:imagedata r:id="rId25" o:title=""/>
                  <o:lock v:ext="edit" aspectratio="t"/>
                  <w10:wrap type="none"/>
                  <w10:anchorlock/>
                </v:shape>
                <o:OLEObject Type="Embed" ProgID="Equation.3" ShapeID="_x0000_i1027" DrawAspect="Content" ObjectID="_1468075727" r:id="rId24">
                  <o:LockedField>false</o:LockedField>
                </o:OLEObject>
              </w:objec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式中：L</w:t>
            </w:r>
            <w:r>
              <w:rPr>
                <w:rFonts w:hint="default"/>
                <w:color w:val="auto"/>
                <w:sz w:val="24"/>
                <w:szCs w:val="24"/>
                <w:highlight w:val="none"/>
                <w:vertAlign w:val="subscript"/>
              </w:rPr>
              <w:t>p</w:t>
            </w:r>
            <w:r>
              <w:rPr>
                <w:rFonts w:hint="default"/>
                <w:color w:val="auto"/>
                <w:sz w:val="24"/>
                <w:szCs w:val="24"/>
                <w:highlight w:val="none"/>
                <w:lang w:eastAsia="zh-CN"/>
              </w:rPr>
              <w:t>（</w:t>
            </w:r>
            <w:r>
              <w:rPr>
                <w:rFonts w:hint="default"/>
                <w:color w:val="auto"/>
                <w:sz w:val="24"/>
                <w:szCs w:val="24"/>
                <w:highlight w:val="none"/>
                <w:lang w:val="en-US" w:eastAsia="zh-CN"/>
              </w:rPr>
              <w:t>r</w:t>
            </w:r>
            <w:r>
              <w:rPr>
                <w:rFonts w:hint="default"/>
                <w:color w:val="auto"/>
                <w:sz w:val="24"/>
                <w:szCs w:val="24"/>
                <w:highlight w:val="none"/>
                <w:lang w:eastAsia="zh-CN"/>
              </w:rPr>
              <w:t>）</w:t>
            </w:r>
            <w:r>
              <w:rPr>
                <w:rFonts w:hint="default"/>
                <w:color w:val="auto"/>
                <w:sz w:val="24"/>
                <w:szCs w:val="24"/>
                <w:highlight w:val="none"/>
              </w:rPr>
              <w:t>—距声源r米处声压级，dB（A）；</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 xml:space="preserve">      L</w:t>
            </w:r>
            <w:r>
              <w:rPr>
                <w:rFonts w:hint="default"/>
                <w:color w:val="auto"/>
                <w:sz w:val="24"/>
                <w:szCs w:val="24"/>
                <w:highlight w:val="none"/>
                <w:vertAlign w:val="subscript"/>
              </w:rPr>
              <w:t>p</w:t>
            </w:r>
            <w:r>
              <w:rPr>
                <w:rFonts w:hint="default"/>
                <w:color w:val="auto"/>
                <w:sz w:val="24"/>
                <w:szCs w:val="24"/>
                <w:highlight w:val="none"/>
                <w:vertAlign w:val="subscript"/>
                <w:lang w:val="en-US" w:eastAsia="zh-CN"/>
              </w:rPr>
              <w:t>0</w:t>
            </w:r>
            <w:r>
              <w:rPr>
                <w:rFonts w:hint="default"/>
                <w:color w:val="auto"/>
                <w:sz w:val="24"/>
                <w:szCs w:val="24"/>
                <w:highlight w:val="none"/>
              </w:rPr>
              <w:t>—距声源r</w:t>
            </w:r>
            <w:r>
              <w:rPr>
                <w:rFonts w:hint="default"/>
                <w:color w:val="auto"/>
                <w:sz w:val="24"/>
                <w:szCs w:val="24"/>
                <w:highlight w:val="none"/>
                <w:vertAlign w:val="subscript"/>
              </w:rPr>
              <w:t>0</w:t>
            </w:r>
            <w:r>
              <w:rPr>
                <w:rFonts w:hint="default"/>
                <w:color w:val="auto"/>
                <w:sz w:val="24"/>
                <w:szCs w:val="24"/>
                <w:highlight w:val="none"/>
              </w:rPr>
              <w:t>米处的声压级，dB（A）；</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 xml:space="preserve">      r—距声源的距离，m；</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 xml:space="preserve">      r</w:t>
            </w:r>
            <w:r>
              <w:rPr>
                <w:rFonts w:hint="default"/>
                <w:color w:val="auto"/>
                <w:sz w:val="24"/>
                <w:szCs w:val="24"/>
                <w:highlight w:val="none"/>
                <w:vertAlign w:val="subscript"/>
              </w:rPr>
              <w:t>0</w:t>
            </w:r>
            <w:r>
              <w:rPr>
                <w:rFonts w:hint="default"/>
                <w:color w:val="auto"/>
                <w:sz w:val="24"/>
                <w:szCs w:val="24"/>
                <w:highlight w:val="none"/>
              </w:rPr>
              <w:t>—距声源1m；</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eastAsia="zh-CN"/>
              </w:rPr>
            </w:pPr>
            <w:r>
              <w:rPr>
                <w:rFonts w:hint="default"/>
                <w:color w:val="auto"/>
                <w:sz w:val="24"/>
                <w:szCs w:val="24"/>
                <w:highlight w:val="none"/>
                <w:lang w:eastAsia="zh-CN"/>
              </w:rPr>
              <w:t>（</w:t>
            </w:r>
            <w:r>
              <w:rPr>
                <w:rFonts w:hint="default"/>
                <w:color w:val="auto"/>
                <w:sz w:val="24"/>
                <w:szCs w:val="24"/>
                <w:highlight w:val="none"/>
                <w:lang w:val="en-US" w:eastAsia="zh-CN"/>
              </w:rPr>
              <w:t>3</w:t>
            </w:r>
            <w:r>
              <w:rPr>
                <w:rFonts w:hint="default"/>
                <w:color w:val="auto"/>
                <w:sz w:val="24"/>
                <w:szCs w:val="24"/>
                <w:highlight w:val="none"/>
                <w:lang w:eastAsia="zh-CN"/>
              </w:rPr>
              <w:t>）工业企业噪声计算</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设第i个室外声源在预测点产生的A声级为L</w:t>
            </w:r>
            <w:r>
              <w:rPr>
                <w:rFonts w:hint="default"/>
                <w:color w:val="auto"/>
                <w:sz w:val="24"/>
                <w:szCs w:val="24"/>
                <w:highlight w:val="none"/>
                <w:vertAlign w:val="subscript"/>
              </w:rPr>
              <w:t>Ai</w:t>
            </w:r>
            <w:r>
              <w:rPr>
                <w:rFonts w:hint="default"/>
                <w:color w:val="auto"/>
                <w:sz w:val="24"/>
                <w:szCs w:val="24"/>
                <w:highlight w:val="none"/>
              </w:rPr>
              <w:t>，在T时间内该声源工作时间为t</w:t>
            </w:r>
            <w:r>
              <w:rPr>
                <w:rFonts w:hint="default"/>
                <w:color w:val="auto"/>
                <w:sz w:val="24"/>
                <w:szCs w:val="24"/>
                <w:highlight w:val="none"/>
                <w:vertAlign w:val="subscript"/>
              </w:rPr>
              <w:t>i</w:t>
            </w:r>
            <w:r>
              <w:rPr>
                <w:rFonts w:hint="default"/>
                <w:color w:val="auto"/>
                <w:sz w:val="24"/>
                <w:szCs w:val="24"/>
                <w:highlight w:val="none"/>
              </w:rPr>
              <w:t>；第j个等效室外声源在预测点产生的A声级为L</w:t>
            </w:r>
            <w:r>
              <w:rPr>
                <w:rFonts w:hint="default"/>
                <w:color w:val="auto"/>
                <w:sz w:val="24"/>
                <w:szCs w:val="24"/>
                <w:highlight w:val="none"/>
                <w:vertAlign w:val="subscript"/>
              </w:rPr>
              <w:t>Aj</w:t>
            </w:r>
            <w:r>
              <w:rPr>
                <w:rFonts w:hint="default"/>
                <w:color w:val="auto"/>
                <w:sz w:val="24"/>
                <w:szCs w:val="24"/>
                <w:highlight w:val="none"/>
              </w:rPr>
              <w:t>，在T时间内该声源工作时间为t</w:t>
            </w:r>
            <w:r>
              <w:rPr>
                <w:rFonts w:hint="default"/>
                <w:color w:val="auto"/>
                <w:sz w:val="24"/>
                <w:szCs w:val="24"/>
                <w:highlight w:val="none"/>
                <w:vertAlign w:val="subscript"/>
              </w:rPr>
              <w:t>j</w:t>
            </w:r>
            <w:r>
              <w:rPr>
                <w:rFonts w:hint="default"/>
                <w:color w:val="auto"/>
                <w:sz w:val="24"/>
                <w:szCs w:val="24"/>
                <w:highlight w:val="none"/>
              </w:rPr>
              <w:t>，则拟建工程声源对预测点产生的贡献值（Leqg）为：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4"/>
                <w:szCs w:val="24"/>
                <w:highlight w:val="none"/>
              </w:rPr>
            </w:pPr>
            <w:r>
              <w:rPr>
                <w:rFonts w:hint="default"/>
                <w:color w:val="auto"/>
                <w:sz w:val="24"/>
                <w:szCs w:val="24"/>
                <w:highlight w:val="none"/>
              </w:rPr>
              <w:drawing>
                <wp:inline distT="0" distB="0" distL="114300" distR="114300">
                  <wp:extent cx="1899920" cy="328295"/>
                  <wp:effectExtent l="0" t="0" r="5080" b="14605"/>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26"/>
                          <a:stretch>
                            <a:fillRect/>
                          </a:stretch>
                        </pic:blipFill>
                        <pic:spPr>
                          <a:xfrm>
                            <a:off x="0" y="0"/>
                            <a:ext cx="1899920" cy="3282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式中：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eqg</w:t>
            </w:r>
            <w:r>
              <w:rPr>
                <w:rFonts w:hint="default"/>
                <w:color w:val="auto"/>
                <w:sz w:val="24"/>
                <w:szCs w:val="24"/>
                <w:highlight w:val="none"/>
              </w:rPr>
              <w:t>——建设项目声源在预测点产生的噪声贡献值，dB；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T——用于计算等效声级的时间，s；</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N——室外声源个数；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t</w:t>
            </w:r>
            <w:r>
              <w:rPr>
                <w:rFonts w:hint="default"/>
                <w:color w:val="auto"/>
                <w:sz w:val="24"/>
                <w:szCs w:val="24"/>
                <w:highlight w:val="none"/>
                <w:vertAlign w:val="subscript"/>
              </w:rPr>
              <w:t>i</w:t>
            </w:r>
            <w:r>
              <w:rPr>
                <w:rFonts w:hint="default"/>
                <w:color w:val="auto"/>
                <w:sz w:val="24"/>
                <w:szCs w:val="24"/>
                <w:highlight w:val="none"/>
              </w:rPr>
              <w:t>——在T时间内i声源工作时间，s；</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M——等效室外声源个数；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t</w:t>
            </w:r>
            <w:r>
              <w:rPr>
                <w:rFonts w:hint="default"/>
                <w:color w:val="auto"/>
                <w:sz w:val="24"/>
                <w:szCs w:val="24"/>
                <w:highlight w:val="none"/>
                <w:vertAlign w:val="subscript"/>
              </w:rPr>
              <w:t>j</w:t>
            </w:r>
            <w:r>
              <w:rPr>
                <w:rFonts w:hint="default"/>
                <w:color w:val="auto"/>
                <w:sz w:val="24"/>
                <w:szCs w:val="24"/>
                <w:highlight w:val="none"/>
              </w:rPr>
              <w:t>——在T时间内j声源工作时间，s。</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噪声预测值（Leq）计算公式为：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drawing>
                <wp:inline distT="0" distB="0" distL="114300" distR="114300">
                  <wp:extent cx="1776095" cy="269875"/>
                  <wp:effectExtent l="0" t="0" r="14605" b="15875"/>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27"/>
                          <a:stretch>
                            <a:fillRect/>
                          </a:stretch>
                        </pic:blipFill>
                        <pic:spPr>
                          <a:xfrm>
                            <a:off x="0" y="0"/>
                            <a:ext cx="1776095" cy="269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式中：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rPr>
              <w:t>L</w:t>
            </w:r>
            <w:r>
              <w:rPr>
                <w:rFonts w:hint="default"/>
                <w:color w:val="auto"/>
                <w:sz w:val="24"/>
                <w:szCs w:val="24"/>
                <w:highlight w:val="none"/>
                <w:vertAlign w:val="subscript"/>
              </w:rPr>
              <w:t>eq</w:t>
            </w:r>
            <w:r>
              <w:rPr>
                <w:rFonts w:hint="default"/>
                <w:color w:val="auto"/>
                <w:sz w:val="24"/>
                <w:szCs w:val="24"/>
                <w:highlight w:val="none"/>
              </w:rPr>
              <w:t>——预测点的噪声预测值，dB；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default"/>
                <w:color w:val="auto"/>
                <w:sz w:val="24"/>
                <w:szCs w:val="24"/>
                <w:highlight w:val="none"/>
              </w:rPr>
              <w:t>L</w:t>
            </w:r>
            <w:r>
              <w:rPr>
                <w:rFonts w:hint="default"/>
                <w:color w:val="auto"/>
                <w:sz w:val="24"/>
                <w:szCs w:val="24"/>
                <w:highlight w:val="none"/>
                <w:vertAlign w:val="subscript"/>
              </w:rPr>
              <w:t>eqg</w:t>
            </w:r>
            <w:r>
              <w:rPr>
                <w:rFonts w:hint="default"/>
                <w:color w:val="auto"/>
                <w:sz w:val="24"/>
                <w:szCs w:val="24"/>
                <w:highlight w:val="none"/>
              </w:rPr>
              <w:t>——建设项目声源在预测点产生的噪声贡献值，dB；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rFonts w:hint="default"/>
                <w:color w:val="auto"/>
                <w:sz w:val="24"/>
                <w:szCs w:val="24"/>
                <w:highlight w:val="none"/>
                <w:lang w:val="en-US" w:eastAsia="zh-CN"/>
              </w:rPr>
              <w:t>L</w:t>
            </w:r>
            <w:r>
              <w:rPr>
                <w:rFonts w:hint="default"/>
                <w:color w:val="auto"/>
                <w:sz w:val="24"/>
                <w:szCs w:val="24"/>
                <w:highlight w:val="none"/>
                <w:vertAlign w:val="subscript"/>
                <w:lang w:val="en-US" w:eastAsia="zh-CN"/>
              </w:rPr>
              <w:t>eqb</w:t>
            </w:r>
            <w:r>
              <w:rPr>
                <w:rFonts w:hint="default"/>
                <w:color w:val="auto"/>
                <w:sz w:val="24"/>
                <w:szCs w:val="24"/>
                <w:highlight w:val="none"/>
                <w:lang w:val="en-US" w:eastAsia="zh-CN"/>
              </w:rPr>
              <w:t>——预测点的背景噪声值，dB。</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由于本项目及中原拓森储煤场项目均为白天生产，夜间不生产，且项目50m范围内无敏感保护目标，因此，本项目只预测营运期白天各厂界噪声达标情况，详见下表。</w:t>
            </w:r>
          </w:p>
          <w:p>
            <w:pPr>
              <w:pStyle w:val="39"/>
              <w:bidi w:val="0"/>
              <w:rPr>
                <w:rFonts w:hint="default" w:ascii="Times New Roman" w:hAnsi="Times New Roman" w:eastAsia="宋体" w:cs="宋体"/>
                <w:b/>
                <w:bCs/>
                <w:color w:val="auto"/>
                <w:sz w:val="24"/>
                <w:szCs w:val="24"/>
                <w:highlight w:val="none"/>
                <w:lang w:val="en-US" w:eastAsia="zh-CN" w:bidi="ar"/>
              </w:rPr>
            </w:pPr>
            <w:r>
              <w:rPr>
                <w:rFonts w:hint="eastAsia" w:ascii="Times New Roman" w:hAnsi="Times New Roman" w:eastAsia="宋体" w:cs="宋体"/>
                <w:b/>
                <w:bCs/>
                <w:color w:val="auto"/>
                <w:sz w:val="24"/>
                <w:szCs w:val="24"/>
                <w:highlight w:val="none"/>
                <w:lang w:val="en-US" w:eastAsia="zh-CN" w:bidi="ar"/>
              </w:rPr>
              <w:t>表</w:t>
            </w:r>
            <w:r>
              <w:rPr>
                <w:rFonts w:hint="eastAsia" w:eastAsia="宋体"/>
                <w:b/>
                <w:color w:val="auto"/>
                <w:spacing w:val="0"/>
                <w:sz w:val="24"/>
                <w:szCs w:val="24"/>
                <w:highlight w:val="none"/>
                <w:lang w:val="en-US" w:eastAsia="zh-CN"/>
              </w:rPr>
              <w:t>4</w:t>
            </w:r>
            <w:r>
              <w:rPr>
                <w:rFonts w:hint="eastAsia" w:cs="Times New Roman" w:eastAsiaTheme="majorEastAsia"/>
                <w:b/>
                <w:bCs/>
                <w:color w:val="auto"/>
                <w:sz w:val="24"/>
                <w:szCs w:val="24"/>
                <w:highlight w:val="none"/>
                <w:lang w:val="en-US" w:eastAsia="zh-CN"/>
              </w:rPr>
              <w:t>-7</w:t>
            </w:r>
            <w:r>
              <w:rPr>
                <w:rFonts w:hint="eastAsia" w:cs="宋体"/>
                <w:b/>
                <w:bCs/>
                <w:color w:val="auto"/>
                <w:sz w:val="24"/>
                <w:szCs w:val="24"/>
                <w:highlight w:val="none"/>
                <w:lang w:val="en-US" w:eastAsia="zh-CN" w:bidi="ar"/>
              </w:rPr>
              <w:t xml:space="preserve">  </w:t>
            </w:r>
            <w:r>
              <w:rPr>
                <w:rFonts w:hint="eastAsia" w:ascii="Times New Roman" w:hAnsi="Times New Roman" w:eastAsia="宋体" w:cs="宋体"/>
                <w:b/>
                <w:bCs/>
                <w:color w:val="auto"/>
                <w:sz w:val="24"/>
                <w:szCs w:val="24"/>
                <w:highlight w:val="none"/>
                <w:lang w:val="en-US" w:eastAsia="zh-CN" w:bidi="ar"/>
              </w:rPr>
              <w:t xml:space="preserve">    噪声预测结果分析</w:t>
            </w:r>
          </w:p>
          <w:tbl>
            <w:tblPr>
              <w:tblStyle w:val="2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512"/>
              <w:gridCol w:w="1950"/>
              <w:gridCol w:w="1900"/>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restart"/>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506" w:type="pct"/>
                  <w:vMerge w:val="restart"/>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预测点位置</w:t>
                  </w:r>
                </w:p>
              </w:tc>
              <w:tc>
                <w:tcPr>
                  <w:tcW w:w="1169" w:type="pct"/>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贡献</w:t>
                  </w:r>
                  <w:r>
                    <w:rPr>
                      <w:rFonts w:hint="default" w:ascii="Times New Roman" w:hAnsi="Times New Roman" w:eastAsia="宋体" w:cs="Times New Roman"/>
                      <w:b/>
                      <w:bCs/>
                      <w:color w:val="auto"/>
                      <w:sz w:val="21"/>
                      <w:szCs w:val="21"/>
                      <w:highlight w:val="none"/>
                      <w:lang w:val="en-US" w:eastAsia="zh-CN"/>
                    </w:rPr>
                    <w:t>值dB（A）</w:t>
                  </w:r>
                </w:p>
              </w:tc>
              <w:tc>
                <w:tcPr>
                  <w:tcW w:w="1139" w:type="pct"/>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标准限值dB（A）</w:t>
                  </w:r>
                </w:p>
              </w:tc>
              <w:tc>
                <w:tcPr>
                  <w:tcW w:w="757" w:type="pct"/>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p>
              </w:tc>
              <w:tc>
                <w:tcPr>
                  <w:tcW w:w="1506" w:type="pct"/>
                  <w:vMerge w:val="continue"/>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p>
              </w:tc>
              <w:tc>
                <w:tcPr>
                  <w:tcW w:w="1169" w:type="pct"/>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昼间</w:t>
                  </w:r>
                </w:p>
              </w:tc>
              <w:tc>
                <w:tcPr>
                  <w:tcW w:w="1139" w:type="pct"/>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昼间</w:t>
                  </w:r>
                </w:p>
              </w:tc>
              <w:tc>
                <w:tcPr>
                  <w:tcW w:w="757" w:type="pct"/>
                  <w:tcBorders>
                    <w:tl2br w:val="nil"/>
                    <w:tr2bl w:val="nil"/>
                  </w:tcBorders>
                  <w:noWrap w:val="0"/>
                  <w:vAlign w:val="center"/>
                </w:tcPr>
                <w:p>
                  <w:pPr>
                    <w:pStyle w:val="53"/>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506"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东厂界</w:t>
                  </w:r>
                  <w:r>
                    <w:rPr>
                      <w:rFonts w:hint="eastAsia" w:cs="Times New Roman"/>
                      <w:color w:val="auto"/>
                      <w:sz w:val="21"/>
                      <w:szCs w:val="21"/>
                      <w:highlight w:val="none"/>
                      <w:lang w:val="en-US" w:eastAsia="zh-CN"/>
                    </w:rPr>
                    <w:t>（-10.83，112.28）</w:t>
                  </w:r>
                </w:p>
              </w:tc>
              <w:tc>
                <w:tcPr>
                  <w:tcW w:w="1169"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54.8</w:t>
                  </w:r>
                </w:p>
              </w:tc>
              <w:tc>
                <w:tcPr>
                  <w:tcW w:w="1139"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757"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506"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南厂界</w:t>
                  </w:r>
                  <w:r>
                    <w:rPr>
                      <w:rFonts w:hint="eastAsia" w:cs="Times New Roman"/>
                      <w:color w:val="auto"/>
                      <w:sz w:val="21"/>
                      <w:szCs w:val="21"/>
                      <w:highlight w:val="none"/>
                      <w:lang w:val="en-US" w:eastAsia="zh-CN"/>
                    </w:rPr>
                    <w:t>（-200.31，-102.31）</w:t>
                  </w:r>
                </w:p>
              </w:tc>
              <w:tc>
                <w:tcPr>
                  <w:tcW w:w="1169"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55.4</w:t>
                  </w:r>
                </w:p>
              </w:tc>
              <w:tc>
                <w:tcPr>
                  <w:tcW w:w="1139"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757"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506"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西厂界</w:t>
                  </w:r>
                  <w:r>
                    <w:rPr>
                      <w:rFonts w:hint="eastAsia" w:cs="Times New Roman"/>
                      <w:color w:val="auto"/>
                      <w:sz w:val="21"/>
                      <w:szCs w:val="21"/>
                      <w:highlight w:val="none"/>
                      <w:lang w:val="en-US" w:eastAsia="zh-CN"/>
                    </w:rPr>
                    <w:t>（-294.76,71.63）</w:t>
                  </w:r>
                </w:p>
              </w:tc>
              <w:tc>
                <w:tcPr>
                  <w:tcW w:w="1169"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56.1</w:t>
                  </w:r>
                </w:p>
              </w:tc>
              <w:tc>
                <w:tcPr>
                  <w:tcW w:w="1139"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757"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506"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北厂界</w:t>
                  </w:r>
                  <w:r>
                    <w:rPr>
                      <w:rFonts w:hint="eastAsia" w:cs="Times New Roman"/>
                      <w:color w:val="auto"/>
                      <w:sz w:val="21"/>
                      <w:szCs w:val="21"/>
                      <w:highlight w:val="none"/>
                      <w:lang w:val="en-US" w:eastAsia="zh-CN"/>
                    </w:rPr>
                    <w:t>（-176.40,186.40）</w:t>
                  </w:r>
                </w:p>
              </w:tc>
              <w:tc>
                <w:tcPr>
                  <w:tcW w:w="1169"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49.6</w:t>
                  </w:r>
                </w:p>
              </w:tc>
              <w:tc>
                <w:tcPr>
                  <w:tcW w:w="1139"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757" w:type="pct"/>
                  <w:tcBorders>
                    <w:tl2br w:val="nil"/>
                    <w:tr2bl w:val="nil"/>
                  </w:tcBorders>
                  <w:noWrap w:val="0"/>
                  <w:vAlign w:val="center"/>
                </w:tcPr>
                <w:p>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eastAsia"/>
                <w:color w:val="auto"/>
                <w:sz w:val="24"/>
                <w:szCs w:val="24"/>
                <w:highlight w:val="none"/>
                <w:lang w:val="en-US" w:eastAsia="zh-CN"/>
              </w:rPr>
            </w:pPr>
            <w:r>
              <w:rPr>
                <w:rFonts w:hint="eastAsia" w:cs="Times New Roman"/>
                <w:b w:val="0"/>
                <w:bCs w:val="0"/>
                <w:color w:val="auto"/>
                <w:sz w:val="24"/>
                <w:szCs w:val="24"/>
                <w:highlight w:val="none"/>
                <w:lang w:val="en-US" w:eastAsia="zh-CN"/>
              </w:rPr>
              <w:t>经预测，本项目厂界处贡献值满足《工业企业厂界环境噪声排放标准》（GB12348-2008）中2类标准的限值要求。</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3.3监测要求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lang w:bidi="ar"/>
              </w:rPr>
            </w:pPr>
            <w:r>
              <w:rPr>
                <w:rFonts w:hint="eastAsia" w:ascii="Times New Roman" w:hAnsi="Times New Roman" w:cs="Times New Roman"/>
                <w:color w:val="auto"/>
                <w:sz w:val="24"/>
                <w:szCs w:val="24"/>
                <w:highlight w:val="none"/>
                <w:lang w:val="en-US" w:eastAsia="zh-CN" w:bidi="ar"/>
              </w:rPr>
              <w:t>依据《排污单位自行监测技术指南 总则》（HJ819-2017）开展自行监测，监测要求见下表。</w:t>
            </w:r>
          </w:p>
          <w:p>
            <w:pPr>
              <w:pStyle w:val="39"/>
              <w:bidi w:val="0"/>
              <w:rPr>
                <w:rFonts w:hint="default" w:ascii="Times New Roman" w:hAnsi="Times New Roman" w:eastAsia="宋体" w:cs="宋体"/>
                <w:b/>
                <w:bCs/>
                <w:color w:val="auto"/>
                <w:sz w:val="24"/>
                <w:szCs w:val="24"/>
                <w:highlight w:val="none"/>
                <w:lang w:val="en-US" w:eastAsia="zh-CN" w:bidi="ar"/>
              </w:rPr>
            </w:pPr>
            <w:r>
              <w:rPr>
                <w:rFonts w:hint="default" w:ascii="Times New Roman" w:hAnsi="Times New Roman" w:eastAsia="宋体" w:cs="宋体"/>
                <w:b/>
                <w:bCs/>
                <w:color w:val="auto"/>
                <w:sz w:val="24"/>
                <w:szCs w:val="24"/>
                <w:highlight w:val="none"/>
                <w:lang w:val="en-US" w:eastAsia="zh-CN" w:bidi="ar"/>
              </w:rPr>
              <w:t>表</w:t>
            </w:r>
            <w:r>
              <w:rPr>
                <w:rFonts w:hint="eastAsia" w:eastAsia="宋体"/>
                <w:b/>
                <w:color w:val="auto"/>
                <w:spacing w:val="0"/>
                <w:sz w:val="24"/>
                <w:szCs w:val="24"/>
                <w:highlight w:val="none"/>
                <w:lang w:val="en-US" w:eastAsia="zh-CN"/>
              </w:rPr>
              <w:t>4</w:t>
            </w:r>
            <w:r>
              <w:rPr>
                <w:rFonts w:hint="eastAsia" w:cs="Times New Roman" w:eastAsiaTheme="majorEastAsia"/>
                <w:b/>
                <w:bCs/>
                <w:color w:val="auto"/>
                <w:sz w:val="24"/>
                <w:szCs w:val="24"/>
                <w:highlight w:val="none"/>
                <w:lang w:val="en-US" w:eastAsia="zh-CN"/>
              </w:rPr>
              <w:t>-8</w:t>
            </w:r>
            <w:r>
              <w:rPr>
                <w:rFonts w:hint="default" w:ascii="Times New Roman" w:hAnsi="Times New Roman" w:eastAsia="宋体" w:cs="宋体"/>
                <w:b/>
                <w:bCs/>
                <w:color w:val="auto"/>
                <w:sz w:val="24"/>
                <w:szCs w:val="24"/>
                <w:highlight w:val="none"/>
                <w:lang w:val="en-US" w:eastAsia="zh-CN" w:bidi="ar"/>
              </w:rPr>
              <w:t xml:space="preserve"> </w:t>
            </w:r>
            <w:r>
              <w:rPr>
                <w:rFonts w:hint="eastAsia" w:ascii="Times New Roman" w:hAnsi="Times New Roman" w:eastAsia="宋体" w:cs="宋体"/>
                <w:b/>
                <w:bCs/>
                <w:color w:val="auto"/>
                <w:sz w:val="24"/>
                <w:szCs w:val="24"/>
                <w:highlight w:val="none"/>
                <w:lang w:val="en-US" w:eastAsia="zh-CN" w:bidi="ar"/>
              </w:rPr>
              <w:t xml:space="preserve">    </w:t>
            </w:r>
            <w:r>
              <w:rPr>
                <w:rFonts w:hint="eastAsia" w:ascii="Times New Roman" w:hAnsi="Times New Roman" w:cs="宋体"/>
                <w:b/>
                <w:bCs/>
                <w:color w:val="auto"/>
                <w:sz w:val="24"/>
                <w:szCs w:val="24"/>
                <w:highlight w:val="none"/>
                <w:lang w:val="en-US" w:eastAsia="zh-CN" w:bidi="ar"/>
              </w:rPr>
              <w:t>噪声</w:t>
            </w:r>
            <w:r>
              <w:rPr>
                <w:rFonts w:hint="eastAsia" w:ascii="Times New Roman" w:hAnsi="Times New Roman" w:eastAsia="宋体" w:cs="宋体"/>
                <w:b/>
                <w:bCs/>
                <w:color w:val="auto"/>
                <w:sz w:val="24"/>
                <w:szCs w:val="24"/>
                <w:highlight w:val="none"/>
                <w:lang w:val="en-US" w:eastAsia="zh-CN" w:bidi="ar"/>
              </w:rPr>
              <w:t>监测要求一览表</w:t>
            </w:r>
          </w:p>
          <w:tbl>
            <w:tblPr>
              <w:tblStyle w:val="23"/>
              <w:tblW w:w="4998"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72"/>
              <w:gridCol w:w="1611"/>
              <w:gridCol w:w="2107"/>
              <w:gridCol w:w="1737"/>
              <w:gridCol w:w="21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b/>
                      <w:bCs/>
                      <w:color w:val="auto"/>
                      <w:kern w:val="2"/>
                      <w:sz w:val="24"/>
                      <w:szCs w:val="24"/>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序号</w:t>
                  </w:r>
                </w:p>
              </w:tc>
              <w:tc>
                <w:tcPr>
                  <w:tcW w:w="96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监测点位</w:t>
                  </w:r>
                </w:p>
              </w:tc>
              <w:tc>
                <w:tcPr>
                  <w:tcW w:w="1264"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b/>
                      <w:bCs/>
                      <w:color w:val="auto"/>
                      <w:kern w:val="2"/>
                      <w:sz w:val="24"/>
                      <w:szCs w:val="24"/>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监测因子</w:t>
                  </w:r>
                </w:p>
              </w:tc>
              <w:tc>
                <w:tcPr>
                  <w:tcW w:w="10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b/>
                      <w:bCs/>
                      <w:color w:val="auto"/>
                      <w:kern w:val="2"/>
                      <w:sz w:val="24"/>
                      <w:szCs w:val="24"/>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监测频次</w:t>
                  </w:r>
                </w:p>
              </w:tc>
              <w:tc>
                <w:tcPr>
                  <w:tcW w:w="12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b/>
                      <w:bCs/>
                      <w:color w:val="auto"/>
                      <w:sz w:val="24"/>
                      <w:szCs w:val="24"/>
                      <w:highlight w:val="none"/>
                      <w:lang w:val="en-US" w:eastAsia="zh-CN"/>
                    </w:rPr>
                  </w:pPr>
                  <w:r>
                    <w:rPr>
                      <w:rFonts w:hint="eastAsia" w:ascii="Times New Roman" w:hAnsi="Times New Roman" w:eastAsia="宋体" w:cs="Times New Roman"/>
                      <w:b/>
                      <w:bCs/>
                      <w:color w:val="auto"/>
                      <w:sz w:val="21"/>
                      <w:szCs w:val="21"/>
                      <w:highlight w:val="no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b w:val="0"/>
                      <w:bCs w:val="0"/>
                      <w:color w:val="auto"/>
                      <w:sz w:val="24"/>
                      <w:szCs w:val="24"/>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966"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项目四周厂界</w:t>
                  </w:r>
                </w:p>
              </w:tc>
              <w:tc>
                <w:tcPr>
                  <w:tcW w:w="1264"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等效连续A声级</w:t>
                  </w:r>
                </w:p>
              </w:tc>
              <w:tc>
                <w:tcPr>
                  <w:tcW w:w="104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1次/季度</w:t>
                  </w:r>
                </w:p>
              </w:tc>
              <w:tc>
                <w:tcPr>
                  <w:tcW w:w="126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委托监测</w:t>
                  </w:r>
                </w:p>
              </w:tc>
            </w:tr>
          </w:tbl>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4、固体废物</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default" w:ascii="Times New Roman" w:hAnsi="Times New Roman" w:eastAsia="宋体" w:cs="宋体"/>
                <w:b/>
                <w:bCs/>
                <w:color w:val="auto"/>
                <w:sz w:val="24"/>
                <w:szCs w:val="24"/>
                <w:highlight w:val="none"/>
                <w:lang w:val="en-US" w:eastAsia="zh-CN" w:bidi="ar"/>
              </w:rPr>
            </w:pPr>
            <w:r>
              <w:rPr>
                <w:rFonts w:hint="eastAsia" w:cs="宋体"/>
                <w:b/>
                <w:bCs/>
                <w:color w:val="auto"/>
                <w:sz w:val="24"/>
                <w:szCs w:val="24"/>
                <w:highlight w:val="none"/>
                <w:lang w:val="en-US" w:eastAsia="zh-CN" w:bidi="ar"/>
              </w:rPr>
              <w:t>4.1</w:t>
            </w:r>
            <w:r>
              <w:rPr>
                <w:rFonts w:hint="default" w:ascii="Times New Roman" w:hAnsi="Times New Roman"/>
                <w:b/>
                <w:bCs/>
                <w:color w:val="auto"/>
                <w:sz w:val="24"/>
                <w:szCs w:val="24"/>
                <w:highlight w:val="none"/>
                <w:lang w:val="en-US" w:eastAsia="zh-CN" w:bidi="ar"/>
              </w:rPr>
              <w:t>项目</w:t>
            </w:r>
            <w:r>
              <w:rPr>
                <w:rFonts w:hint="eastAsia"/>
                <w:b/>
                <w:bCs/>
                <w:color w:val="auto"/>
                <w:sz w:val="24"/>
                <w:szCs w:val="24"/>
                <w:highlight w:val="none"/>
                <w:lang w:val="en-US" w:eastAsia="zh-CN" w:bidi="ar"/>
              </w:rPr>
              <w:t>固体废物</w:t>
            </w:r>
            <w:r>
              <w:rPr>
                <w:rFonts w:hint="default" w:ascii="Times New Roman" w:hAnsi="Times New Roman"/>
                <w:b/>
                <w:bCs/>
                <w:color w:val="auto"/>
                <w:sz w:val="24"/>
                <w:szCs w:val="24"/>
                <w:highlight w:val="none"/>
                <w:lang w:val="en-US" w:eastAsia="zh-CN" w:bidi="ar"/>
              </w:rPr>
              <w:t>产生情况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bidi="ar"/>
              </w:rPr>
            </w:pPr>
            <w:r>
              <w:rPr>
                <w:rFonts w:hint="default" w:ascii="Times New Roman" w:hAnsi="Times New Roman"/>
                <w:color w:val="auto"/>
                <w:sz w:val="24"/>
                <w:szCs w:val="24"/>
                <w:highlight w:val="none"/>
                <w:lang w:val="en-US" w:eastAsia="zh-CN" w:bidi="ar"/>
              </w:rPr>
              <w:t>根据《中华人民共和国固体废物污染环境防治法》</w:t>
            </w:r>
            <w:r>
              <w:rPr>
                <w:rFonts w:hint="eastAsia"/>
                <w:color w:val="auto"/>
                <w:sz w:val="24"/>
                <w:szCs w:val="24"/>
                <w:highlight w:val="none"/>
                <w:lang w:val="en-US" w:eastAsia="zh-CN" w:bidi="ar"/>
              </w:rPr>
              <w:t>、</w:t>
            </w:r>
            <w:r>
              <w:rPr>
                <w:rFonts w:hint="default" w:ascii="Times New Roman" w:hAnsi="Times New Roman"/>
                <w:color w:val="auto"/>
                <w:sz w:val="24"/>
                <w:szCs w:val="24"/>
                <w:highlight w:val="none"/>
                <w:lang w:val="en-US" w:eastAsia="zh-CN" w:bidi="ar"/>
              </w:rPr>
              <w:t>《固体废物鉴别标准 通则》（GB34330-2017），本项目产生的</w:t>
            </w:r>
            <w:r>
              <w:rPr>
                <w:rFonts w:hint="eastAsia"/>
                <w:color w:val="auto"/>
                <w:sz w:val="24"/>
                <w:szCs w:val="24"/>
                <w:highlight w:val="none"/>
                <w:lang w:val="en-US" w:eastAsia="zh-CN" w:bidi="ar"/>
              </w:rPr>
              <w:t>固体废物如下：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olor w:val="auto"/>
                <w:sz w:val="24"/>
                <w:szCs w:val="24"/>
                <w:highlight w:val="none"/>
                <w:lang w:val="en-US" w:eastAsia="zh-CN" w:bidi="ar"/>
              </w:rPr>
            </w:pPr>
            <w:r>
              <w:rPr>
                <w:rFonts w:hint="default" w:ascii="Times New Roman" w:hAnsi="Times New Roman"/>
                <w:color w:val="auto"/>
                <w:sz w:val="24"/>
                <w:szCs w:val="24"/>
                <w:highlight w:val="none"/>
                <w:lang w:val="en-US" w:eastAsia="zh-CN" w:bidi="ar"/>
              </w:rPr>
              <w:t>（1）</w:t>
            </w:r>
            <w:r>
              <w:rPr>
                <w:rFonts w:hint="eastAsia" w:ascii="Times New Roman" w:hAnsi="Times New Roman"/>
                <w:color w:val="auto"/>
                <w:sz w:val="24"/>
                <w:szCs w:val="24"/>
                <w:highlight w:val="none"/>
                <w:lang w:val="en-US" w:eastAsia="zh-CN" w:bidi="ar"/>
              </w:rPr>
              <w:t>废机油、废机油</w:t>
            </w:r>
            <w:r>
              <w:rPr>
                <w:rFonts w:hint="default" w:ascii="Times New Roman" w:hAnsi="Times New Roman"/>
                <w:color w:val="auto"/>
                <w:sz w:val="24"/>
                <w:szCs w:val="24"/>
                <w:highlight w:val="none"/>
                <w:lang w:val="en-US" w:eastAsia="zh-CN" w:bidi="ar"/>
              </w:rPr>
              <w:t>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olor w:val="auto"/>
                <w:sz w:val="24"/>
                <w:szCs w:val="24"/>
                <w:highlight w:val="none"/>
                <w:lang w:val="en-US" w:eastAsia="zh-CN" w:bidi="ar"/>
              </w:rPr>
            </w:pPr>
            <w:r>
              <w:rPr>
                <w:rFonts w:hint="default" w:ascii="Times New Roman" w:hAnsi="Times New Roman"/>
                <w:color w:val="auto"/>
                <w:sz w:val="24"/>
                <w:szCs w:val="24"/>
                <w:highlight w:val="none"/>
                <w:lang w:val="en-US" w:eastAsia="zh-CN" w:bidi="ar"/>
              </w:rPr>
              <w:t>生产设备保养、维修过程中会产生废</w:t>
            </w:r>
            <w:r>
              <w:rPr>
                <w:rFonts w:hint="eastAsia"/>
                <w:color w:val="auto"/>
                <w:sz w:val="24"/>
                <w:szCs w:val="24"/>
                <w:highlight w:val="none"/>
                <w:lang w:val="en-US" w:eastAsia="zh-CN" w:bidi="ar"/>
              </w:rPr>
              <w:t>机油</w:t>
            </w:r>
            <w:r>
              <w:rPr>
                <w:rFonts w:hint="default" w:ascii="Times New Roman" w:hAnsi="Times New Roman"/>
                <w:color w:val="auto"/>
                <w:sz w:val="24"/>
                <w:szCs w:val="24"/>
                <w:highlight w:val="none"/>
                <w:lang w:val="en-US" w:eastAsia="zh-CN" w:bidi="ar"/>
              </w:rPr>
              <w:t>，年产生</w:t>
            </w:r>
            <w:r>
              <w:rPr>
                <w:rFonts w:hint="eastAsia" w:ascii="Times New Roman" w:hAnsi="Times New Roman"/>
                <w:color w:val="auto"/>
                <w:sz w:val="24"/>
                <w:szCs w:val="24"/>
                <w:highlight w:val="none"/>
                <w:lang w:val="en-US" w:eastAsia="zh-CN" w:bidi="ar"/>
              </w:rPr>
              <w:t>废机油</w:t>
            </w:r>
            <w:r>
              <w:rPr>
                <w:rFonts w:hint="default" w:ascii="Times New Roman" w:hAnsi="Times New Roman"/>
                <w:color w:val="auto"/>
                <w:sz w:val="24"/>
                <w:szCs w:val="24"/>
                <w:highlight w:val="none"/>
                <w:lang w:val="en-US" w:eastAsia="zh-CN" w:bidi="ar"/>
              </w:rPr>
              <w:t>约0.</w:t>
            </w:r>
            <w:r>
              <w:rPr>
                <w:rFonts w:hint="eastAsia"/>
                <w:color w:val="auto"/>
                <w:sz w:val="24"/>
                <w:szCs w:val="24"/>
                <w:highlight w:val="none"/>
                <w:lang w:val="en-US" w:eastAsia="zh-CN" w:bidi="ar"/>
              </w:rPr>
              <w:t>12</w:t>
            </w:r>
            <w:r>
              <w:rPr>
                <w:rFonts w:hint="default" w:ascii="Times New Roman" w:hAnsi="Times New Roman"/>
                <w:color w:val="auto"/>
                <w:sz w:val="24"/>
                <w:szCs w:val="24"/>
                <w:highlight w:val="none"/>
                <w:lang w:val="en-US" w:eastAsia="zh-CN" w:bidi="ar"/>
              </w:rPr>
              <w:t>t/a，</w:t>
            </w:r>
            <w:r>
              <w:rPr>
                <w:rFonts w:hint="eastAsia" w:ascii="Times New Roman" w:hAnsi="Times New Roman"/>
                <w:color w:val="auto"/>
                <w:sz w:val="24"/>
                <w:szCs w:val="24"/>
                <w:highlight w:val="none"/>
                <w:lang w:val="en-US" w:eastAsia="zh-CN" w:bidi="ar"/>
              </w:rPr>
              <w:t>废机油</w:t>
            </w:r>
            <w:r>
              <w:rPr>
                <w:rFonts w:hint="default" w:ascii="Times New Roman" w:hAnsi="Times New Roman"/>
                <w:color w:val="auto"/>
                <w:sz w:val="24"/>
                <w:szCs w:val="24"/>
                <w:highlight w:val="none"/>
                <w:lang w:val="en-US" w:eastAsia="zh-CN" w:bidi="ar"/>
              </w:rPr>
              <w:t>桶约</w:t>
            </w:r>
            <w:r>
              <w:rPr>
                <w:rFonts w:hint="eastAsia"/>
                <w:color w:val="auto"/>
                <w:sz w:val="24"/>
                <w:szCs w:val="24"/>
                <w:highlight w:val="none"/>
                <w:lang w:val="en-US" w:eastAsia="zh-CN" w:bidi="ar"/>
              </w:rPr>
              <w:t>0.01t</w:t>
            </w:r>
            <w:r>
              <w:rPr>
                <w:rFonts w:hint="default" w:ascii="Times New Roman" w:hAnsi="Times New Roman"/>
                <w:color w:val="auto"/>
                <w:sz w:val="24"/>
                <w:szCs w:val="24"/>
                <w:highlight w:val="none"/>
                <w:lang w:val="en-US" w:eastAsia="zh-CN" w:bidi="ar"/>
              </w:rPr>
              <w:t>/a，分类暂存</w:t>
            </w:r>
            <w:r>
              <w:rPr>
                <w:rFonts w:hint="eastAsia"/>
                <w:color w:val="auto"/>
                <w:sz w:val="24"/>
                <w:szCs w:val="24"/>
                <w:highlight w:val="none"/>
                <w:lang w:val="en-US" w:eastAsia="zh-CN" w:bidi="ar"/>
              </w:rPr>
              <w:t>于依托的</w:t>
            </w:r>
            <w:r>
              <w:rPr>
                <w:rFonts w:hint="default" w:ascii="Times New Roman" w:hAnsi="Times New Roman"/>
                <w:color w:val="auto"/>
                <w:sz w:val="24"/>
                <w:szCs w:val="24"/>
                <w:highlight w:val="none"/>
                <w:lang w:val="en-US" w:eastAsia="zh-CN" w:bidi="ar"/>
              </w:rPr>
              <w:t>危废间，定期委托有资质单位安全处置。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bidi="ar"/>
              </w:rPr>
            </w:pPr>
            <w:r>
              <w:rPr>
                <w:rFonts w:hint="eastAsia"/>
                <w:color w:val="auto"/>
                <w:sz w:val="24"/>
                <w:szCs w:val="24"/>
                <w:highlight w:val="none"/>
                <w:lang w:val="en-US" w:eastAsia="zh-CN" w:bidi="ar"/>
              </w:rPr>
              <w:t>（2）除尘灰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bidi="ar"/>
              </w:rPr>
            </w:pPr>
            <w:r>
              <w:rPr>
                <w:rFonts w:hint="eastAsia"/>
                <w:color w:val="auto"/>
                <w:sz w:val="24"/>
                <w:szCs w:val="24"/>
                <w:highlight w:val="none"/>
                <w:lang w:val="en-US" w:eastAsia="zh-CN" w:bidi="ar"/>
              </w:rPr>
              <w:t>除尘灰主要成分为煤泥，除尘灰产生量约为278.6t/a，掺入产品中外售。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color w:val="auto"/>
                <w:sz w:val="24"/>
                <w:szCs w:val="24"/>
                <w:highlight w:val="none"/>
                <w:lang w:val="en-US" w:eastAsia="zh-CN" w:bidi="ar"/>
              </w:rPr>
            </w:pPr>
            <w:r>
              <w:rPr>
                <w:rFonts w:hint="eastAsia" w:ascii="Times New Roman" w:hAnsi="Times New Roman"/>
                <w:color w:val="auto"/>
                <w:sz w:val="24"/>
                <w:szCs w:val="24"/>
                <w:highlight w:val="none"/>
                <w:lang w:val="en-US" w:eastAsia="zh-CN" w:bidi="ar"/>
              </w:rPr>
              <w:t>（3）沉泥固废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olor w:val="auto"/>
                <w:sz w:val="24"/>
                <w:szCs w:val="24"/>
                <w:highlight w:val="none"/>
                <w:lang w:val="en-US" w:eastAsia="zh-CN" w:bidi="ar"/>
              </w:rPr>
            </w:pPr>
            <w:r>
              <w:rPr>
                <w:rFonts w:hint="eastAsia" w:ascii="Times New Roman" w:hAnsi="Times New Roman"/>
                <w:color w:val="auto"/>
                <w:sz w:val="24"/>
                <w:szCs w:val="24"/>
                <w:highlight w:val="none"/>
                <w:lang w:val="en-US" w:eastAsia="zh-CN" w:bidi="ar"/>
              </w:rPr>
              <w:t>项目初期雨水池</w:t>
            </w:r>
            <w:r>
              <w:rPr>
                <w:rFonts w:hint="eastAsia"/>
                <w:color w:val="auto"/>
                <w:sz w:val="24"/>
                <w:szCs w:val="24"/>
                <w:highlight w:val="none"/>
                <w:lang w:val="en-US" w:eastAsia="zh-CN" w:bidi="ar"/>
              </w:rPr>
              <w:t>、</w:t>
            </w:r>
            <w:r>
              <w:rPr>
                <w:rFonts w:hint="eastAsia" w:ascii="Times New Roman" w:hAnsi="Times New Roman"/>
                <w:color w:val="auto"/>
                <w:sz w:val="24"/>
                <w:szCs w:val="24"/>
                <w:highlight w:val="none"/>
                <w:lang w:val="en-US" w:eastAsia="zh-CN" w:bidi="ar"/>
              </w:rPr>
              <w:t>洗车废水沉淀池</w:t>
            </w:r>
            <w:r>
              <w:rPr>
                <w:rFonts w:hint="eastAsia"/>
                <w:color w:val="auto"/>
                <w:sz w:val="24"/>
                <w:szCs w:val="24"/>
                <w:highlight w:val="none"/>
                <w:lang w:val="en-US" w:eastAsia="zh-CN" w:bidi="ar"/>
              </w:rPr>
              <w:t>、淋控水池</w:t>
            </w:r>
            <w:r>
              <w:rPr>
                <w:rFonts w:hint="eastAsia" w:ascii="Times New Roman" w:hAnsi="Times New Roman"/>
                <w:color w:val="auto"/>
                <w:sz w:val="24"/>
                <w:szCs w:val="24"/>
                <w:highlight w:val="none"/>
                <w:lang w:val="en-US" w:eastAsia="zh-CN" w:bidi="ar"/>
              </w:rPr>
              <w:t>定期进行清理，会产生沉泥，沉泥主要成分为</w:t>
            </w:r>
            <w:r>
              <w:rPr>
                <w:rFonts w:hint="eastAsia"/>
                <w:color w:val="auto"/>
                <w:sz w:val="24"/>
                <w:szCs w:val="24"/>
                <w:highlight w:val="none"/>
                <w:lang w:val="en-US" w:eastAsia="zh-CN" w:bidi="ar"/>
              </w:rPr>
              <w:t>煤</w:t>
            </w:r>
            <w:r>
              <w:rPr>
                <w:rFonts w:hint="eastAsia" w:ascii="Times New Roman" w:hAnsi="Times New Roman"/>
                <w:color w:val="auto"/>
                <w:sz w:val="24"/>
                <w:szCs w:val="24"/>
                <w:highlight w:val="none"/>
                <w:lang w:val="en-US" w:eastAsia="zh-CN" w:bidi="ar"/>
              </w:rPr>
              <w:t>，产生量约为</w:t>
            </w:r>
            <w:r>
              <w:rPr>
                <w:rFonts w:hint="eastAsia"/>
                <w:color w:val="auto"/>
                <w:sz w:val="24"/>
                <w:szCs w:val="24"/>
                <w:highlight w:val="none"/>
                <w:lang w:val="en-US" w:eastAsia="zh-CN" w:bidi="ar"/>
              </w:rPr>
              <w:t>15</w:t>
            </w:r>
            <w:r>
              <w:rPr>
                <w:rFonts w:hint="eastAsia" w:ascii="Times New Roman" w:hAnsi="Times New Roman"/>
                <w:color w:val="auto"/>
                <w:sz w:val="24"/>
                <w:szCs w:val="24"/>
                <w:highlight w:val="none"/>
                <w:lang w:val="en-US" w:eastAsia="zh-CN" w:bidi="ar"/>
              </w:rPr>
              <w:t>t/a，</w:t>
            </w:r>
            <w:r>
              <w:rPr>
                <w:rFonts w:hint="eastAsia"/>
                <w:color w:val="auto"/>
                <w:sz w:val="24"/>
                <w:szCs w:val="24"/>
                <w:highlight w:val="none"/>
                <w:lang w:val="en-US" w:eastAsia="zh-CN" w:bidi="ar"/>
              </w:rPr>
              <w:t>其中</w:t>
            </w:r>
            <w:r>
              <w:rPr>
                <w:rFonts w:hint="eastAsia" w:ascii="Times New Roman" w:hAnsi="Times New Roman"/>
                <w:color w:val="auto"/>
                <w:sz w:val="24"/>
                <w:szCs w:val="24"/>
                <w:highlight w:val="none"/>
                <w:lang w:val="en-US" w:eastAsia="zh-CN" w:bidi="ar"/>
              </w:rPr>
              <w:t>初期雨水池</w:t>
            </w:r>
            <w:r>
              <w:rPr>
                <w:rFonts w:hint="eastAsia"/>
                <w:color w:val="auto"/>
                <w:sz w:val="24"/>
                <w:szCs w:val="24"/>
                <w:highlight w:val="none"/>
                <w:lang w:val="en-US" w:eastAsia="zh-CN" w:bidi="ar"/>
              </w:rPr>
              <w:t>、</w:t>
            </w:r>
            <w:r>
              <w:rPr>
                <w:rFonts w:hint="eastAsia" w:ascii="Times New Roman" w:hAnsi="Times New Roman"/>
                <w:color w:val="auto"/>
                <w:sz w:val="24"/>
                <w:szCs w:val="24"/>
                <w:highlight w:val="none"/>
                <w:lang w:val="en-US" w:eastAsia="zh-CN" w:bidi="ar"/>
              </w:rPr>
              <w:t>洗车废水沉淀池的沉泥由</w:t>
            </w:r>
            <w:r>
              <w:rPr>
                <w:rFonts w:hint="eastAsia" w:cs="Times New Roman"/>
                <w:color w:val="auto"/>
                <w:sz w:val="24"/>
                <w:szCs w:val="24"/>
                <w:highlight w:val="none"/>
                <w:lang w:val="en-US" w:eastAsia="zh-CN"/>
              </w:rPr>
              <w:t>山西中源拓森煤炭销售有限公司负责收集处置，</w:t>
            </w:r>
            <w:r>
              <w:rPr>
                <w:rFonts w:hint="eastAsia"/>
                <w:color w:val="auto"/>
                <w:sz w:val="24"/>
                <w:szCs w:val="24"/>
                <w:highlight w:val="none"/>
                <w:lang w:val="en-US" w:eastAsia="zh-CN" w:bidi="ar"/>
              </w:rPr>
              <w:t>淋控水池</w:t>
            </w:r>
            <w:r>
              <w:rPr>
                <w:rFonts w:hint="eastAsia" w:ascii="Times New Roman" w:hAnsi="Times New Roman"/>
                <w:color w:val="auto"/>
                <w:sz w:val="24"/>
                <w:szCs w:val="24"/>
                <w:highlight w:val="none"/>
                <w:lang w:val="en-US" w:eastAsia="zh-CN" w:bidi="ar"/>
              </w:rPr>
              <w:t>的沉泥</w:t>
            </w:r>
            <w:r>
              <w:rPr>
                <w:rFonts w:hint="eastAsia"/>
                <w:color w:val="auto"/>
                <w:sz w:val="24"/>
                <w:szCs w:val="24"/>
                <w:highlight w:val="none"/>
                <w:lang w:val="en-US" w:eastAsia="zh-CN" w:bidi="ar"/>
              </w:rPr>
              <w:t>收集后直接返回湿煤泥库当做原料</w:t>
            </w:r>
            <w:r>
              <w:rPr>
                <w:rFonts w:hint="eastAsia" w:ascii="Times New Roman" w:hAnsi="Times New Roman"/>
                <w:color w:val="auto"/>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color w:val="auto"/>
                <w:sz w:val="24"/>
                <w:szCs w:val="24"/>
                <w:highlight w:val="none"/>
                <w:lang w:val="en-US" w:eastAsia="zh-CN" w:bidi="ar"/>
              </w:rPr>
            </w:pPr>
            <w:r>
              <w:rPr>
                <w:rFonts w:hint="eastAsia"/>
                <w:color w:val="auto"/>
                <w:sz w:val="24"/>
                <w:szCs w:val="24"/>
                <w:highlight w:val="none"/>
                <w:lang w:val="en-US" w:eastAsia="zh-CN" w:bidi="ar"/>
              </w:rPr>
              <w:t>（4）</w:t>
            </w:r>
            <w:r>
              <w:rPr>
                <w:rFonts w:hint="eastAsia" w:ascii="Times New Roman" w:hAnsi="Times New Roman"/>
                <w:color w:val="auto"/>
                <w:sz w:val="24"/>
                <w:szCs w:val="24"/>
                <w:highlight w:val="none"/>
                <w:lang w:val="en-US" w:eastAsia="zh-CN" w:bidi="ar"/>
              </w:rPr>
              <w:t>热风炉炉渣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color w:val="auto"/>
                <w:sz w:val="24"/>
                <w:szCs w:val="24"/>
                <w:highlight w:val="none"/>
                <w:lang w:val="en-US" w:eastAsia="zh-CN" w:bidi="ar"/>
              </w:rPr>
            </w:pPr>
            <w:r>
              <w:rPr>
                <w:rFonts w:hint="eastAsia" w:ascii="Times New Roman" w:hAnsi="Times New Roman"/>
                <w:color w:val="auto"/>
                <w:sz w:val="24"/>
                <w:szCs w:val="24"/>
                <w:highlight w:val="none"/>
                <w:lang w:val="en-US" w:eastAsia="zh-CN" w:bidi="ar"/>
              </w:rPr>
              <w:t>热风炉炉渣主要成分为钙镁等无机物，炉渣产生量约为</w:t>
            </w:r>
            <w:r>
              <w:rPr>
                <w:rFonts w:hint="eastAsia"/>
                <w:color w:val="auto"/>
                <w:sz w:val="24"/>
                <w:szCs w:val="24"/>
                <w:highlight w:val="none"/>
                <w:lang w:val="en-US" w:eastAsia="zh-CN" w:bidi="ar"/>
              </w:rPr>
              <w:t>1600</w:t>
            </w:r>
            <w:r>
              <w:rPr>
                <w:rFonts w:hint="eastAsia" w:ascii="Times New Roman" w:hAnsi="Times New Roman"/>
                <w:color w:val="auto"/>
                <w:sz w:val="24"/>
                <w:szCs w:val="24"/>
                <w:highlight w:val="none"/>
                <w:lang w:val="en-US" w:eastAsia="zh-CN" w:bidi="ar"/>
              </w:rPr>
              <w:t>t/a，收集后用于附近农田作肥料。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olor w:val="auto"/>
                <w:sz w:val="24"/>
                <w:szCs w:val="24"/>
                <w:highlight w:val="none"/>
                <w:lang w:val="en-US" w:eastAsia="zh-CN" w:bidi="ar"/>
              </w:rPr>
            </w:pPr>
            <w:r>
              <w:rPr>
                <w:rFonts w:hint="eastAsia" w:ascii="Times New Roman" w:hAnsi="Times New Roman"/>
                <w:color w:val="auto"/>
                <w:sz w:val="24"/>
                <w:szCs w:val="24"/>
                <w:highlight w:val="none"/>
                <w:lang w:val="en-US" w:eastAsia="zh-CN" w:bidi="ar"/>
              </w:rPr>
              <w:t>（</w:t>
            </w:r>
            <w:r>
              <w:rPr>
                <w:rFonts w:hint="eastAsia"/>
                <w:color w:val="auto"/>
                <w:sz w:val="24"/>
                <w:szCs w:val="24"/>
                <w:highlight w:val="none"/>
                <w:lang w:val="en-US" w:eastAsia="zh-CN" w:bidi="ar"/>
              </w:rPr>
              <w:t>5</w:t>
            </w:r>
            <w:r>
              <w:rPr>
                <w:rFonts w:hint="eastAsia" w:ascii="Times New Roman" w:hAnsi="Times New Roman"/>
                <w:color w:val="auto"/>
                <w:sz w:val="24"/>
                <w:szCs w:val="24"/>
                <w:highlight w:val="none"/>
                <w:lang w:val="en-US" w:eastAsia="zh-CN" w:bidi="ar"/>
              </w:rPr>
              <w:t>）</w:t>
            </w:r>
            <w:r>
              <w:rPr>
                <w:rFonts w:hint="default" w:ascii="Times New Roman" w:hAnsi="Times New Roman"/>
                <w:color w:val="auto"/>
                <w:sz w:val="24"/>
                <w:szCs w:val="24"/>
                <w:highlight w:val="none"/>
                <w:lang w:val="en-US" w:eastAsia="zh-CN" w:bidi="ar"/>
              </w:rPr>
              <w:t>生活垃圾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olor w:val="auto"/>
                <w:sz w:val="24"/>
                <w:szCs w:val="24"/>
                <w:highlight w:val="none"/>
                <w:lang w:val="en-US" w:eastAsia="zh-CN" w:bidi="ar"/>
              </w:rPr>
            </w:pPr>
            <w:r>
              <w:rPr>
                <w:rFonts w:hint="default" w:ascii="Times New Roman" w:hAnsi="Times New Roman"/>
                <w:color w:val="auto"/>
                <w:sz w:val="24"/>
                <w:szCs w:val="24"/>
                <w:highlight w:val="none"/>
                <w:lang w:val="en-US" w:eastAsia="zh-CN" w:bidi="ar"/>
              </w:rPr>
              <w:t>本项目每年产生的生活垃圾量约</w:t>
            </w:r>
            <w:r>
              <w:rPr>
                <w:rFonts w:hint="eastAsia"/>
                <w:color w:val="auto"/>
                <w:sz w:val="24"/>
                <w:szCs w:val="24"/>
                <w:highlight w:val="none"/>
                <w:lang w:val="en-US" w:eastAsia="zh-CN" w:bidi="ar"/>
              </w:rPr>
              <w:t>2.48</w:t>
            </w:r>
            <w:r>
              <w:rPr>
                <w:rFonts w:hint="default" w:ascii="Times New Roman" w:hAnsi="Times New Roman"/>
                <w:color w:val="auto"/>
                <w:sz w:val="24"/>
                <w:szCs w:val="24"/>
                <w:highlight w:val="none"/>
                <w:lang w:val="en-US" w:eastAsia="zh-CN" w:bidi="ar"/>
              </w:rPr>
              <w:t>t/a</w:t>
            </w:r>
            <w:r>
              <w:rPr>
                <w:rFonts w:hint="eastAsia"/>
                <w:color w:val="auto"/>
                <w:sz w:val="24"/>
                <w:szCs w:val="24"/>
                <w:highlight w:val="none"/>
                <w:lang w:val="en-US" w:eastAsia="zh-CN" w:bidi="ar"/>
              </w:rPr>
              <w:t>，由当地环卫部门定期清运</w:t>
            </w:r>
            <w:r>
              <w:rPr>
                <w:rFonts w:hint="default" w:ascii="Times New Roman" w:hAnsi="Times New Roman"/>
                <w:color w:val="auto"/>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bidi="ar"/>
              </w:rPr>
            </w:pPr>
            <w:r>
              <w:rPr>
                <w:rFonts w:hint="eastAsia"/>
                <w:color w:val="auto"/>
                <w:sz w:val="24"/>
                <w:szCs w:val="24"/>
                <w:highlight w:val="none"/>
                <w:lang w:val="en-US" w:eastAsia="zh-CN" w:bidi="ar"/>
              </w:rPr>
              <w:t>根据《固体废物鉴别标准 通则》6.1a规定：任何不需要修复和加工即可用于其原始用途的物质，或者在产生点经过修复和加工后满足国家、地方制定或行业通行的产品质量标准并且用于其原始用途的物质，不作为固体废物管理，因此沉泥固废和除尘灰不作为固废进行管理，其余均按相关固废要求进行处置。</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b/>
                <w:bCs/>
                <w:color w:val="auto"/>
                <w:sz w:val="24"/>
                <w:szCs w:val="24"/>
                <w:highlight w:val="none"/>
                <w:lang w:val="en-US" w:eastAsia="zh-CN" w:bidi="ar"/>
              </w:rPr>
            </w:pPr>
            <w:r>
              <w:rPr>
                <w:rFonts w:hint="eastAsia"/>
                <w:b/>
                <w:bCs/>
                <w:color w:val="auto"/>
                <w:sz w:val="24"/>
                <w:szCs w:val="24"/>
                <w:highlight w:val="none"/>
                <w:lang w:val="en-US" w:eastAsia="zh-CN" w:bidi="ar"/>
              </w:rPr>
              <w:t>4.2固体废物属性判定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bidi="ar"/>
              </w:rPr>
            </w:pPr>
            <w:r>
              <w:rPr>
                <w:rFonts w:hint="eastAsia"/>
                <w:color w:val="auto"/>
                <w:sz w:val="24"/>
                <w:szCs w:val="24"/>
                <w:highlight w:val="none"/>
                <w:lang w:val="en-US" w:eastAsia="zh-CN" w:bidi="ar"/>
              </w:rPr>
              <w:t>根据《中华人民共和国固体废物污染环境防治法》的规定，判断建设项目生产过程中产生的固体废物的类别，具体固体废物的产生情况及属性情况见下表。</w:t>
            </w:r>
          </w:p>
          <w:p>
            <w:pPr>
              <w:pStyle w:val="39"/>
              <w:bidi w:val="0"/>
              <w:rPr>
                <w:rFonts w:hint="default" w:ascii="Times New Roman" w:hAnsi="Times New Roman" w:eastAsia="宋体" w:cs="宋体"/>
                <w:b/>
                <w:bCs/>
                <w:color w:val="auto"/>
                <w:sz w:val="24"/>
                <w:szCs w:val="24"/>
                <w:highlight w:val="none"/>
                <w:lang w:val="en-US" w:eastAsia="zh-CN" w:bidi="ar"/>
              </w:rPr>
            </w:pPr>
            <w:r>
              <w:rPr>
                <w:rFonts w:hint="default" w:ascii="Times New Roman" w:hAnsi="Times New Roman" w:eastAsia="宋体" w:cs="宋体"/>
                <w:b/>
                <w:bCs/>
                <w:color w:val="auto"/>
                <w:sz w:val="24"/>
                <w:szCs w:val="24"/>
                <w:highlight w:val="none"/>
                <w:lang w:val="en-US" w:eastAsia="zh-CN" w:bidi="ar"/>
              </w:rPr>
              <w:t>表</w:t>
            </w:r>
            <w:r>
              <w:rPr>
                <w:rFonts w:hint="eastAsia" w:eastAsia="宋体"/>
                <w:b/>
                <w:color w:val="auto"/>
                <w:spacing w:val="0"/>
                <w:sz w:val="24"/>
                <w:szCs w:val="24"/>
                <w:highlight w:val="none"/>
                <w:lang w:val="en-US" w:eastAsia="zh-CN"/>
              </w:rPr>
              <w:t>4</w:t>
            </w:r>
            <w:r>
              <w:rPr>
                <w:rFonts w:hint="eastAsia" w:cs="Times New Roman" w:eastAsiaTheme="majorEastAsia"/>
                <w:b/>
                <w:bCs/>
                <w:color w:val="auto"/>
                <w:sz w:val="24"/>
                <w:szCs w:val="24"/>
                <w:highlight w:val="none"/>
                <w:lang w:val="en-US" w:eastAsia="zh-CN"/>
              </w:rPr>
              <w:t>-9</w:t>
            </w:r>
            <w:r>
              <w:rPr>
                <w:rFonts w:hint="default" w:ascii="Times New Roman" w:hAnsi="Times New Roman" w:eastAsia="宋体" w:cs="宋体"/>
                <w:b/>
                <w:bCs/>
                <w:color w:val="auto"/>
                <w:sz w:val="24"/>
                <w:szCs w:val="24"/>
                <w:highlight w:val="none"/>
                <w:lang w:val="en-US" w:eastAsia="zh-CN" w:bidi="ar"/>
              </w:rPr>
              <w:t xml:space="preserve">    项目固废产生情况汇总表</w:t>
            </w:r>
          </w:p>
          <w:tbl>
            <w:tblPr>
              <w:tblStyle w:val="22"/>
              <w:tblW w:w="499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51"/>
              <w:gridCol w:w="946"/>
              <w:gridCol w:w="571"/>
              <w:gridCol w:w="1107"/>
              <w:gridCol w:w="538"/>
              <w:gridCol w:w="1565"/>
              <w:gridCol w:w="525"/>
              <w:gridCol w:w="691"/>
              <w:gridCol w:w="1121"/>
              <w:gridCol w:w="8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序号</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固废名称</w:t>
                  </w:r>
                </w:p>
              </w:tc>
              <w:tc>
                <w:tcPr>
                  <w:tcW w:w="34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属性</w:t>
                  </w:r>
                </w:p>
              </w:tc>
              <w:tc>
                <w:tcPr>
                  <w:tcW w:w="66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rPr>
                    <w:t>产生</w:t>
                  </w:r>
                  <w:r>
                    <w:rPr>
                      <w:rFonts w:hint="default" w:ascii="Times New Roman" w:hAnsi="Times New Roman" w:eastAsia="宋体" w:cs="Times New Roman"/>
                      <w:b/>
                      <w:bCs/>
                      <w:color w:val="auto"/>
                      <w:sz w:val="21"/>
                      <w:szCs w:val="21"/>
                      <w:highlight w:val="none"/>
                      <w:lang w:eastAsia="zh-CN"/>
                    </w:rPr>
                    <w:t>环节</w:t>
                  </w:r>
                </w:p>
              </w:tc>
              <w:tc>
                <w:tcPr>
                  <w:tcW w:w="3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lang w:eastAsia="zh-CN"/>
                    </w:rPr>
                    <w:t>物理性状</w:t>
                  </w:r>
                </w:p>
              </w:tc>
              <w:tc>
                <w:tcPr>
                  <w:tcW w:w="94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rPr>
                    <w:t>主要</w:t>
                  </w:r>
                  <w:r>
                    <w:rPr>
                      <w:rFonts w:hint="default" w:ascii="Times New Roman" w:hAnsi="Times New Roman" w:eastAsia="宋体" w:cs="Times New Roman"/>
                      <w:b/>
                      <w:bCs/>
                      <w:color w:val="auto"/>
                      <w:sz w:val="21"/>
                      <w:szCs w:val="21"/>
                      <w:highlight w:val="none"/>
                      <w:lang w:eastAsia="zh-CN"/>
                    </w:rPr>
                    <w:t>有毒有害物质名称</w:t>
                  </w:r>
                </w:p>
              </w:tc>
              <w:tc>
                <w:tcPr>
                  <w:tcW w:w="3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w:t>
                  </w:r>
                </w:p>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特性</w:t>
                  </w:r>
                </w:p>
              </w:tc>
              <w:tc>
                <w:tcPr>
                  <w:tcW w:w="4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w:t>
                  </w:r>
                </w:p>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类别</w:t>
                  </w:r>
                </w:p>
              </w:tc>
              <w:tc>
                <w:tcPr>
                  <w:tcW w:w="67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废物代码</w:t>
                  </w:r>
                </w:p>
              </w:tc>
              <w:tc>
                <w:tcPr>
                  <w:tcW w:w="48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en-US"/>
                    </w:rPr>
                    <w:t>生活垃圾</w:t>
                  </w:r>
                </w:p>
              </w:tc>
              <w:tc>
                <w:tcPr>
                  <w:tcW w:w="34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生活</w:t>
                  </w:r>
                </w:p>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en-US"/>
                    </w:rPr>
                    <w:t>垃圾</w:t>
                  </w:r>
                </w:p>
              </w:tc>
              <w:tc>
                <w:tcPr>
                  <w:tcW w:w="66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en-US"/>
                    </w:rPr>
                    <w:t>职工生活</w:t>
                  </w:r>
                </w:p>
              </w:tc>
              <w:tc>
                <w:tcPr>
                  <w:tcW w:w="3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en-US"/>
                    </w:rPr>
                    <w:t>固</w:t>
                  </w:r>
                </w:p>
              </w:tc>
              <w:tc>
                <w:tcPr>
                  <w:tcW w:w="94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rPr>
                    <w:t>/</w:t>
                  </w:r>
                </w:p>
              </w:tc>
              <w:tc>
                <w:tcPr>
                  <w:tcW w:w="4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rPr>
                    <w:t>/</w:t>
                  </w:r>
                </w:p>
              </w:tc>
              <w:tc>
                <w:tcPr>
                  <w:tcW w:w="67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rPr>
                    <w:t>/</w:t>
                  </w:r>
                </w:p>
              </w:tc>
              <w:tc>
                <w:tcPr>
                  <w:tcW w:w="48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2.48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废机油</w:t>
                  </w:r>
                </w:p>
              </w:tc>
              <w:tc>
                <w:tcPr>
                  <w:tcW w:w="343"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1"/>
                      <w:szCs w:val="21"/>
                      <w:highlight w:val="none"/>
                      <w:lang w:eastAsia="zh-CN"/>
                    </w:rPr>
                    <w:t>危险废物</w:t>
                  </w:r>
                </w:p>
              </w:tc>
              <w:tc>
                <w:tcPr>
                  <w:tcW w:w="66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zh-CN"/>
                    </w:rPr>
                    <w:t>设备维护</w:t>
                  </w:r>
                </w:p>
              </w:tc>
              <w:tc>
                <w:tcPr>
                  <w:tcW w:w="3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液</w:t>
                  </w:r>
                </w:p>
              </w:tc>
              <w:tc>
                <w:tcPr>
                  <w:tcW w:w="94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zh-CN"/>
                    </w:rPr>
                    <w:t>油类物质</w:t>
                  </w:r>
                </w:p>
              </w:tc>
              <w:tc>
                <w:tcPr>
                  <w:tcW w:w="3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T，I</w:t>
                  </w:r>
                </w:p>
              </w:tc>
              <w:tc>
                <w:tcPr>
                  <w:tcW w:w="4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rPr>
                    <w:t>HW08</w:t>
                  </w:r>
                </w:p>
              </w:tc>
              <w:tc>
                <w:tcPr>
                  <w:tcW w:w="67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rPr>
                    <w:t>900-2</w:t>
                  </w: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-08</w:t>
                  </w:r>
                </w:p>
              </w:tc>
              <w:tc>
                <w:tcPr>
                  <w:tcW w:w="48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废机油</w:t>
                  </w:r>
                  <w:r>
                    <w:rPr>
                      <w:rFonts w:hint="default" w:ascii="Times New Roman" w:hAnsi="Times New Roman" w:eastAsia="宋体" w:cs="Times New Roman"/>
                      <w:color w:val="auto"/>
                      <w:sz w:val="21"/>
                      <w:szCs w:val="21"/>
                      <w:highlight w:val="none"/>
                      <w:lang w:val="en-US" w:eastAsia="zh-CN"/>
                    </w:rPr>
                    <w:t>桶</w:t>
                  </w:r>
                </w:p>
              </w:tc>
              <w:tc>
                <w:tcPr>
                  <w:tcW w:w="343"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en-US" w:bidi="ar-SA"/>
                    </w:rPr>
                  </w:pPr>
                </w:p>
              </w:tc>
              <w:tc>
                <w:tcPr>
                  <w:tcW w:w="66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zh-CN"/>
                    </w:rPr>
                    <w:t>设备维护</w:t>
                  </w:r>
                </w:p>
              </w:tc>
              <w:tc>
                <w:tcPr>
                  <w:tcW w:w="3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en-US"/>
                    </w:rPr>
                    <w:t>固</w:t>
                  </w:r>
                </w:p>
              </w:tc>
              <w:tc>
                <w:tcPr>
                  <w:tcW w:w="94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eastAsia="zh-CN"/>
                    </w:rPr>
                    <w:t>油类物质</w:t>
                  </w:r>
                </w:p>
              </w:tc>
              <w:tc>
                <w:tcPr>
                  <w:tcW w:w="3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T，I</w:t>
                  </w:r>
                </w:p>
              </w:tc>
              <w:tc>
                <w:tcPr>
                  <w:tcW w:w="4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rPr>
                    <w:t>HW08</w:t>
                  </w:r>
                </w:p>
              </w:tc>
              <w:tc>
                <w:tcPr>
                  <w:tcW w:w="67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48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1"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56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热风炉炉渣</w:t>
                  </w:r>
                </w:p>
              </w:tc>
              <w:tc>
                <w:tcPr>
                  <w:tcW w:w="343" w:type="pct"/>
                  <w:tcBorders>
                    <w:bottom w:val="single" w:color="auto" w:sz="4" w:space="0"/>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一般固废</w:t>
                  </w:r>
                </w:p>
              </w:tc>
              <w:tc>
                <w:tcPr>
                  <w:tcW w:w="66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生物质燃料燃烧</w:t>
                  </w:r>
                </w:p>
              </w:tc>
              <w:tc>
                <w:tcPr>
                  <w:tcW w:w="323"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固</w:t>
                  </w:r>
                </w:p>
              </w:tc>
              <w:tc>
                <w:tcPr>
                  <w:tcW w:w="940"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15"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15" w:type="pct"/>
                  <w:tcBorders>
                    <w:tl2br w:val="nil"/>
                    <w:tr2bl w:val="nil"/>
                  </w:tcBorders>
                  <w:noWrap w:val="0"/>
                  <w:vAlign w:val="center"/>
                </w:tcPr>
                <w:p>
                  <w:pPr>
                    <w:pStyle w:val="53"/>
                    <w:bidi w:val="0"/>
                    <w:ind w:firstLine="0" w:firstLineChars="0"/>
                    <w:rPr>
                      <w:rFonts w:hint="default" w:ascii="Times New Roman" w:hAnsi="Times New Roman" w:eastAsia="宋体" w:cs="Times New Roman"/>
                      <w:kern w:val="2"/>
                      <w:sz w:val="21"/>
                      <w:szCs w:val="21"/>
                      <w:highlight w:val="none"/>
                      <w:lang w:val="en-US" w:eastAsia="zh-CN" w:bidi="ar-SA"/>
                    </w:rPr>
                  </w:pPr>
                  <w:r>
                    <w:rPr>
                      <w:rFonts w:hint="eastAsia"/>
                      <w:highlight w:val="none"/>
                      <w:lang w:val="en-US" w:eastAsia="zh-CN"/>
                    </w:rPr>
                    <w:t>99</w:t>
                  </w:r>
                </w:p>
              </w:tc>
              <w:tc>
                <w:tcPr>
                  <w:tcW w:w="673" w:type="pct"/>
                  <w:tcBorders>
                    <w:tl2br w:val="nil"/>
                    <w:tr2bl w:val="nil"/>
                  </w:tcBorders>
                  <w:noWrap w:val="0"/>
                  <w:vAlign w:val="center"/>
                </w:tcPr>
                <w:p>
                  <w:pPr>
                    <w:pStyle w:val="53"/>
                    <w:bidi w:val="0"/>
                    <w:ind w:firstLine="0" w:firstLineChars="0"/>
                    <w:rPr>
                      <w:rFonts w:hint="default" w:ascii="Times New Roman" w:hAnsi="Times New Roman" w:eastAsia="宋体" w:cs="Times New Roman"/>
                      <w:kern w:val="2"/>
                      <w:sz w:val="21"/>
                      <w:szCs w:val="21"/>
                      <w:highlight w:val="none"/>
                      <w:lang w:val="en-US" w:eastAsia="zh-CN" w:bidi="ar-SA"/>
                    </w:rPr>
                  </w:pPr>
                  <w:r>
                    <w:rPr>
                      <w:rFonts w:hint="eastAsia"/>
                      <w:highlight w:val="none"/>
                      <w:lang w:val="en-US" w:eastAsia="zh-CN"/>
                    </w:rPr>
                    <w:t>900-999-99</w:t>
                  </w:r>
                </w:p>
              </w:tc>
              <w:tc>
                <w:tcPr>
                  <w:tcW w:w="482"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1600</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4.3环境管理要求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（1）生活垃圾设置垃圾桶，集中收集后运至环卫部门指定地点。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（2）热风炉炉渣用于附近农田作肥料。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废机油</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废机油</w:t>
            </w:r>
            <w:r>
              <w:rPr>
                <w:rFonts w:hint="default" w:ascii="Times New Roman" w:hAnsi="Times New Roman" w:cs="Times New Roman"/>
                <w:color w:val="auto"/>
                <w:sz w:val="24"/>
                <w:szCs w:val="24"/>
                <w:highlight w:val="none"/>
                <w:lang w:val="en-US" w:eastAsia="zh-CN"/>
              </w:rPr>
              <w:t>桶分类收集暂存</w:t>
            </w:r>
            <w:r>
              <w:rPr>
                <w:rFonts w:hint="eastAsia" w:cs="Times New Roman"/>
                <w:color w:val="auto"/>
                <w:sz w:val="24"/>
                <w:szCs w:val="24"/>
                <w:highlight w:val="none"/>
                <w:lang w:val="en-US" w:eastAsia="zh-CN"/>
              </w:rPr>
              <w:t>于依托的</w:t>
            </w:r>
            <w:r>
              <w:rPr>
                <w:rFonts w:hint="default" w:ascii="Times New Roman" w:hAnsi="Times New Roman" w:cs="Times New Roman"/>
                <w:color w:val="auto"/>
                <w:sz w:val="24"/>
                <w:szCs w:val="24"/>
                <w:highlight w:val="none"/>
                <w:lang w:val="en-US" w:eastAsia="zh-CN"/>
              </w:rPr>
              <w:t>危险废物暂存间，危废在暂存和转移过程中要严格执行《危险废物贮存污染控制标准》（GB18597-20</w:t>
            </w:r>
            <w:r>
              <w:rPr>
                <w:rFonts w:hint="eastAsia" w:cs="Times New Roman"/>
                <w:color w:val="auto"/>
                <w:sz w:val="24"/>
                <w:szCs w:val="24"/>
                <w:highlight w:val="none"/>
                <w:lang w:val="en-US" w:eastAsia="zh-CN"/>
              </w:rPr>
              <w:t>23</w:t>
            </w:r>
            <w:r>
              <w:rPr>
                <w:rFonts w:hint="default" w:ascii="Times New Roman" w:hAnsi="Times New Roman" w:cs="Times New Roman"/>
                <w:color w:val="auto"/>
                <w:sz w:val="24"/>
                <w:szCs w:val="24"/>
                <w:highlight w:val="none"/>
                <w:lang w:val="en-US" w:eastAsia="zh-CN"/>
              </w:rPr>
              <w:t>）及《危险废物转移联单管理办法》（国家环境保护总局令 第5号）中有关危废贮存和转移联单制度要求。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lang w:val="en-US" w:eastAsia="zh-CN"/>
              </w:rPr>
              <w:t>在采取本报告提出的相关措施后，项目产生的固废对区域环境影响较小。</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5、地下水、土壤</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5.1</w:t>
            </w:r>
            <w:r>
              <w:rPr>
                <w:rFonts w:hint="default" w:ascii="Times New Roman" w:hAnsi="Times New Roman" w:eastAsia="宋体" w:cs="Times New Roman"/>
                <w:b/>
                <w:bCs/>
                <w:color w:val="auto"/>
                <w:sz w:val="24"/>
                <w:szCs w:val="24"/>
                <w:highlight w:val="none"/>
                <w:lang w:val="en-US" w:eastAsia="zh-CN"/>
              </w:rPr>
              <w:t>地下水、土壤环境影响识别</w:t>
            </w:r>
          </w:p>
          <w:p>
            <w:pPr>
              <w:adjustRightInd w:val="0"/>
              <w:snapToGrid w:val="0"/>
              <w:spacing w:line="500" w:lineRule="exact"/>
              <w:ind w:firstLine="480" w:firstLineChars="200"/>
              <w:jc w:val="left"/>
              <w:rPr>
                <w:rFonts w:hint="eastAsia"/>
                <w:highlight w:val="none"/>
              </w:rPr>
            </w:pPr>
            <w:r>
              <w:rPr>
                <w:rFonts w:hint="eastAsia"/>
                <w:highlight w:val="none"/>
              </w:rPr>
              <w:t>根据本项目特点，本项目对地下水、土壤环境产生威胁的污染源主要为</w:t>
            </w:r>
            <w:r>
              <w:rPr>
                <w:rFonts w:hint="eastAsia"/>
                <w:highlight w:val="none"/>
                <w:lang w:eastAsia="zh-CN"/>
              </w:rPr>
              <w:t>淋控水池等</w:t>
            </w:r>
            <w:r>
              <w:rPr>
                <w:rFonts w:hint="eastAsia"/>
                <w:highlight w:val="none"/>
              </w:rPr>
              <w:t>，对地下水、土壤的污染途径主要来自池体的破损，主要污染因子为SS。本项目地下水、土壤环境影响途径识别情况见下表。</w:t>
            </w:r>
          </w:p>
          <w:p>
            <w:pPr>
              <w:widowControl w:val="0"/>
              <w:bidi w:val="0"/>
              <w:adjustRightInd w:val="0"/>
              <w:snapToGrid w:val="0"/>
              <w:spacing w:before="50" w:beforeLines="50" w:line="240" w:lineRule="auto"/>
              <w:ind w:firstLine="0" w:firstLineChars="0"/>
              <w:jc w:val="center"/>
              <w:rPr>
                <w:rFonts w:hint="eastAsia" w:ascii="Times New Roman" w:hAnsi="Times New Roman" w:eastAsia="宋体" w:cs="Times New Roman"/>
                <w:b/>
                <w:bCs/>
                <w:color w:val="auto"/>
                <w:kern w:val="0"/>
                <w:sz w:val="24"/>
                <w:szCs w:val="24"/>
                <w:highlight w:val="none"/>
                <w:lang w:val="zh-CN" w:eastAsia="zh-CN" w:bidi="ar-SA"/>
              </w:rPr>
            </w:pPr>
          </w:p>
          <w:p>
            <w:pPr>
              <w:widowControl w:val="0"/>
              <w:bidi w:val="0"/>
              <w:adjustRightInd w:val="0"/>
              <w:snapToGrid w:val="0"/>
              <w:spacing w:before="50" w:beforeLines="50" w:line="240" w:lineRule="auto"/>
              <w:ind w:firstLine="0" w:firstLineChars="0"/>
              <w:jc w:val="center"/>
              <w:rPr>
                <w:rFonts w:hint="eastAsia" w:ascii="Times New Roman" w:hAnsi="Times New Roman" w:eastAsia="宋体" w:cs="Times New Roman"/>
                <w:b/>
                <w:bCs/>
                <w:color w:val="auto"/>
                <w:kern w:val="0"/>
                <w:sz w:val="24"/>
                <w:szCs w:val="24"/>
                <w:highlight w:val="none"/>
                <w:lang w:val="zh-CN" w:eastAsia="zh-CN" w:bidi="ar-SA"/>
              </w:rPr>
            </w:pPr>
          </w:p>
          <w:p>
            <w:pPr>
              <w:widowControl w:val="0"/>
              <w:bidi w:val="0"/>
              <w:adjustRightInd w:val="0"/>
              <w:snapToGrid w:val="0"/>
              <w:spacing w:before="50" w:beforeLines="50" w:line="240" w:lineRule="auto"/>
              <w:ind w:firstLine="0" w:firstLineChars="0"/>
              <w:jc w:val="center"/>
              <w:rPr>
                <w:rFonts w:hint="eastAsia" w:ascii="Times New Roman" w:hAnsi="Times New Roman" w:eastAsia="宋体" w:cs="Times New Roman"/>
                <w:b/>
                <w:bCs/>
                <w:color w:val="auto"/>
                <w:kern w:val="0"/>
                <w:sz w:val="24"/>
                <w:szCs w:val="24"/>
                <w:highlight w:val="none"/>
                <w:lang w:val="zh-CN" w:eastAsia="zh-CN" w:bidi="ar-SA"/>
              </w:rPr>
            </w:pPr>
            <w:r>
              <w:rPr>
                <w:rFonts w:hint="eastAsia" w:ascii="Times New Roman" w:hAnsi="Times New Roman" w:eastAsia="宋体" w:cs="Times New Roman"/>
                <w:b/>
                <w:bCs/>
                <w:color w:val="auto"/>
                <w:kern w:val="0"/>
                <w:sz w:val="24"/>
                <w:szCs w:val="24"/>
                <w:highlight w:val="none"/>
                <w:lang w:val="zh-CN" w:eastAsia="zh-CN" w:bidi="ar-SA"/>
              </w:rPr>
              <w:t>表4-</w:t>
            </w:r>
            <w:r>
              <w:rPr>
                <w:rFonts w:hint="eastAsia" w:cs="Times New Roman"/>
                <w:b/>
                <w:bCs/>
                <w:color w:val="auto"/>
                <w:kern w:val="0"/>
                <w:sz w:val="24"/>
                <w:szCs w:val="24"/>
                <w:highlight w:val="none"/>
                <w:lang w:val="en-US" w:eastAsia="zh-CN" w:bidi="ar-SA"/>
              </w:rPr>
              <w:t>10</w:t>
            </w:r>
            <w:r>
              <w:rPr>
                <w:rFonts w:hint="eastAsia" w:ascii="Times New Roman" w:hAnsi="Times New Roman" w:eastAsia="宋体" w:cs="Times New Roman"/>
                <w:b/>
                <w:bCs/>
                <w:color w:val="auto"/>
                <w:kern w:val="0"/>
                <w:sz w:val="24"/>
                <w:szCs w:val="24"/>
                <w:highlight w:val="none"/>
                <w:lang w:val="zh-CN" w:eastAsia="zh-CN" w:bidi="ar-SA"/>
              </w:rPr>
              <w:t xml:space="preserve">     建设项目土壤环境影响类型与影响途径表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1667"/>
              <w:gridCol w:w="1668"/>
              <w:gridCol w:w="1670"/>
              <w:gridCol w:w="1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1" w:type="dxa"/>
                  <w:noWrap w:val="0"/>
                  <w:vAlign w:val="top"/>
                </w:tcPr>
                <w:p>
                  <w:pPr>
                    <w:pStyle w:val="53"/>
                    <w:rPr>
                      <w:b/>
                      <w:bCs/>
                      <w:highlight w:val="none"/>
                    </w:rPr>
                  </w:pPr>
                  <w:r>
                    <w:rPr>
                      <w:b/>
                      <w:bCs/>
                      <w:highlight w:val="none"/>
                    </w:rPr>
                    <w:t>不同时段</w:t>
                  </w:r>
                </w:p>
              </w:tc>
              <w:tc>
                <w:tcPr>
                  <w:tcW w:w="1642" w:type="dxa"/>
                  <w:noWrap w:val="0"/>
                  <w:vAlign w:val="top"/>
                </w:tcPr>
                <w:p>
                  <w:pPr>
                    <w:pStyle w:val="53"/>
                    <w:rPr>
                      <w:b/>
                      <w:bCs/>
                      <w:highlight w:val="none"/>
                    </w:rPr>
                  </w:pPr>
                  <w:r>
                    <w:rPr>
                      <w:b/>
                      <w:bCs/>
                      <w:highlight w:val="none"/>
                    </w:rPr>
                    <w:t>大气沉降</w:t>
                  </w:r>
                </w:p>
              </w:tc>
              <w:tc>
                <w:tcPr>
                  <w:tcW w:w="1642" w:type="dxa"/>
                  <w:noWrap w:val="0"/>
                  <w:vAlign w:val="top"/>
                </w:tcPr>
                <w:p>
                  <w:pPr>
                    <w:pStyle w:val="53"/>
                    <w:rPr>
                      <w:b/>
                      <w:bCs/>
                      <w:highlight w:val="none"/>
                    </w:rPr>
                  </w:pPr>
                  <w:r>
                    <w:rPr>
                      <w:b/>
                      <w:bCs/>
                      <w:highlight w:val="none"/>
                    </w:rPr>
                    <w:t>地面漫流</w:t>
                  </w:r>
                </w:p>
              </w:tc>
              <w:tc>
                <w:tcPr>
                  <w:tcW w:w="1644" w:type="dxa"/>
                  <w:noWrap w:val="0"/>
                  <w:vAlign w:val="top"/>
                </w:tcPr>
                <w:p>
                  <w:pPr>
                    <w:pStyle w:val="53"/>
                    <w:rPr>
                      <w:b/>
                      <w:bCs/>
                      <w:highlight w:val="none"/>
                    </w:rPr>
                  </w:pPr>
                  <w:r>
                    <w:rPr>
                      <w:b/>
                      <w:bCs/>
                      <w:highlight w:val="none"/>
                    </w:rPr>
                    <w:t>垂直入渗</w:t>
                  </w:r>
                </w:p>
              </w:tc>
              <w:tc>
                <w:tcPr>
                  <w:tcW w:w="1649" w:type="dxa"/>
                  <w:noWrap w:val="0"/>
                  <w:vAlign w:val="top"/>
                </w:tcPr>
                <w:p>
                  <w:pPr>
                    <w:pStyle w:val="53"/>
                    <w:rPr>
                      <w:b/>
                      <w:bCs/>
                      <w:highlight w:val="none"/>
                    </w:rPr>
                  </w:pPr>
                  <w:r>
                    <w:rPr>
                      <w:b/>
                      <w:bCs/>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1" w:type="dxa"/>
                  <w:noWrap w:val="0"/>
                  <w:vAlign w:val="top"/>
                </w:tcPr>
                <w:p>
                  <w:pPr>
                    <w:pStyle w:val="53"/>
                    <w:rPr>
                      <w:highlight w:val="none"/>
                    </w:rPr>
                  </w:pPr>
                  <w:r>
                    <w:rPr>
                      <w:highlight w:val="none"/>
                    </w:rPr>
                    <w:t>建设期</w:t>
                  </w:r>
                </w:p>
              </w:tc>
              <w:tc>
                <w:tcPr>
                  <w:tcW w:w="1642" w:type="dxa"/>
                  <w:noWrap w:val="0"/>
                  <w:vAlign w:val="top"/>
                </w:tcPr>
                <w:p>
                  <w:pPr>
                    <w:pStyle w:val="53"/>
                    <w:rPr>
                      <w:highlight w:val="none"/>
                    </w:rPr>
                  </w:pPr>
                </w:p>
              </w:tc>
              <w:tc>
                <w:tcPr>
                  <w:tcW w:w="1642" w:type="dxa"/>
                  <w:noWrap w:val="0"/>
                  <w:vAlign w:val="top"/>
                </w:tcPr>
                <w:p>
                  <w:pPr>
                    <w:pStyle w:val="53"/>
                    <w:rPr>
                      <w:highlight w:val="none"/>
                    </w:rPr>
                  </w:pPr>
                </w:p>
              </w:tc>
              <w:tc>
                <w:tcPr>
                  <w:tcW w:w="1644" w:type="dxa"/>
                  <w:noWrap w:val="0"/>
                  <w:vAlign w:val="top"/>
                </w:tcPr>
                <w:p>
                  <w:pPr>
                    <w:pStyle w:val="53"/>
                    <w:rPr>
                      <w:highlight w:val="none"/>
                    </w:rPr>
                  </w:pPr>
                </w:p>
              </w:tc>
              <w:tc>
                <w:tcPr>
                  <w:tcW w:w="1649" w:type="dxa"/>
                  <w:noWrap w:val="0"/>
                  <w:vAlign w:val="top"/>
                </w:tcPr>
                <w:p>
                  <w:pPr>
                    <w:pStyle w:val="53"/>
                    <w:rPr>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1" w:type="dxa"/>
                  <w:noWrap w:val="0"/>
                  <w:vAlign w:val="top"/>
                </w:tcPr>
                <w:p>
                  <w:pPr>
                    <w:pStyle w:val="53"/>
                    <w:rPr>
                      <w:highlight w:val="none"/>
                    </w:rPr>
                  </w:pPr>
                  <w:r>
                    <w:rPr>
                      <w:highlight w:val="none"/>
                    </w:rPr>
                    <w:t>运营期</w:t>
                  </w:r>
                </w:p>
              </w:tc>
              <w:tc>
                <w:tcPr>
                  <w:tcW w:w="1642" w:type="dxa"/>
                  <w:noWrap w:val="0"/>
                  <w:vAlign w:val="top"/>
                </w:tcPr>
                <w:p>
                  <w:pPr>
                    <w:pStyle w:val="53"/>
                    <w:rPr>
                      <w:highlight w:val="none"/>
                    </w:rPr>
                  </w:pPr>
                </w:p>
              </w:tc>
              <w:tc>
                <w:tcPr>
                  <w:tcW w:w="1642" w:type="dxa"/>
                  <w:noWrap w:val="0"/>
                  <w:vAlign w:val="top"/>
                </w:tcPr>
                <w:p>
                  <w:pPr>
                    <w:pStyle w:val="53"/>
                    <w:rPr>
                      <w:highlight w:val="none"/>
                    </w:rPr>
                  </w:pPr>
                </w:p>
              </w:tc>
              <w:tc>
                <w:tcPr>
                  <w:tcW w:w="1644" w:type="dxa"/>
                  <w:noWrap w:val="0"/>
                  <w:vAlign w:val="top"/>
                </w:tcPr>
                <w:p>
                  <w:pPr>
                    <w:pStyle w:val="53"/>
                    <w:rPr>
                      <w:highlight w:val="none"/>
                    </w:rPr>
                  </w:pPr>
                  <w:r>
                    <w:rPr>
                      <w:rFonts w:hint="eastAsia"/>
                      <w:highlight w:val="none"/>
                    </w:rPr>
                    <w:t>√</w:t>
                  </w:r>
                </w:p>
              </w:tc>
              <w:tc>
                <w:tcPr>
                  <w:tcW w:w="1649" w:type="dxa"/>
                  <w:noWrap w:val="0"/>
                  <w:vAlign w:val="top"/>
                </w:tcPr>
                <w:p>
                  <w:pPr>
                    <w:pStyle w:val="53"/>
                    <w:rPr>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18" w:type="dxa"/>
                  <w:gridSpan w:val="5"/>
                  <w:noWrap w:val="0"/>
                  <w:vAlign w:val="top"/>
                </w:tcPr>
                <w:p>
                  <w:pPr>
                    <w:pStyle w:val="53"/>
                    <w:jc w:val="left"/>
                    <w:rPr>
                      <w:highlight w:val="none"/>
                    </w:rPr>
                  </w:pPr>
                  <w:r>
                    <w:rPr>
                      <w:rFonts w:hint="eastAsia"/>
                      <w:highlight w:val="none"/>
                    </w:rPr>
                    <w:t>备注：在可能产生的土壤环境影响类型处打“√”。</w:t>
                  </w:r>
                </w:p>
              </w:tc>
            </w:tr>
          </w:tbl>
          <w:p>
            <w:pPr>
              <w:adjustRightInd w:val="0"/>
              <w:snapToGrid w:val="0"/>
              <w:spacing w:line="500" w:lineRule="exact"/>
              <w:ind w:firstLine="482" w:firstLineChars="200"/>
              <w:jc w:val="left"/>
              <w:rPr>
                <w:rFonts w:hint="eastAsia"/>
                <w:b/>
                <w:bCs/>
                <w:highlight w:val="none"/>
              </w:rPr>
            </w:pPr>
            <w:r>
              <w:rPr>
                <w:rFonts w:hint="eastAsia"/>
                <w:b/>
                <w:bCs/>
                <w:highlight w:val="none"/>
                <w:lang w:val="en-US" w:eastAsia="zh-CN"/>
              </w:rPr>
              <w:t>5.2</w:t>
            </w:r>
            <w:r>
              <w:rPr>
                <w:rFonts w:hint="eastAsia"/>
                <w:b/>
                <w:bCs/>
                <w:highlight w:val="none"/>
              </w:rPr>
              <w:t>、地下水、土壤污染防治措施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4"/>
                <w:highlight w:val="none"/>
              </w:rPr>
            </w:pPr>
            <w:r>
              <w:rPr>
                <w:rFonts w:hint="eastAsia"/>
                <w:highlight w:val="none"/>
              </w:rPr>
              <w:t>根据</w:t>
            </w:r>
            <w:r>
              <w:rPr>
                <w:highlight w:val="none"/>
              </w:rPr>
              <w:t>项目特点，</w:t>
            </w:r>
            <w:r>
              <w:rPr>
                <w:rFonts w:hint="eastAsia" w:ascii="Times New Roman" w:hAnsi="Times New Roman" w:cs="Times New Roman"/>
                <w:color w:val="auto"/>
                <w:sz w:val="24"/>
                <w:szCs w:val="24"/>
                <w:highlight w:val="none"/>
                <w:lang w:eastAsia="zh-CN"/>
              </w:rPr>
              <w:t>废水</w:t>
            </w:r>
            <w:r>
              <w:rPr>
                <w:rFonts w:hint="default" w:ascii="Times New Roman" w:hAnsi="Times New Roman" w:cs="Times New Roman"/>
                <w:color w:val="auto"/>
                <w:sz w:val="24"/>
                <w:szCs w:val="24"/>
                <w:highlight w:val="none"/>
                <w:lang w:eastAsia="zh-CN"/>
              </w:rPr>
              <w:t>可能</w:t>
            </w:r>
            <w:r>
              <w:rPr>
                <w:rFonts w:hint="default" w:ascii="Times New Roman" w:hAnsi="Times New Roman" w:cs="Times New Roman"/>
                <w:color w:val="auto"/>
                <w:sz w:val="24"/>
                <w:szCs w:val="24"/>
                <w:highlight w:val="none"/>
              </w:rPr>
              <w:t>造成垂直入渗污染</w:t>
            </w:r>
            <w:r>
              <w:rPr>
                <w:rFonts w:hint="default" w:ascii="Times New Roman" w:hAnsi="Times New Roman" w:cs="Times New Roman"/>
                <w:color w:val="auto"/>
                <w:sz w:val="24"/>
                <w:szCs w:val="24"/>
                <w:highlight w:val="none"/>
                <w:lang w:eastAsia="zh-CN"/>
              </w:rPr>
              <w:t>地下水、</w:t>
            </w:r>
            <w:r>
              <w:rPr>
                <w:rFonts w:hint="default" w:ascii="Times New Roman" w:hAnsi="Times New Roman" w:cs="Times New Roman"/>
                <w:color w:val="auto"/>
                <w:sz w:val="24"/>
                <w:szCs w:val="24"/>
                <w:highlight w:val="none"/>
              </w:rPr>
              <w:t>土壤环境。为此，评价要求采取如下措施：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池体定期清泥，检查池体破损情况</w:t>
            </w:r>
            <w:r>
              <w:rPr>
                <w:rFonts w:hint="default" w:ascii="Times New Roman" w:hAnsi="Times New Roman" w:cs="Times New Roman"/>
                <w:color w:val="auto"/>
                <w:sz w:val="24"/>
                <w:szCs w:val="24"/>
                <w:highlight w:val="none"/>
                <w:lang w:val="en-US" w:eastAsia="zh-CN"/>
              </w:rPr>
              <w:t>。</w:t>
            </w:r>
          </w:p>
          <w:p>
            <w:pPr>
              <w:adjustRightInd w:val="0"/>
              <w:snapToGrid w:val="0"/>
              <w:spacing w:line="500" w:lineRule="exact"/>
              <w:ind w:firstLine="480" w:firstLineChars="200"/>
              <w:jc w:val="left"/>
              <w:rPr>
                <w:rFonts w:hint="eastAsia"/>
                <w:highlight w:val="none"/>
              </w:rPr>
            </w:pPr>
            <w:r>
              <w:rPr>
                <w:rFonts w:hint="eastAsia" w:cs="Times New Roman"/>
                <w:color w:val="auto"/>
                <w:sz w:val="24"/>
                <w:szCs w:val="24"/>
                <w:highlight w:val="none"/>
                <w:lang w:val="en-US" w:eastAsia="zh-CN"/>
              </w:rPr>
              <w:t>（2）厂区分区防渗，将建设场地划分为重点防渗区、一般防渗区和简单防渗区。主要场地分区防渗情况见下表</w:t>
            </w:r>
            <w:r>
              <w:rPr>
                <w:rFonts w:hint="default" w:ascii="Times New Roman" w:hAnsi="Times New Roman" w:cs="Times New Roman"/>
                <w:color w:val="auto"/>
                <w:sz w:val="24"/>
                <w:szCs w:val="24"/>
                <w:highlight w:val="none"/>
                <w:lang w:val="en-US" w:eastAsia="zh-CN"/>
              </w:rPr>
              <w:t>。</w:t>
            </w:r>
          </w:p>
          <w:p>
            <w:pPr>
              <w:pStyle w:val="39"/>
              <w:bidi w:val="0"/>
              <w:rPr>
                <w:rFonts w:hint="default" w:ascii="Times New Roman" w:hAnsi="Times New Roman" w:eastAsia="宋体" w:cs="宋体"/>
                <w:b/>
                <w:bCs/>
                <w:color w:val="auto"/>
                <w:sz w:val="24"/>
                <w:szCs w:val="24"/>
                <w:highlight w:val="none"/>
                <w:lang w:val="en-US" w:eastAsia="zh-CN" w:bidi="ar"/>
              </w:rPr>
            </w:pPr>
            <w:r>
              <w:rPr>
                <w:rFonts w:hint="default" w:ascii="Times New Roman" w:hAnsi="Times New Roman" w:eastAsia="宋体" w:cs="宋体"/>
                <w:b/>
                <w:bCs/>
                <w:color w:val="auto"/>
                <w:sz w:val="24"/>
                <w:szCs w:val="24"/>
                <w:highlight w:val="none"/>
                <w:lang w:val="en-US" w:eastAsia="zh-CN" w:bidi="ar"/>
              </w:rPr>
              <w:t>表</w:t>
            </w:r>
            <w:r>
              <w:rPr>
                <w:rFonts w:hint="eastAsia" w:eastAsia="宋体"/>
                <w:b/>
                <w:color w:val="auto"/>
                <w:spacing w:val="0"/>
                <w:sz w:val="24"/>
                <w:szCs w:val="24"/>
                <w:highlight w:val="none"/>
                <w:lang w:val="en-US" w:eastAsia="zh-CN"/>
              </w:rPr>
              <w:t>4</w:t>
            </w:r>
            <w:r>
              <w:rPr>
                <w:rFonts w:hint="eastAsia" w:cs="Times New Roman" w:eastAsiaTheme="majorEastAsia"/>
                <w:b/>
                <w:bCs/>
                <w:color w:val="auto"/>
                <w:sz w:val="24"/>
                <w:szCs w:val="24"/>
                <w:highlight w:val="none"/>
                <w:lang w:val="en-US" w:eastAsia="zh-CN"/>
              </w:rPr>
              <w:t>-11</w:t>
            </w:r>
            <w:r>
              <w:rPr>
                <w:rFonts w:hint="default" w:ascii="Times New Roman" w:hAnsi="Times New Roman" w:eastAsia="宋体" w:cs="宋体"/>
                <w:b/>
                <w:bCs/>
                <w:color w:val="auto"/>
                <w:sz w:val="24"/>
                <w:szCs w:val="24"/>
                <w:highlight w:val="none"/>
                <w:lang w:val="en-US" w:eastAsia="zh-CN" w:bidi="ar"/>
              </w:rPr>
              <w:t xml:space="preserve">   </w:t>
            </w:r>
            <w:r>
              <w:rPr>
                <w:rFonts w:hint="eastAsia" w:cs="宋体"/>
                <w:b/>
                <w:bCs/>
                <w:color w:val="auto"/>
                <w:sz w:val="24"/>
                <w:szCs w:val="24"/>
                <w:highlight w:val="none"/>
                <w:lang w:val="en-US" w:eastAsia="zh-CN" w:bidi="ar"/>
              </w:rPr>
              <w:t xml:space="preserve">   </w:t>
            </w:r>
            <w:r>
              <w:rPr>
                <w:rFonts w:hint="default" w:ascii="Times New Roman" w:hAnsi="Times New Roman" w:eastAsia="宋体" w:cs="宋体"/>
                <w:b/>
                <w:bCs/>
                <w:color w:val="auto"/>
                <w:sz w:val="24"/>
                <w:szCs w:val="24"/>
                <w:highlight w:val="none"/>
                <w:lang w:val="en-US" w:eastAsia="zh-CN" w:bidi="ar"/>
              </w:rPr>
              <w:t xml:space="preserve"> 厂区分区防渗一览表</w:t>
            </w:r>
          </w:p>
          <w:tbl>
            <w:tblPr>
              <w:tblStyle w:val="22"/>
              <w:tblW w:w="4982"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8"/>
              <w:gridCol w:w="1982"/>
              <w:gridCol w:w="4413"/>
              <w:gridCol w:w="12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408" w:type="pc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ind w:left="-120" w:leftChars="-50" w:right="-120" w:rightChars="-50"/>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序号</w:t>
                  </w:r>
                </w:p>
              </w:tc>
              <w:tc>
                <w:tcPr>
                  <w:tcW w:w="1193" w:type="pct"/>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场地</w:t>
                  </w:r>
                </w:p>
              </w:tc>
              <w:tc>
                <w:tcPr>
                  <w:tcW w:w="2656" w:type="pct"/>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lang w:eastAsia="zh-CN"/>
                    </w:rPr>
                  </w:pPr>
                  <w:r>
                    <w:rPr>
                      <w:rFonts w:hint="default" w:ascii="Times New Roman" w:hAnsi="Times New Roman" w:eastAsia="宋体" w:cs="Times New Roman"/>
                      <w:b/>
                      <w:bCs/>
                      <w:color w:val="auto"/>
                      <w:sz w:val="21"/>
                      <w:szCs w:val="21"/>
                      <w:highlight w:val="none"/>
                      <w:lang w:eastAsia="zh-CN"/>
                    </w:rPr>
                    <w:t>防渗措施</w:t>
                  </w:r>
                </w:p>
              </w:tc>
              <w:tc>
                <w:tcPr>
                  <w:tcW w:w="741" w:type="pct"/>
                  <w:tcBorders>
                    <w:tl2br w:val="nil"/>
                    <w:tr2bl w:val="nil"/>
                  </w:tcBorders>
                  <w:noWrap w:val="0"/>
                  <w:vAlign w:val="center"/>
                </w:tcPr>
                <w:p>
                  <w:pPr>
                    <w:pStyle w:val="53"/>
                    <w:bidi w:val="0"/>
                    <w:jc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防渗分区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408" w:type="pct"/>
                  <w:vMerge w:val="restart"/>
                  <w:tcBorders>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1</w:t>
                  </w:r>
                </w:p>
              </w:tc>
              <w:tc>
                <w:tcPr>
                  <w:tcW w:w="1193" w:type="pct"/>
                  <w:tcBorders>
                    <w:bottom w:val="single" w:color="auto" w:sz="4" w:space="0"/>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淋控水池</w:t>
                  </w:r>
                </w:p>
              </w:tc>
              <w:tc>
                <w:tcPr>
                  <w:tcW w:w="2656" w:type="pct"/>
                  <w:tcBorders>
                    <w:bottom w:val="single" w:color="auto" w:sz="4" w:space="0"/>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eastAsia="zh-CN"/>
                    </w:rPr>
                    <w:t>采用在防渗素混凝土内掺加水泥基渗透结晶型防水剂构成防渗层进行防渗，</w:t>
                  </w:r>
                  <w:r>
                    <w:rPr>
                      <w:rFonts w:hint="default" w:ascii="Times New Roman" w:hAnsi="Times New Roman" w:cs="Times New Roman"/>
                      <w:color w:val="auto"/>
                      <w:highlight w:val="none"/>
                    </w:rPr>
                    <w:t>等效黏土防渗层Mb≥</w:t>
                  </w:r>
                  <w:r>
                    <w:rPr>
                      <w:rFonts w:hint="eastAsia" w:cs="Times New Roman"/>
                      <w:color w:val="auto"/>
                      <w:highlight w:val="none"/>
                      <w:lang w:val="en-US" w:eastAsia="zh-CN"/>
                    </w:rPr>
                    <w:t>6</w:t>
                  </w:r>
                  <w:r>
                    <w:rPr>
                      <w:rFonts w:hint="default" w:ascii="Times New Roman" w:hAnsi="Times New Roman" w:cs="Times New Roman"/>
                      <w:color w:val="auto"/>
                      <w:highlight w:val="none"/>
                    </w:rPr>
                    <w:t>m，K≤1×10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p>
              </w:tc>
              <w:tc>
                <w:tcPr>
                  <w:tcW w:w="741" w:type="pct"/>
                  <w:tcBorders>
                    <w:bottom w:val="single" w:color="auto" w:sz="4" w:space="0"/>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eastAsia="zh-CN"/>
                    </w:rPr>
                    <w:t>重点</w:t>
                  </w:r>
                  <w:r>
                    <w:rPr>
                      <w:rFonts w:hint="default" w:ascii="Times New Roman" w:hAnsi="Times New Roman" w:cs="Times New Roman"/>
                      <w:color w:val="auto"/>
                      <w:highlight w:val="none"/>
                    </w:rPr>
                    <w:t>防渗区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408" w:type="pct"/>
                  <w:vMerge w:val="continue"/>
                  <w:tcBorders>
                    <w:tl2br w:val="nil"/>
                    <w:tr2bl w:val="nil"/>
                  </w:tcBorders>
                  <w:noWrap w:val="0"/>
                  <w:vAlign w:val="center"/>
                </w:tcPr>
                <w:p>
                  <w:pPr>
                    <w:pStyle w:val="53"/>
                    <w:bidi w:val="0"/>
                    <w:ind w:firstLine="0" w:firstLineChars="0"/>
                    <w:jc w:val="center"/>
                    <w:rPr>
                      <w:rFonts w:hint="default" w:ascii="Times New Roman" w:hAnsi="Times New Roman" w:cs="Times New Roman"/>
                      <w:color w:val="auto"/>
                      <w:highlight w:val="none"/>
                    </w:rPr>
                  </w:pPr>
                </w:p>
              </w:tc>
              <w:tc>
                <w:tcPr>
                  <w:tcW w:w="1193" w:type="pct"/>
                  <w:tcBorders>
                    <w:top w:val="single" w:color="auto" w:sz="4" w:space="0"/>
                    <w:tl2br w:val="nil"/>
                    <w:tr2bl w:val="nil"/>
                  </w:tcBorders>
                  <w:noWrap w:val="0"/>
                  <w:vAlign w:val="center"/>
                </w:tcPr>
                <w:p>
                  <w:pPr>
                    <w:pStyle w:val="53"/>
                    <w:bidi w:val="0"/>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煤泥烘干车间</w:t>
                  </w:r>
                  <w:r>
                    <w:rPr>
                      <w:rFonts w:hint="eastAsia" w:cs="Times New Roman"/>
                      <w:color w:val="auto"/>
                      <w:sz w:val="21"/>
                      <w:szCs w:val="21"/>
                      <w:highlight w:val="none"/>
                      <w:lang w:val="en-US" w:eastAsia="zh-CN"/>
                    </w:rPr>
                    <w:t>、湿煤泥库、</w:t>
                  </w:r>
                  <w:r>
                    <w:rPr>
                      <w:rFonts w:hint="eastAsia" w:ascii="Times New Roman" w:hAnsi="Times New Roman" w:cs="Times New Roman"/>
                      <w:color w:val="auto"/>
                      <w:sz w:val="21"/>
                      <w:szCs w:val="21"/>
                      <w:highlight w:val="none"/>
                      <w:lang w:eastAsia="zh-CN"/>
                    </w:rPr>
                    <w:t>干煤泥库</w:t>
                  </w:r>
                </w:p>
              </w:tc>
              <w:tc>
                <w:tcPr>
                  <w:tcW w:w="2656" w:type="pct"/>
                  <w:tcBorders>
                    <w:top w:val="single" w:color="auto" w:sz="4" w:space="0"/>
                    <w:tl2br w:val="nil"/>
                    <w:tr2bl w:val="nil"/>
                  </w:tcBorders>
                  <w:noWrap w:val="0"/>
                  <w:vAlign w:val="center"/>
                </w:tcPr>
                <w:p>
                  <w:pPr>
                    <w:pStyle w:val="53"/>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eastAsia="zh-CN"/>
                    </w:rPr>
                    <w:t>采用在防渗素混凝土内掺加水泥基渗透结晶型防水剂构成防渗层进行防渗，</w:t>
                  </w:r>
                  <w:r>
                    <w:rPr>
                      <w:rFonts w:hint="default" w:ascii="Times New Roman" w:hAnsi="Times New Roman" w:cs="Times New Roman"/>
                      <w:color w:val="auto"/>
                      <w:highlight w:val="none"/>
                    </w:rPr>
                    <w:t>等效黏土防渗层Mb≥1.5m，K≤1×10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p>
              </w:tc>
              <w:tc>
                <w:tcPr>
                  <w:tcW w:w="741" w:type="pct"/>
                  <w:tcBorders>
                    <w:top w:val="single" w:color="auto" w:sz="4" w:space="0"/>
                    <w:bottom w:val="single" w:color="auto" w:sz="4" w:space="0"/>
                    <w:tl2br w:val="nil"/>
                    <w:tr2bl w:val="nil"/>
                  </w:tcBorders>
                  <w:noWrap w:val="0"/>
                  <w:vAlign w:val="center"/>
                </w:tcPr>
                <w:p>
                  <w:pPr>
                    <w:pStyle w:val="53"/>
                    <w:bidi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eastAsia="zh-CN"/>
                    </w:rPr>
                    <w:t>一般</w:t>
                  </w:r>
                  <w:r>
                    <w:rPr>
                      <w:rFonts w:hint="default" w:ascii="Times New Roman" w:hAnsi="Times New Roman" w:cs="Times New Roman"/>
                      <w:color w:val="auto"/>
                      <w:highlight w:val="none"/>
                    </w:rPr>
                    <w:t>防渗区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408" w:type="pct"/>
                  <w:vAlign w:val="center"/>
                </w:tcPr>
                <w:p>
                  <w:pPr>
                    <w:pStyle w:val="53"/>
                    <w:bidi w:val="0"/>
                    <w:ind w:firstLine="0" w:firstLineChars="0"/>
                    <w:jc w:val="center"/>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kern w:val="2"/>
                      <w:sz w:val="18"/>
                      <w:szCs w:val="21"/>
                      <w:highlight w:val="none"/>
                      <w:lang w:val="en-US" w:eastAsia="zh-CN" w:bidi="ar-SA"/>
                    </w:rPr>
                    <w:t>2</w:t>
                  </w:r>
                </w:p>
              </w:tc>
              <w:tc>
                <w:tcPr>
                  <w:tcW w:w="1193" w:type="pct"/>
                  <w:vAlign w:val="center"/>
                </w:tcPr>
                <w:p>
                  <w:pPr>
                    <w:pStyle w:val="53"/>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其余场地</w:t>
                  </w:r>
                </w:p>
              </w:tc>
              <w:tc>
                <w:tcPr>
                  <w:tcW w:w="2656" w:type="pct"/>
                  <w:vAlign w:val="center"/>
                </w:tcPr>
                <w:p>
                  <w:pPr>
                    <w:pStyle w:val="53"/>
                    <w:bidi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地面硬化</w:t>
                  </w:r>
                </w:p>
              </w:tc>
              <w:tc>
                <w:tcPr>
                  <w:tcW w:w="741" w:type="pct"/>
                  <w:tcBorders>
                    <w:top w:val="single" w:color="auto" w:sz="4" w:space="0"/>
                  </w:tcBorders>
                  <w:vAlign w:val="center"/>
                </w:tcPr>
                <w:p>
                  <w:pPr>
                    <w:pStyle w:val="53"/>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简单</w:t>
                  </w:r>
                  <w:r>
                    <w:rPr>
                      <w:rFonts w:hint="default" w:ascii="Times New Roman" w:hAnsi="Times New Roman" w:cs="Times New Roman"/>
                      <w:color w:val="auto"/>
                      <w:highlight w:val="none"/>
                    </w:rPr>
                    <w:t>防渗区</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rPr>
            </w:pPr>
            <w:r>
              <w:rPr>
                <w:rFonts w:hint="eastAsia"/>
                <w:b w:val="0"/>
                <w:bCs w:val="0"/>
                <w:color w:val="auto"/>
                <w:sz w:val="24"/>
                <w:szCs w:val="24"/>
                <w:highlight w:val="none"/>
                <w:lang w:eastAsia="zh-CN"/>
              </w:rPr>
              <w:t>在采取以上防控措施后，可有效切断污染途径，使本项目能更好的保护土壤和地下水。</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6、环境风险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根据《建设项目环境风险评价技术导则》（HJ/T169-2018）中规定的物质危险性识别标准及所在区域类别可知，本项目不涉及危险物质。</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7、防风治沙措施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pacing w:val="-10"/>
                <w:sz w:val="24"/>
                <w:szCs w:val="24"/>
                <w:highlight w:val="red"/>
                <w:lang w:eastAsia="zh-CN"/>
              </w:rPr>
            </w:pPr>
            <w:r>
              <w:rPr>
                <w:rFonts w:hint="default" w:ascii="Times New Roman" w:hAnsi="Times New Roman" w:eastAsia="宋体" w:cs="Times New Roman"/>
                <w:color w:val="auto"/>
                <w:sz w:val="24"/>
                <w:szCs w:val="24"/>
                <w:highlight w:val="none"/>
                <w:lang w:val="en-US" w:eastAsia="zh-CN"/>
              </w:rPr>
              <w:t>根据《全国防沙治沙规划（2011-2020）》，本项目所在区域为</w:t>
            </w:r>
            <w:r>
              <w:rPr>
                <w:rFonts w:hint="eastAsia" w:cs="Times New Roman"/>
                <w:color w:val="auto"/>
                <w:sz w:val="24"/>
                <w:szCs w:val="24"/>
                <w:highlight w:val="none"/>
                <w:lang w:val="en-US" w:eastAsia="zh-CN"/>
              </w:rPr>
              <w:t>京津冀</w:t>
            </w:r>
            <w:r>
              <w:rPr>
                <w:rFonts w:hint="default" w:ascii="Times New Roman" w:hAnsi="Times New Roman" w:eastAsia="宋体" w:cs="Times New Roman"/>
                <w:color w:val="auto"/>
                <w:sz w:val="24"/>
                <w:szCs w:val="24"/>
                <w:highlight w:val="none"/>
                <w:lang w:val="en-US" w:eastAsia="zh-CN"/>
              </w:rPr>
              <w:t>周边沙化土地治理区，不在沙化土地封禁保护区。本项目施工期会造成地表植被破坏，但施工期较短，施工范围较小，对土地沙化的影响很小。本次评价要求，在本项目施工过程中，合理规划施工范围，施工结束后</w:t>
            </w:r>
            <w:r>
              <w:rPr>
                <w:rFonts w:hint="eastAsia" w:ascii="Times New Roman" w:hAnsi="Times New Roman" w:eastAsia="宋体" w:cs="Times New Roman"/>
                <w:color w:val="auto"/>
                <w:sz w:val="24"/>
                <w:szCs w:val="24"/>
                <w:highlight w:val="none"/>
                <w:lang w:val="en-US" w:eastAsia="zh-CN"/>
              </w:rPr>
              <w:t>地面硬化</w:t>
            </w:r>
            <w:r>
              <w:rPr>
                <w:rFonts w:hint="default" w:ascii="Times New Roman" w:hAnsi="Times New Roman" w:eastAsia="宋体" w:cs="Times New Roman"/>
                <w:color w:val="auto"/>
                <w:sz w:val="24"/>
                <w:szCs w:val="24"/>
                <w:highlight w:val="none"/>
                <w:lang w:val="en-US" w:eastAsia="zh-CN"/>
              </w:rPr>
              <w:t>。通过采取以上措施后，可以最大</w:t>
            </w:r>
            <w:r>
              <w:rPr>
                <w:rFonts w:hint="eastAsia" w:cs="Times New Roman"/>
                <w:color w:val="auto"/>
                <w:sz w:val="24"/>
                <w:szCs w:val="24"/>
                <w:highlight w:val="none"/>
                <w:lang w:val="en-US" w:eastAsia="zh-CN"/>
              </w:rPr>
              <w:t>限度地防止</w:t>
            </w:r>
            <w:r>
              <w:rPr>
                <w:rFonts w:hint="eastAsia" w:ascii="Times New Roman" w:hAnsi="Times New Roman" w:eastAsia="宋体" w:cs="Times New Roman"/>
                <w:color w:val="auto"/>
                <w:sz w:val="24"/>
                <w:szCs w:val="24"/>
                <w:highlight w:val="none"/>
                <w:lang w:val="en-US" w:eastAsia="zh-CN"/>
              </w:rPr>
              <w:t>项目占地</w:t>
            </w:r>
            <w:r>
              <w:rPr>
                <w:rFonts w:hint="default" w:ascii="Times New Roman" w:hAnsi="Times New Roman" w:eastAsia="宋体" w:cs="Times New Roman"/>
                <w:color w:val="auto"/>
                <w:sz w:val="24"/>
                <w:szCs w:val="24"/>
                <w:highlight w:val="none"/>
                <w:lang w:val="en-US" w:eastAsia="zh-CN"/>
              </w:rPr>
              <w:t>范围内土地沙化</w:t>
            </w:r>
            <w:r>
              <w:rPr>
                <w:rFonts w:hint="eastAsia" w:cs="Times New Roman"/>
                <w:color w:val="auto"/>
                <w:sz w:val="24"/>
                <w:szCs w:val="24"/>
                <w:highlight w:val="none"/>
                <w:lang w:val="en-US" w:eastAsia="zh-CN"/>
              </w:rPr>
              <w:t>。</w:t>
            </w:r>
          </w:p>
        </w:tc>
      </w:tr>
    </w:tbl>
    <w:p>
      <w:pPr>
        <w:pStyle w:val="21"/>
        <w:rPr>
          <w:color w:val="auto"/>
          <w:highlight w:val="red"/>
          <w:lang w:val="en-US" w:eastAsia="zh-CN"/>
        </w:rPr>
        <w:sectPr>
          <w:pgSz w:w="11906" w:h="16838"/>
          <w:pgMar w:top="1417" w:right="1418"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eastAsia" w:ascii="黑体" w:hAnsi="黑体" w:eastAsia="黑体" w:cs="黑体"/>
          <w:b/>
          <w:bCs/>
          <w:color w:val="auto"/>
          <w:kern w:val="44"/>
          <w:sz w:val="30"/>
          <w:szCs w:val="30"/>
          <w:highlight w:val="none"/>
          <w:lang w:val="en-US" w:eastAsia="zh-CN" w:bidi="ar-SA"/>
        </w:rPr>
      </w:pPr>
      <w:r>
        <w:rPr>
          <w:rFonts w:hint="eastAsia" w:ascii="黑体" w:hAnsi="黑体" w:eastAsia="黑体" w:cs="黑体"/>
          <w:b/>
          <w:bCs/>
          <w:color w:val="auto"/>
          <w:kern w:val="44"/>
          <w:sz w:val="30"/>
          <w:szCs w:val="30"/>
          <w:highlight w:val="none"/>
          <w:lang w:val="en-US" w:eastAsia="zh-CN" w:bidi="ar-SA"/>
        </w:rPr>
        <w:t>五、</w:t>
      </w:r>
      <w:bookmarkStart w:id="1" w:name="_Hlk54167917"/>
      <w:r>
        <w:rPr>
          <w:rFonts w:hint="eastAsia" w:ascii="黑体" w:hAnsi="黑体" w:eastAsia="黑体" w:cs="黑体"/>
          <w:b/>
          <w:bCs/>
          <w:color w:val="auto"/>
          <w:kern w:val="44"/>
          <w:sz w:val="30"/>
          <w:szCs w:val="30"/>
          <w:highlight w:val="none"/>
          <w:lang w:val="en-US" w:eastAsia="zh-CN" w:bidi="ar-SA"/>
        </w:rPr>
        <w:t>环境保护措施监督检查清单</w:t>
      </w:r>
      <w:bookmarkEnd w:id="1"/>
    </w:p>
    <w:tbl>
      <w:tblPr>
        <w:tblStyle w:val="2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526"/>
        <w:gridCol w:w="1350"/>
        <w:gridCol w:w="2644"/>
        <w:gridCol w:w="23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right"/>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内容</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要素</w:t>
            </w:r>
          </w:p>
        </w:tc>
        <w:tc>
          <w:tcPr>
            <w:tcW w:w="8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排放口</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编号、名称</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/污染源</w:t>
            </w:r>
          </w:p>
        </w:tc>
        <w:tc>
          <w:tcPr>
            <w:tcW w:w="7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污染物项目</w:t>
            </w:r>
          </w:p>
        </w:tc>
        <w:tc>
          <w:tcPr>
            <w:tcW w:w="14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环境保护措施</w:t>
            </w:r>
          </w:p>
        </w:tc>
        <w:tc>
          <w:tcPr>
            <w:tcW w:w="12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w:t>
            </w:r>
          </w:p>
        </w:tc>
        <w:tc>
          <w:tcPr>
            <w:tcW w:w="8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eastAsia" w:cs="Times New Roman"/>
                <w:b w:val="0"/>
                <w:bCs w:val="0"/>
                <w:color w:val="auto"/>
                <w:sz w:val="24"/>
                <w:szCs w:val="24"/>
                <w:highlight w:val="none"/>
                <w:lang w:eastAsia="zh-CN"/>
              </w:rPr>
              <w:t>煤泥烘干及落料口废气排气筒</w:t>
            </w:r>
            <w:r>
              <w:rPr>
                <w:rFonts w:hint="default" w:ascii="Times New Roman" w:hAnsi="Times New Roman" w:eastAsia="宋体" w:cs="Times New Roman"/>
                <w:color w:val="auto"/>
                <w:sz w:val="24"/>
                <w:szCs w:val="24"/>
                <w:highlight w:val="none"/>
                <w:lang w:eastAsia="zh-CN"/>
              </w:rPr>
              <w:t>（</w:t>
            </w:r>
            <w:r>
              <w:rPr>
                <w:rFonts w:hint="eastAsia" w:cs="Times New Roman"/>
                <w:b w:val="0"/>
                <w:bCs w:val="0"/>
                <w:color w:val="auto"/>
                <w:sz w:val="24"/>
                <w:szCs w:val="24"/>
                <w:highlight w:val="none"/>
                <w:vertAlign w:val="baseline"/>
                <w:lang w:val="en-US" w:eastAsia="zh-CN"/>
              </w:rPr>
              <w:t>DA001</w:t>
            </w:r>
            <w:r>
              <w:rPr>
                <w:rFonts w:hint="default" w:ascii="Times New Roman" w:hAnsi="Times New Roman" w:eastAsia="宋体" w:cs="Times New Roman"/>
                <w:color w:val="auto"/>
                <w:sz w:val="24"/>
                <w:szCs w:val="24"/>
                <w:highlight w:val="none"/>
                <w:lang w:eastAsia="zh-CN"/>
              </w:rPr>
              <w:t>）</w:t>
            </w:r>
          </w:p>
        </w:tc>
        <w:tc>
          <w:tcPr>
            <w:tcW w:w="7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颗粒物、SO</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、NO</w:t>
            </w:r>
            <w:r>
              <w:rPr>
                <w:rFonts w:hint="eastAsia" w:cs="Times New Roman"/>
                <w:color w:val="auto"/>
                <w:sz w:val="24"/>
                <w:szCs w:val="24"/>
                <w:highlight w:val="none"/>
                <w:vertAlign w:val="subscript"/>
                <w:lang w:val="en-US" w:eastAsia="zh-CN"/>
              </w:rPr>
              <w:t>X</w:t>
            </w:r>
          </w:p>
        </w:tc>
        <w:tc>
          <w:tcPr>
            <w:tcW w:w="1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olor w:val="auto"/>
                <w:sz w:val="24"/>
                <w:szCs w:val="24"/>
                <w:highlight w:val="none"/>
              </w:rPr>
              <w:t>经</w:t>
            </w:r>
            <w:r>
              <w:rPr>
                <w:rFonts w:hint="eastAsia"/>
                <w:color w:val="auto"/>
                <w:sz w:val="24"/>
                <w:szCs w:val="24"/>
                <w:highlight w:val="none"/>
                <w:lang w:val="en-US" w:eastAsia="zh-CN"/>
              </w:rPr>
              <w:t>1套SNCR脱硝+旋风除尘+布袋除尘设施</w:t>
            </w:r>
            <w:r>
              <w:rPr>
                <w:rFonts w:hint="eastAsia" w:ascii="Times New Roman" w:hAnsi="Times New Roman"/>
                <w:color w:val="auto"/>
                <w:sz w:val="24"/>
                <w:szCs w:val="24"/>
                <w:highlight w:val="none"/>
              </w:rPr>
              <w:t>处理后由15m高排气筒排放</w:t>
            </w:r>
          </w:p>
        </w:tc>
        <w:tc>
          <w:tcPr>
            <w:tcW w:w="12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《山西省工业炉窑大气污染综合治理实施方案》</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晋环大气[2019]164号文</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中工业炉窑排放标准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p>
        </w:tc>
        <w:tc>
          <w:tcPr>
            <w:tcW w:w="8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sz w:val="24"/>
                <w:szCs w:val="24"/>
                <w:highlight w:val="none"/>
                <w:lang w:eastAsia="zh-CN"/>
              </w:rPr>
              <w:t>厂界</w:t>
            </w:r>
          </w:p>
        </w:tc>
        <w:tc>
          <w:tcPr>
            <w:tcW w:w="7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颗粒物</w:t>
            </w:r>
          </w:p>
        </w:tc>
        <w:tc>
          <w:tcPr>
            <w:tcW w:w="1424"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4"/>
                <w:szCs w:val="24"/>
                <w:highlight w:val="none"/>
                <w:lang w:val="en-US" w:eastAsia="zh-CN" w:bidi="ar"/>
              </w:rPr>
            </w:pPr>
            <w:r>
              <w:rPr>
                <w:rFonts w:hint="default" w:ascii="Times New Roman" w:hAnsi="Times New Roman" w:cs="Times New Roman"/>
                <w:color w:val="auto"/>
                <w:sz w:val="24"/>
                <w:szCs w:val="24"/>
                <w:highlight w:val="none"/>
                <w:lang w:eastAsia="zh-CN"/>
              </w:rPr>
              <w:t>建设全封闭轻钢结构干煤泥库和湿煤泥库各一座，</w:t>
            </w:r>
            <w:r>
              <w:rPr>
                <w:rFonts w:hint="eastAsia" w:ascii="Times New Roman" w:hAnsi="Times New Roman" w:cs="Times New Roman"/>
                <w:color w:val="auto"/>
                <w:sz w:val="24"/>
                <w:szCs w:val="24"/>
                <w:highlight w:val="none"/>
                <w:lang w:eastAsia="zh-CN"/>
              </w:rPr>
              <w:t>地面防渗硬化处理</w:t>
            </w:r>
          </w:p>
        </w:tc>
        <w:tc>
          <w:tcPr>
            <w:tcW w:w="12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jc w:val="center"/>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lang w:val="en-US" w:eastAsia="zh-CN"/>
              </w:rPr>
              <w:t>煤炭洗选行业污染物排放标准</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lang w:val="en-US" w:eastAsia="zh-CN"/>
              </w:rPr>
              <w:t>D</w:t>
            </w:r>
            <w:r>
              <w:rPr>
                <w:rFonts w:hint="eastAsia" w:ascii="Times New Roman" w:hAnsi="Times New Roman" w:cs="Times New Roman" w:eastAsiaTheme="minorEastAsia"/>
                <w:color w:val="auto"/>
                <w:sz w:val="24"/>
                <w:szCs w:val="24"/>
                <w:highlight w:val="none"/>
                <w:lang w:eastAsia="zh-CN"/>
              </w:rPr>
              <w:t>B</w:t>
            </w:r>
            <w:r>
              <w:rPr>
                <w:rFonts w:hint="eastAsia" w:ascii="Times New Roman" w:hAnsi="Times New Roman" w:cs="Times New Roman" w:eastAsiaTheme="minorEastAsia"/>
                <w:color w:val="auto"/>
                <w:sz w:val="24"/>
                <w:szCs w:val="24"/>
                <w:highlight w:val="none"/>
                <w:lang w:val="en-US" w:eastAsia="zh-CN"/>
              </w:rPr>
              <w:t>14/2270</w:t>
            </w:r>
            <w:r>
              <w:rPr>
                <w:rFonts w:hint="eastAsia" w:cs="Times New Roman" w:eastAsiaTheme="minorEastAsia"/>
                <w:color w:val="auto"/>
                <w:sz w:val="24"/>
                <w:szCs w:val="24"/>
                <w:highlight w:val="none"/>
                <w:lang w:val="en-US" w:eastAsia="zh-CN"/>
              </w:rPr>
              <w:t xml:space="preserve"> </w:t>
            </w:r>
            <w:r>
              <w:rPr>
                <w:rFonts w:hint="eastAsia" w:ascii="Times New Roman" w:hAnsi="Times New Roman" w:cs="Times New Roman" w:eastAsiaTheme="minorEastAsia"/>
                <w:color w:val="auto"/>
                <w:sz w:val="24"/>
                <w:szCs w:val="24"/>
                <w:highlight w:val="none"/>
                <w:lang w:eastAsia="zh-CN"/>
              </w:rPr>
              <w:t>-20</w:t>
            </w:r>
            <w:r>
              <w:rPr>
                <w:rFonts w:hint="eastAsia" w:ascii="Times New Roman" w:hAnsi="Times New Roman" w:cs="Times New Roman" w:eastAsiaTheme="minorEastAsia"/>
                <w:color w:val="auto"/>
                <w:sz w:val="24"/>
                <w:szCs w:val="24"/>
                <w:highlight w:val="none"/>
                <w:lang w:val="en-US" w:eastAsia="zh-CN"/>
              </w:rPr>
              <w:t>21</w:t>
            </w:r>
            <w:r>
              <w:rPr>
                <w:rFonts w:hint="eastAsia" w:ascii="Times New Roman" w:hAnsi="Times New Roman" w:cs="Times New Roman" w:eastAsiaTheme="minorEastAsia"/>
                <w:color w:val="auto"/>
                <w:sz w:val="24"/>
                <w:szCs w:val="24"/>
                <w:highlight w:val="none"/>
                <w:lang w:eastAsia="zh-CN"/>
              </w:rPr>
              <w:t>）中表</w:t>
            </w:r>
            <w:r>
              <w:rPr>
                <w:rFonts w:hint="eastAsia"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地表水环境</w:t>
            </w:r>
          </w:p>
        </w:tc>
        <w:tc>
          <w:tcPr>
            <w:tcW w:w="8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初期雨水</w:t>
            </w:r>
          </w:p>
        </w:tc>
        <w:tc>
          <w:tcPr>
            <w:tcW w:w="7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SS</w:t>
            </w:r>
          </w:p>
        </w:tc>
        <w:tc>
          <w:tcPr>
            <w:tcW w:w="14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eastAsia" w:ascii="Times New Roman" w:hAnsi="Times New Roman" w:cs="Times New Roman"/>
                <w:b w:val="0"/>
                <w:bCs w:val="0"/>
                <w:color w:val="auto"/>
                <w:sz w:val="24"/>
                <w:szCs w:val="24"/>
                <w:highlight w:val="none"/>
                <w:lang w:val="en-US" w:eastAsia="zh-CN"/>
              </w:rPr>
              <w:t>初期雨水收集池</w:t>
            </w:r>
          </w:p>
        </w:tc>
        <w:tc>
          <w:tcPr>
            <w:tcW w:w="12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p>
        </w:tc>
        <w:tc>
          <w:tcPr>
            <w:tcW w:w="8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洗车废水</w:t>
            </w:r>
          </w:p>
        </w:tc>
        <w:tc>
          <w:tcPr>
            <w:tcW w:w="7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SS</w:t>
            </w:r>
          </w:p>
        </w:tc>
        <w:tc>
          <w:tcPr>
            <w:tcW w:w="14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eastAsia" w:cs="Times New Roman"/>
                <w:b w:val="0"/>
                <w:bCs w:val="0"/>
                <w:color w:val="auto"/>
                <w:sz w:val="24"/>
                <w:szCs w:val="24"/>
                <w:highlight w:val="none"/>
                <w:lang w:val="en-US" w:eastAsia="zh-CN"/>
              </w:rPr>
              <w:t>沉淀池</w:t>
            </w:r>
          </w:p>
        </w:tc>
        <w:tc>
          <w:tcPr>
            <w:tcW w:w="12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p>
        </w:tc>
        <w:tc>
          <w:tcPr>
            <w:tcW w:w="8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湿煤泥淋滤水</w:t>
            </w:r>
          </w:p>
        </w:tc>
        <w:tc>
          <w:tcPr>
            <w:tcW w:w="7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SS</w:t>
            </w:r>
          </w:p>
        </w:tc>
        <w:tc>
          <w:tcPr>
            <w:tcW w:w="14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olor w:val="auto"/>
                <w:sz w:val="24"/>
                <w:szCs w:val="24"/>
                <w:highlight w:val="none"/>
                <w:lang w:eastAsia="zh-CN"/>
              </w:rPr>
              <w:t>淋控水池（三格）</w:t>
            </w:r>
          </w:p>
        </w:tc>
        <w:tc>
          <w:tcPr>
            <w:tcW w:w="12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p>
        </w:tc>
        <w:tc>
          <w:tcPr>
            <w:tcW w:w="822"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生活污水</w:t>
            </w:r>
          </w:p>
        </w:tc>
        <w:tc>
          <w:tcPr>
            <w:tcW w:w="727" w:type="pct"/>
            <w:noWrap w:val="0"/>
            <w:vAlign w:val="center"/>
          </w:tcPr>
          <w:p>
            <w:pPr>
              <w:pStyle w:val="53"/>
              <w:keepNext w:val="0"/>
              <w:keepLines w:val="0"/>
              <w:pageBreakBefore w:val="0"/>
              <w:kinsoku/>
              <w:wordWrap/>
              <w:overflowPunct/>
              <w:topLinePunct w:val="0"/>
              <w:autoSpaceDE/>
              <w:autoSpaceDN/>
              <w:bidi w:val="0"/>
              <w:spacing w:line="320" w:lineRule="exact"/>
              <w:ind w:firstLine="0" w:firstLineChars="0"/>
              <w:textAlignment w:val="auto"/>
              <w:rPr>
                <w:rFonts w:hint="eastAsia" w:cs="Times New Roman"/>
                <w:color w:val="auto"/>
                <w:highlight w:val="none"/>
                <w:lang w:val="en-US" w:eastAsia="zh-CN"/>
              </w:rPr>
            </w:pPr>
            <w:r>
              <w:rPr>
                <w:rFonts w:hint="default" w:ascii="Times New Roman" w:hAnsi="Times New Roman" w:cs="Times New Roman"/>
                <w:color w:val="auto"/>
                <w:highlight w:val="none"/>
                <w:lang w:val="en-US" w:eastAsia="zh-CN"/>
              </w:rPr>
              <w:t>COD、BOD</w:t>
            </w:r>
            <w:r>
              <w:rPr>
                <w:rFonts w:hint="default" w:ascii="Times New Roman" w:hAnsi="Times New Roman" w:cs="Times New Roman"/>
                <w:color w:val="auto"/>
                <w:highlight w:val="none"/>
                <w:vertAlign w:val="subscript"/>
                <w:lang w:val="en-US" w:eastAsia="zh-CN"/>
              </w:rPr>
              <w:t>5</w:t>
            </w:r>
            <w:r>
              <w:rPr>
                <w:rFonts w:hint="default" w:ascii="Times New Roman" w:hAnsi="Times New Roman" w:cs="Times New Roman"/>
                <w:color w:val="auto"/>
                <w:highlight w:val="none"/>
                <w:lang w:val="en-US" w:eastAsia="zh-CN"/>
              </w:rPr>
              <w:t>、SS、NH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-N</w:t>
            </w:r>
          </w:p>
        </w:tc>
        <w:tc>
          <w:tcPr>
            <w:tcW w:w="14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sz w:val="24"/>
                <w:szCs w:val="24"/>
                <w:highlight w:val="none"/>
                <w:lang w:val="en-US" w:eastAsia="zh-CN"/>
              </w:rPr>
              <w:t>沉淀</w:t>
            </w:r>
          </w:p>
        </w:tc>
        <w:tc>
          <w:tcPr>
            <w:tcW w:w="12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82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产噪设备</w:t>
            </w:r>
          </w:p>
        </w:tc>
        <w:tc>
          <w:tcPr>
            <w:tcW w:w="7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噪声</w:t>
            </w:r>
          </w:p>
        </w:tc>
        <w:tc>
          <w:tcPr>
            <w:tcW w:w="14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选用低噪声设备，</w:t>
            </w:r>
            <w:r>
              <w:rPr>
                <w:rFonts w:hint="eastAsia" w:cs="Times New Roman"/>
                <w:color w:val="auto"/>
                <w:sz w:val="24"/>
                <w:szCs w:val="24"/>
                <w:highlight w:val="none"/>
                <w:lang w:eastAsia="zh-CN"/>
              </w:rPr>
              <w:t>隔声、减振</w:t>
            </w:r>
          </w:p>
        </w:tc>
        <w:tc>
          <w:tcPr>
            <w:tcW w:w="12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Cs/>
                <w:color w:val="auto"/>
                <w:kern w:val="0"/>
                <w:sz w:val="24"/>
                <w:szCs w:val="24"/>
                <w:highlight w:val="none"/>
              </w:rPr>
              <w:t>《工业企业厂界环境噪声排放标准》</w:t>
            </w:r>
            <w:r>
              <w:rPr>
                <w:rFonts w:hint="eastAsia"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rPr>
              <w:t>GB12348</w:t>
            </w:r>
            <w:r>
              <w:rPr>
                <w:rFonts w:hint="eastAsia" w:cs="Times New Roman"/>
                <w:bCs/>
                <w:color w:val="auto"/>
                <w:kern w:val="0"/>
                <w:sz w:val="24"/>
                <w:szCs w:val="24"/>
                <w:highlight w:val="none"/>
                <w:lang w:val="en-US" w:eastAsia="zh-CN"/>
              </w:rPr>
              <w:t xml:space="preserve"> </w:t>
            </w:r>
            <w:r>
              <w:rPr>
                <w:rFonts w:hint="default" w:ascii="Times New Roman" w:hAnsi="Times New Roman" w:eastAsia="宋体" w:cs="Times New Roman"/>
                <w:bCs/>
                <w:color w:val="auto"/>
                <w:kern w:val="0"/>
                <w:sz w:val="24"/>
                <w:szCs w:val="24"/>
                <w:highlight w:val="none"/>
              </w:rPr>
              <w:t>-2008</w:t>
            </w:r>
            <w:r>
              <w:rPr>
                <w:rFonts w:hint="eastAsia"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lang w:val="en-US" w:eastAsia="zh-CN"/>
              </w:rPr>
              <w:t>2类</w:t>
            </w:r>
            <w:r>
              <w:rPr>
                <w:rFonts w:hint="default" w:ascii="Times New Roman" w:hAnsi="Times New Roman" w:eastAsia="宋体" w:cs="Times New Roman"/>
                <w:bCs/>
                <w:color w:val="auto"/>
                <w:kern w:val="0"/>
                <w:sz w:val="24"/>
                <w:szCs w:val="24"/>
                <w:highlight w:val="none"/>
                <w:lang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4238"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危险废物分类收集后</w:t>
            </w:r>
            <w:r>
              <w:rPr>
                <w:rFonts w:hint="eastAsia" w:cs="Times New Roman"/>
                <w:color w:val="auto"/>
                <w:sz w:val="24"/>
                <w:szCs w:val="24"/>
                <w:highlight w:val="none"/>
                <w:lang w:eastAsia="zh-CN"/>
              </w:rPr>
              <w:t>依托的</w:t>
            </w:r>
            <w:r>
              <w:rPr>
                <w:rFonts w:hint="default" w:ascii="Times New Roman" w:hAnsi="Times New Roman" w:eastAsia="宋体" w:cs="Times New Roman"/>
                <w:color w:val="auto"/>
                <w:sz w:val="24"/>
                <w:szCs w:val="24"/>
                <w:highlight w:val="none"/>
                <w:lang w:eastAsia="zh-CN"/>
              </w:rPr>
              <w:t>暂存危废间，定期交有资质单位处理；热风炉炉渣用于附近农田作肥料；职工生活垃圾收集后交由环卫部门处理。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土壤及地下水污染防治措施</w:t>
            </w:r>
          </w:p>
        </w:tc>
        <w:tc>
          <w:tcPr>
            <w:tcW w:w="4238" w:type="pct"/>
            <w:gridSpan w:val="4"/>
            <w:noWrap w:val="0"/>
            <w:vAlign w:val="center"/>
          </w:tcPr>
          <w:p>
            <w:pPr>
              <w:pStyle w:val="9"/>
              <w:keepNext w:val="0"/>
              <w:keepLines w:val="0"/>
              <w:pageBreakBefore w:val="0"/>
              <w:widowControl w:val="0"/>
              <w:kinsoku/>
              <w:wordWrap/>
              <w:overflowPunct/>
              <w:topLinePunct w:val="0"/>
              <w:autoSpaceDE/>
              <w:autoSpaceDN/>
              <w:bidi w:val="0"/>
              <w:adjustRightInd/>
              <w:snapToGrid/>
              <w:spacing w:after="0" w:line="360" w:lineRule="exact"/>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（1）池体定期清泥，检查池体破损情况。（2）厂区分区防渗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生态保护措施</w:t>
            </w:r>
          </w:p>
        </w:tc>
        <w:tc>
          <w:tcPr>
            <w:tcW w:w="4238"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环境风险</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防范措施</w:t>
            </w:r>
          </w:p>
        </w:tc>
        <w:tc>
          <w:tcPr>
            <w:tcW w:w="4238"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、编制突发环境事件应急预案和危险废物管理风险应急预案，并定期演练；2、分区防渗；3、配备相应的</w:t>
            </w:r>
            <w:r>
              <w:rPr>
                <w:rFonts w:hint="eastAsia" w:ascii="Times New Roman" w:hAnsi="Times New Roman" w:cs="Times New Roman"/>
                <w:color w:val="auto"/>
                <w:highlight w:val="none"/>
                <w:lang w:val="en-US" w:eastAsia="zh-CN"/>
              </w:rPr>
              <w:t>环境应急物资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其他环境</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管理要求</w:t>
            </w:r>
          </w:p>
        </w:tc>
        <w:tc>
          <w:tcPr>
            <w:tcW w:w="4238" w:type="pct"/>
            <w:gridSpan w:val="4"/>
            <w:noWrap w:val="0"/>
            <w:vAlign w:val="center"/>
          </w:tcPr>
          <w:p>
            <w:pPr>
              <w:ind w:firstLine="420" w:firstLineChars="0"/>
              <w:rPr>
                <w:rFonts w:hint="eastAsia" w:ascii="Times New Roman" w:hAnsi="Times New Roman" w:cs="Times New Roman" w:eastAsiaTheme="minorEastAsia"/>
                <w:color w:val="auto"/>
                <w:sz w:val="24"/>
                <w:szCs w:val="24"/>
                <w:highlight w:val="none"/>
                <w:lang w:val="en-US" w:eastAsia="zh-CN"/>
              </w:rPr>
            </w:pPr>
            <w:r>
              <w:rPr>
                <w:rFonts w:hint="eastAsia"/>
                <w:highlight w:val="none"/>
              </w:rPr>
              <w:t>1、制定完善的环境管理规章制度；2、完善各项环保手续；3、按照监测计划定期开展监测；4、采用适当的方式进行信息公开</w:t>
            </w:r>
            <w:r>
              <w:rPr>
                <w:rFonts w:hint="eastAsia"/>
                <w:highlight w:val="none"/>
                <w:lang w:eastAsia="zh-CN"/>
              </w:rPr>
              <w:t>；</w:t>
            </w:r>
            <w:r>
              <w:rPr>
                <w:rFonts w:hint="eastAsia"/>
                <w:highlight w:val="none"/>
                <w:lang w:val="en-US" w:eastAsia="zh-CN"/>
              </w:rPr>
              <w:t>5、做到</w:t>
            </w:r>
            <w:r>
              <w:rPr>
                <w:rFonts w:hint="eastAsia" w:hAnsi="宋体" w:eastAsiaTheme="minorEastAsia"/>
                <w:color w:val="000000"/>
              </w:rPr>
              <w:t>清洁运输</w:t>
            </w:r>
            <w:r>
              <w:rPr>
                <w:rFonts w:hint="eastAsia" w:hAnsi="宋体" w:eastAsiaTheme="minorEastAsia"/>
                <w:color w:val="000000"/>
                <w:lang w:eastAsia="zh-CN"/>
              </w:rPr>
              <w:t>：进出车辆必须进行洗车除尘，不得带泥上路、运输车辆必须为执行国六及以上排放标准车辆或者新能源汽车、厂内装载机必须为执行国四及以上排放标准车辆或者新能源汽车、运输车辆必须苫盖，无遗撒、厂内及进厂道路全部硬化、及时清扫、定期洒水</w:t>
            </w:r>
          </w:p>
        </w:tc>
      </w:tr>
    </w:tbl>
    <w:p>
      <w:pPr>
        <w:rPr>
          <w:color w:val="auto"/>
          <w:highlight w:val="red"/>
          <w:lang w:val="en-US" w:eastAsia="zh-CN"/>
        </w:rPr>
        <w:sectPr>
          <w:pgSz w:w="11906" w:h="16838"/>
          <w:pgMar w:top="1417" w:right="1418"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eastAsia" w:ascii="黑体" w:hAnsi="黑体" w:eastAsia="黑体" w:cs="黑体"/>
          <w:b/>
          <w:bCs/>
          <w:color w:val="auto"/>
          <w:kern w:val="44"/>
          <w:sz w:val="30"/>
          <w:szCs w:val="30"/>
          <w:highlight w:val="none"/>
          <w:lang w:val="en-US" w:eastAsia="zh-CN" w:bidi="ar-SA"/>
        </w:rPr>
      </w:pPr>
      <w:r>
        <w:rPr>
          <w:rFonts w:hint="eastAsia" w:ascii="黑体" w:hAnsi="黑体" w:eastAsia="黑体" w:cs="黑体"/>
          <w:b/>
          <w:bCs/>
          <w:color w:val="auto"/>
          <w:kern w:val="44"/>
          <w:sz w:val="30"/>
          <w:szCs w:val="30"/>
          <w:highlight w:val="none"/>
          <w:lang w:val="en-US" w:eastAsia="zh-CN" w:bidi="ar-SA"/>
        </w:rPr>
        <w:t>六、结论</w:t>
      </w:r>
    </w:p>
    <w:tbl>
      <w:tblPr>
        <w:tblStyle w:val="23"/>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9" w:hRule="atLeast"/>
        </w:trPr>
        <w:tc>
          <w:tcPr>
            <w:tcW w:w="9288" w:type="dxa"/>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从环保角度，本项目环境影响可行。</w:t>
            </w: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pStyle w:val="6"/>
              <w:rPr>
                <w:rFonts w:hint="eastAsia"/>
                <w:color w:val="auto"/>
                <w:sz w:val="24"/>
                <w:szCs w:val="24"/>
                <w:highlight w:val="none"/>
                <w:lang w:val="en-US" w:eastAsia="zh-CN"/>
              </w:rPr>
            </w:pPr>
          </w:p>
          <w:p>
            <w:pPr>
              <w:rPr>
                <w:rFonts w:hint="eastAsia"/>
                <w:color w:val="auto"/>
                <w:sz w:val="24"/>
                <w:szCs w:val="24"/>
                <w:highlight w:val="none"/>
                <w:lang w:val="en-US" w:eastAsia="zh-CN"/>
              </w:rPr>
            </w:pPr>
          </w:p>
          <w:p>
            <w:pPr>
              <w:rPr>
                <w:rFonts w:hint="eastAsia"/>
                <w:color w:val="auto"/>
                <w:sz w:val="24"/>
                <w:szCs w:val="24"/>
                <w:highlight w:val="none"/>
                <w:lang w:val="en-US" w:eastAsia="zh-CN"/>
              </w:rPr>
            </w:pPr>
          </w:p>
        </w:tc>
      </w:tr>
    </w:tbl>
    <w:p>
      <w:pPr>
        <w:pStyle w:val="21"/>
        <w:rPr>
          <w:color w:val="auto"/>
          <w:highlight w:val="none"/>
          <w:lang w:val="en-US" w:eastAsia="zh-CN"/>
        </w:rPr>
        <w:sectPr>
          <w:pgSz w:w="11906" w:h="16838"/>
          <w:pgMar w:top="1417" w:right="1418"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9"/>
        <w:adjustRightInd w:val="0"/>
        <w:snapToGrid w:val="0"/>
        <w:spacing w:before="0" w:beforeAutospacing="0" w:after="0" w:afterAutospacing="0" w:line="648" w:lineRule="auto"/>
        <w:outlineLvl w:val="0"/>
        <w:rPr>
          <w:rFonts w:hint="eastAsia" w:ascii="黑体" w:hAnsi="黑体" w:eastAsia="黑体" w:cs="黑体"/>
          <w:snapToGrid w:val="0"/>
          <w:color w:val="auto"/>
          <w:sz w:val="32"/>
          <w:szCs w:val="32"/>
          <w:highlight w:val="none"/>
        </w:rPr>
      </w:pPr>
      <w:r>
        <w:rPr>
          <w:rFonts w:hint="eastAsia" w:ascii="黑体" w:hAnsi="黑体" w:eastAsia="黑体" w:cs="黑体"/>
          <w:snapToGrid w:val="0"/>
          <w:color w:val="auto"/>
          <w:sz w:val="32"/>
          <w:szCs w:val="32"/>
          <w:highlight w:val="none"/>
        </w:rPr>
        <w:t>附表</w:t>
      </w: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cs="Times New Roman"/>
          <w:snapToGrid w:val="0"/>
          <w:color w:val="auto"/>
          <w:sz w:val="38"/>
          <w:szCs w:val="38"/>
          <w:highlight w:val="none"/>
          <w:lang w:eastAsia="zh-CN"/>
        </w:rPr>
      </w:pPr>
      <w:r>
        <w:rPr>
          <w:rFonts w:hint="eastAsia" w:ascii="方正小标宋_GBK" w:hAnsi="黑体" w:eastAsia="方正小标宋_GBK" w:cs="Times New Roman"/>
          <w:snapToGrid w:val="0"/>
          <w:color w:val="auto"/>
          <w:sz w:val="38"/>
          <w:szCs w:val="38"/>
          <w:highlight w:val="none"/>
        </w:rPr>
        <w:t>建设项目污染物排放量汇总表</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446"/>
        <w:gridCol w:w="1384"/>
        <w:gridCol w:w="1245"/>
        <w:gridCol w:w="1470"/>
        <w:gridCol w:w="1500"/>
        <w:gridCol w:w="1650"/>
        <w:gridCol w:w="2115"/>
        <w:gridCol w:w="15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22" w:type="dxa"/>
            <w:tcBorders>
              <w:tl2br w:val="single" w:color="auto" w:sz="4" w:space="0"/>
            </w:tcBorders>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Lines="0" w:afterLines="0" w:line="360" w:lineRule="exact"/>
              <w:jc w:val="righ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项目</w:t>
            </w:r>
          </w:p>
          <w:p>
            <w:pPr>
              <w:pStyle w:val="42"/>
              <w:keepNext w:val="0"/>
              <w:keepLines w:val="0"/>
              <w:pageBreakBefore w:val="0"/>
              <w:widowControl w:val="0"/>
              <w:kinsoku/>
              <w:wordWrap/>
              <w:overflowPunct/>
              <w:topLinePunct w:val="0"/>
              <w:autoSpaceDE/>
              <w:autoSpaceDN/>
              <w:bidi w:val="0"/>
              <w:spacing w:beforeLines="0" w:afterLines="0" w:line="360" w:lineRule="exact"/>
              <w:jc w:val="lef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分类</w:t>
            </w:r>
          </w:p>
        </w:tc>
        <w:tc>
          <w:tcPr>
            <w:tcW w:w="1446"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污染物名称</w:t>
            </w:r>
          </w:p>
        </w:tc>
        <w:tc>
          <w:tcPr>
            <w:tcW w:w="1384"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现有工程</w:t>
            </w:r>
          </w:p>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排放量（固体废物产生量）</w:t>
            </w:r>
            <w:r>
              <w:rPr>
                <w:rFonts w:hint="eastAsia" w:ascii="黑体" w:hAnsi="黑体" w:eastAsia="黑体" w:cs="黑体"/>
                <w:b/>
                <w:bCs/>
                <w:snapToGrid w:val="0"/>
                <w:color w:val="auto"/>
                <w:spacing w:val="-6"/>
                <w:kern w:val="21"/>
                <w:sz w:val="21"/>
                <w:szCs w:val="21"/>
                <w:highlight w:val="none"/>
              </w:rPr>
              <w:fldChar w:fldCharType="begin"/>
            </w:r>
            <w:r>
              <w:rPr>
                <w:rFonts w:hint="eastAsia" w:ascii="黑体" w:hAnsi="黑体" w:eastAsia="黑体" w:cs="黑体"/>
                <w:b/>
                <w:bCs/>
                <w:snapToGrid w:val="0"/>
                <w:color w:val="auto"/>
                <w:spacing w:val="-6"/>
                <w:kern w:val="21"/>
                <w:sz w:val="21"/>
                <w:szCs w:val="21"/>
                <w:highlight w:val="none"/>
              </w:rPr>
              <w:instrText xml:space="preserve"> = 1 \* GB3 \* MERGEFORMAT </w:instrText>
            </w:r>
            <w:r>
              <w:rPr>
                <w:rFonts w:hint="eastAsia" w:ascii="黑体" w:hAnsi="黑体" w:eastAsia="黑体" w:cs="黑体"/>
                <w:b/>
                <w:bCs/>
                <w:snapToGrid w:val="0"/>
                <w:color w:val="auto"/>
                <w:spacing w:val="-6"/>
                <w:kern w:val="21"/>
                <w:sz w:val="21"/>
                <w:szCs w:val="21"/>
                <w:highlight w:val="none"/>
              </w:rPr>
              <w:fldChar w:fldCharType="separate"/>
            </w:r>
            <w:r>
              <w:rPr>
                <w:rFonts w:hint="eastAsia" w:ascii="黑体" w:hAnsi="黑体" w:eastAsia="黑体" w:cs="黑体"/>
                <w:b/>
                <w:bCs/>
                <w:color w:val="auto"/>
                <w:kern w:val="2"/>
                <w:sz w:val="21"/>
                <w:szCs w:val="21"/>
                <w:highlight w:val="none"/>
              </w:rPr>
              <w:t>①</w:t>
            </w:r>
            <w:r>
              <w:rPr>
                <w:rFonts w:hint="eastAsia" w:ascii="黑体" w:hAnsi="黑体" w:eastAsia="黑体" w:cs="黑体"/>
                <w:b/>
                <w:bCs/>
                <w:snapToGrid w:val="0"/>
                <w:color w:val="auto"/>
                <w:spacing w:val="-6"/>
                <w:kern w:val="21"/>
                <w:sz w:val="21"/>
                <w:szCs w:val="21"/>
                <w:highlight w:val="none"/>
              </w:rPr>
              <w:fldChar w:fldCharType="end"/>
            </w:r>
          </w:p>
        </w:tc>
        <w:tc>
          <w:tcPr>
            <w:tcW w:w="1245"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现有工程</w:t>
            </w:r>
          </w:p>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许可排放量</w:t>
            </w:r>
          </w:p>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fldChar w:fldCharType="begin"/>
            </w:r>
            <w:r>
              <w:rPr>
                <w:rFonts w:hint="eastAsia" w:ascii="黑体" w:hAnsi="黑体" w:eastAsia="黑体" w:cs="黑体"/>
                <w:b/>
                <w:bCs/>
                <w:snapToGrid w:val="0"/>
                <w:color w:val="auto"/>
                <w:spacing w:val="-6"/>
                <w:kern w:val="21"/>
                <w:sz w:val="21"/>
                <w:szCs w:val="21"/>
                <w:highlight w:val="none"/>
              </w:rPr>
              <w:instrText xml:space="preserve"> = 2 \* GB3 \* MERGEFORMAT </w:instrText>
            </w:r>
            <w:r>
              <w:rPr>
                <w:rFonts w:hint="eastAsia" w:ascii="黑体" w:hAnsi="黑体" w:eastAsia="黑体" w:cs="黑体"/>
                <w:b/>
                <w:bCs/>
                <w:snapToGrid w:val="0"/>
                <w:color w:val="auto"/>
                <w:spacing w:val="-6"/>
                <w:kern w:val="21"/>
                <w:sz w:val="21"/>
                <w:szCs w:val="21"/>
                <w:highlight w:val="none"/>
              </w:rPr>
              <w:fldChar w:fldCharType="separate"/>
            </w:r>
            <w:r>
              <w:rPr>
                <w:rFonts w:hint="eastAsia" w:ascii="黑体" w:hAnsi="黑体" w:eastAsia="黑体" w:cs="黑体"/>
                <w:b/>
                <w:bCs/>
                <w:snapToGrid w:val="0"/>
                <w:color w:val="auto"/>
                <w:spacing w:val="-6"/>
                <w:kern w:val="21"/>
                <w:sz w:val="21"/>
                <w:szCs w:val="21"/>
                <w:highlight w:val="none"/>
              </w:rPr>
              <w:t>②</w:t>
            </w:r>
            <w:r>
              <w:rPr>
                <w:rFonts w:hint="eastAsia" w:ascii="黑体" w:hAnsi="黑体" w:eastAsia="黑体" w:cs="黑体"/>
                <w:b/>
                <w:bCs/>
                <w:snapToGrid w:val="0"/>
                <w:color w:val="auto"/>
                <w:spacing w:val="-6"/>
                <w:kern w:val="21"/>
                <w:sz w:val="21"/>
                <w:szCs w:val="21"/>
                <w:highlight w:val="none"/>
              </w:rPr>
              <w:fldChar w:fldCharType="end"/>
            </w:r>
          </w:p>
        </w:tc>
        <w:tc>
          <w:tcPr>
            <w:tcW w:w="1470"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在建工程</w:t>
            </w:r>
          </w:p>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排放量（固体废物产生量）</w:t>
            </w:r>
            <w:r>
              <w:rPr>
                <w:rFonts w:hint="eastAsia" w:ascii="黑体" w:hAnsi="黑体" w:eastAsia="黑体" w:cs="黑体"/>
                <w:b/>
                <w:bCs/>
                <w:snapToGrid w:val="0"/>
                <w:color w:val="auto"/>
                <w:spacing w:val="-6"/>
                <w:kern w:val="21"/>
                <w:sz w:val="21"/>
                <w:szCs w:val="21"/>
                <w:highlight w:val="none"/>
              </w:rPr>
              <w:fldChar w:fldCharType="begin"/>
            </w:r>
            <w:r>
              <w:rPr>
                <w:rFonts w:hint="eastAsia" w:ascii="黑体" w:hAnsi="黑体" w:eastAsia="黑体" w:cs="黑体"/>
                <w:b/>
                <w:bCs/>
                <w:snapToGrid w:val="0"/>
                <w:color w:val="auto"/>
                <w:spacing w:val="-6"/>
                <w:kern w:val="21"/>
                <w:sz w:val="21"/>
                <w:szCs w:val="21"/>
                <w:highlight w:val="none"/>
              </w:rPr>
              <w:instrText xml:space="preserve"> = 3 \* GB3 \* MERGEFORMAT </w:instrText>
            </w:r>
            <w:r>
              <w:rPr>
                <w:rFonts w:hint="eastAsia" w:ascii="黑体" w:hAnsi="黑体" w:eastAsia="黑体" w:cs="黑体"/>
                <w:b/>
                <w:bCs/>
                <w:snapToGrid w:val="0"/>
                <w:color w:val="auto"/>
                <w:spacing w:val="-6"/>
                <w:kern w:val="21"/>
                <w:sz w:val="21"/>
                <w:szCs w:val="21"/>
                <w:highlight w:val="none"/>
              </w:rPr>
              <w:fldChar w:fldCharType="separate"/>
            </w:r>
            <w:r>
              <w:rPr>
                <w:rFonts w:hint="eastAsia" w:ascii="黑体" w:hAnsi="黑体" w:eastAsia="黑体" w:cs="黑体"/>
                <w:b/>
                <w:bCs/>
                <w:color w:val="auto"/>
                <w:kern w:val="2"/>
                <w:sz w:val="21"/>
                <w:szCs w:val="21"/>
                <w:highlight w:val="none"/>
              </w:rPr>
              <w:t>③</w:t>
            </w:r>
            <w:r>
              <w:rPr>
                <w:rFonts w:hint="eastAsia" w:ascii="黑体" w:hAnsi="黑体" w:eastAsia="黑体" w:cs="黑体"/>
                <w:b/>
                <w:bCs/>
                <w:snapToGrid w:val="0"/>
                <w:color w:val="auto"/>
                <w:spacing w:val="-6"/>
                <w:kern w:val="21"/>
                <w:sz w:val="21"/>
                <w:szCs w:val="21"/>
                <w:highlight w:val="none"/>
              </w:rPr>
              <w:fldChar w:fldCharType="end"/>
            </w:r>
          </w:p>
        </w:tc>
        <w:tc>
          <w:tcPr>
            <w:tcW w:w="1500"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本项目</w:t>
            </w:r>
          </w:p>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排放量（固体废物产生量）</w:t>
            </w:r>
            <w:r>
              <w:rPr>
                <w:rFonts w:hint="eastAsia" w:ascii="黑体" w:hAnsi="黑体" w:eastAsia="黑体" w:cs="黑体"/>
                <w:b/>
                <w:bCs/>
                <w:snapToGrid w:val="0"/>
                <w:color w:val="auto"/>
                <w:spacing w:val="-6"/>
                <w:kern w:val="21"/>
                <w:sz w:val="21"/>
                <w:szCs w:val="21"/>
                <w:highlight w:val="none"/>
              </w:rPr>
              <w:fldChar w:fldCharType="begin"/>
            </w:r>
            <w:r>
              <w:rPr>
                <w:rFonts w:hint="eastAsia" w:ascii="黑体" w:hAnsi="黑体" w:eastAsia="黑体" w:cs="黑体"/>
                <w:b/>
                <w:bCs/>
                <w:snapToGrid w:val="0"/>
                <w:color w:val="auto"/>
                <w:spacing w:val="-6"/>
                <w:kern w:val="21"/>
                <w:sz w:val="21"/>
                <w:szCs w:val="21"/>
                <w:highlight w:val="none"/>
              </w:rPr>
              <w:instrText xml:space="preserve"> = 4 \* GB3 \* MERGEFORMAT </w:instrText>
            </w:r>
            <w:r>
              <w:rPr>
                <w:rFonts w:hint="eastAsia" w:ascii="黑体" w:hAnsi="黑体" w:eastAsia="黑体" w:cs="黑体"/>
                <w:b/>
                <w:bCs/>
                <w:snapToGrid w:val="0"/>
                <w:color w:val="auto"/>
                <w:spacing w:val="-6"/>
                <w:kern w:val="21"/>
                <w:sz w:val="21"/>
                <w:szCs w:val="21"/>
                <w:highlight w:val="none"/>
              </w:rPr>
              <w:fldChar w:fldCharType="separate"/>
            </w:r>
            <w:r>
              <w:rPr>
                <w:rFonts w:hint="eastAsia" w:ascii="黑体" w:hAnsi="黑体" w:eastAsia="黑体" w:cs="黑体"/>
                <w:b/>
                <w:bCs/>
                <w:color w:val="auto"/>
                <w:kern w:val="2"/>
                <w:sz w:val="21"/>
                <w:szCs w:val="21"/>
                <w:highlight w:val="none"/>
              </w:rPr>
              <w:t>④</w:t>
            </w:r>
            <w:r>
              <w:rPr>
                <w:rFonts w:hint="eastAsia" w:ascii="黑体" w:hAnsi="黑体" w:eastAsia="黑体" w:cs="黑体"/>
                <w:b/>
                <w:bCs/>
                <w:snapToGrid w:val="0"/>
                <w:color w:val="auto"/>
                <w:spacing w:val="-6"/>
                <w:kern w:val="21"/>
                <w:sz w:val="21"/>
                <w:szCs w:val="21"/>
                <w:highlight w:val="none"/>
              </w:rPr>
              <w:fldChar w:fldCharType="end"/>
            </w:r>
          </w:p>
        </w:tc>
        <w:tc>
          <w:tcPr>
            <w:tcW w:w="1650"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16"/>
                <w:kern w:val="21"/>
                <w:sz w:val="21"/>
                <w:szCs w:val="21"/>
                <w:highlight w:val="none"/>
              </w:rPr>
            </w:pPr>
            <w:r>
              <w:rPr>
                <w:rFonts w:hint="eastAsia" w:ascii="黑体" w:hAnsi="黑体" w:eastAsia="黑体" w:cs="黑体"/>
                <w:b/>
                <w:bCs/>
                <w:snapToGrid w:val="0"/>
                <w:color w:val="auto"/>
                <w:spacing w:val="-16"/>
                <w:kern w:val="21"/>
                <w:sz w:val="21"/>
                <w:szCs w:val="21"/>
                <w:highlight w:val="none"/>
              </w:rPr>
              <w:t>以新带老削减量</w:t>
            </w:r>
          </w:p>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16"/>
                <w:kern w:val="21"/>
                <w:sz w:val="21"/>
                <w:szCs w:val="21"/>
                <w:highlight w:val="none"/>
              </w:rPr>
            </w:pPr>
            <w:r>
              <w:rPr>
                <w:rFonts w:hint="eastAsia" w:ascii="黑体" w:hAnsi="黑体" w:eastAsia="黑体" w:cs="黑体"/>
                <w:b/>
                <w:bCs/>
                <w:snapToGrid w:val="0"/>
                <w:color w:val="auto"/>
                <w:spacing w:val="-16"/>
                <w:kern w:val="21"/>
                <w:sz w:val="21"/>
                <w:szCs w:val="21"/>
                <w:highlight w:val="none"/>
              </w:rPr>
              <w:t>（新建项目不填）</w:t>
            </w:r>
            <w:r>
              <w:rPr>
                <w:rFonts w:hint="eastAsia" w:ascii="黑体" w:hAnsi="黑体" w:eastAsia="黑体" w:cs="黑体"/>
                <w:b/>
                <w:bCs/>
                <w:snapToGrid w:val="0"/>
                <w:color w:val="auto"/>
                <w:spacing w:val="-16"/>
                <w:kern w:val="21"/>
                <w:sz w:val="21"/>
                <w:szCs w:val="21"/>
                <w:highlight w:val="none"/>
              </w:rPr>
              <w:fldChar w:fldCharType="begin"/>
            </w:r>
            <w:r>
              <w:rPr>
                <w:rFonts w:hint="eastAsia" w:ascii="黑体" w:hAnsi="黑体" w:eastAsia="黑体" w:cs="黑体"/>
                <w:b/>
                <w:bCs/>
                <w:snapToGrid w:val="0"/>
                <w:color w:val="auto"/>
                <w:spacing w:val="-16"/>
                <w:kern w:val="21"/>
                <w:sz w:val="21"/>
                <w:szCs w:val="21"/>
                <w:highlight w:val="none"/>
              </w:rPr>
              <w:instrText xml:space="preserve"> = 5 \* GB3 \* MERGEFORMAT </w:instrText>
            </w:r>
            <w:r>
              <w:rPr>
                <w:rFonts w:hint="eastAsia" w:ascii="黑体" w:hAnsi="黑体" w:eastAsia="黑体" w:cs="黑体"/>
                <w:b/>
                <w:bCs/>
                <w:snapToGrid w:val="0"/>
                <w:color w:val="auto"/>
                <w:spacing w:val="-16"/>
                <w:kern w:val="21"/>
                <w:sz w:val="21"/>
                <w:szCs w:val="21"/>
                <w:highlight w:val="none"/>
              </w:rPr>
              <w:fldChar w:fldCharType="separate"/>
            </w:r>
            <w:r>
              <w:rPr>
                <w:rFonts w:hint="eastAsia" w:ascii="黑体" w:hAnsi="黑体" w:eastAsia="黑体" w:cs="黑体"/>
                <w:b/>
                <w:bCs/>
                <w:color w:val="auto"/>
                <w:kern w:val="2"/>
                <w:sz w:val="21"/>
                <w:szCs w:val="21"/>
                <w:highlight w:val="none"/>
              </w:rPr>
              <w:t>⑤</w:t>
            </w:r>
            <w:r>
              <w:rPr>
                <w:rFonts w:hint="eastAsia" w:ascii="黑体" w:hAnsi="黑体" w:eastAsia="黑体" w:cs="黑体"/>
                <w:b/>
                <w:bCs/>
                <w:snapToGrid w:val="0"/>
                <w:color w:val="auto"/>
                <w:spacing w:val="-16"/>
                <w:kern w:val="21"/>
                <w:sz w:val="21"/>
                <w:szCs w:val="21"/>
                <w:highlight w:val="none"/>
              </w:rPr>
              <w:fldChar w:fldCharType="end"/>
            </w:r>
          </w:p>
        </w:tc>
        <w:tc>
          <w:tcPr>
            <w:tcW w:w="2115"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16"/>
                <w:kern w:val="21"/>
                <w:sz w:val="21"/>
                <w:szCs w:val="21"/>
                <w:highlight w:val="none"/>
              </w:rPr>
            </w:pPr>
            <w:r>
              <w:rPr>
                <w:rFonts w:hint="eastAsia" w:ascii="黑体" w:hAnsi="黑体" w:eastAsia="黑体" w:cs="黑体"/>
                <w:b/>
                <w:bCs/>
                <w:snapToGrid w:val="0"/>
                <w:color w:val="auto"/>
                <w:spacing w:val="-16"/>
                <w:kern w:val="21"/>
                <w:sz w:val="21"/>
                <w:szCs w:val="21"/>
                <w:highlight w:val="none"/>
              </w:rPr>
              <w:t>本项目建成后</w:t>
            </w:r>
          </w:p>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16"/>
                <w:kern w:val="21"/>
                <w:sz w:val="21"/>
                <w:szCs w:val="21"/>
                <w:highlight w:val="none"/>
              </w:rPr>
            </w:pPr>
            <w:r>
              <w:rPr>
                <w:rFonts w:hint="eastAsia" w:ascii="黑体" w:hAnsi="黑体" w:eastAsia="黑体" w:cs="黑体"/>
                <w:b/>
                <w:bCs/>
                <w:snapToGrid w:val="0"/>
                <w:color w:val="auto"/>
                <w:spacing w:val="-16"/>
                <w:kern w:val="21"/>
                <w:sz w:val="21"/>
                <w:szCs w:val="21"/>
                <w:highlight w:val="none"/>
              </w:rPr>
              <w:t>全厂排放量（固体废物产生量）</w:t>
            </w:r>
            <w:r>
              <w:rPr>
                <w:rFonts w:hint="eastAsia" w:ascii="黑体" w:hAnsi="黑体" w:eastAsia="黑体" w:cs="黑体"/>
                <w:b/>
                <w:bCs/>
                <w:snapToGrid w:val="0"/>
                <w:color w:val="auto"/>
                <w:spacing w:val="-16"/>
                <w:kern w:val="21"/>
                <w:sz w:val="21"/>
                <w:szCs w:val="21"/>
                <w:highlight w:val="none"/>
              </w:rPr>
              <w:fldChar w:fldCharType="begin"/>
            </w:r>
            <w:r>
              <w:rPr>
                <w:rFonts w:hint="eastAsia" w:ascii="黑体" w:hAnsi="黑体" w:eastAsia="黑体" w:cs="黑体"/>
                <w:b/>
                <w:bCs/>
                <w:snapToGrid w:val="0"/>
                <w:color w:val="auto"/>
                <w:spacing w:val="-16"/>
                <w:kern w:val="21"/>
                <w:sz w:val="21"/>
                <w:szCs w:val="21"/>
                <w:highlight w:val="none"/>
              </w:rPr>
              <w:instrText xml:space="preserve"> = 6 \* GB3 \* MERGEFORMAT </w:instrText>
            </w:r>
            <w:r>
              <w:rPr>
                <w:rFonts w:hint="eastAsia" w:ascii="黑体" w:hAnsi="黑体" w:eastAsia="黑体" w:cs="黑体"/>
                <w:b/>
                <w:bCs/>
                <w:snapToGrid w:val="0"/>
                <w:color w:val="auto"/>
                <w:spacing w:val="-16"/>
                <w:kern w:val="21"/>
                <w:sz w:val="21"/>
                <w:szCs w:val="21"/>
                <w:highlight w:val="none"/>
              </w:rPr>
              <w:fldChar w:fldCharType="separate"/>
            </w:r>
            <w:r>
              <w:rPr>
                <w:rFonts w:hint="eastAsia" w:ascii="黑体" w:hAnsi="黑体" w:eastAsia="黑体" w:cs="黑体"/>
                <w:b/>
                <w:bCs/>
                <w:color w:val="auto"/>
                <w:kern w:val="2"/>
                <w:sz w:val="21"/>
                <w:szCs w:val="21"/>
                <w:highlight w:val="none"/>
              </w:rPr>
              <w:t>⑥</w:t>
            </w:r>
            <w:r>
              <w:rPr>
                <w:rFonts w:hint="eastAsia" w:ascii="黑体" w:hAnsi="黑体" w:eastAsia="黑体" w:cs="黑体"/>
                <w:b/>
                <w:bCs/>
                <w:snapToGrid w:val="0"/>
                <w:color w:val="auto"/>
                <w:spacing w:val="-16"/>
                <w:kern w:val="21"/>
                <w:sz w:val="21"/>
                <w:szCs w:val="21"/>
                <w:highlight w:val="none"/>
              </w:rPr>
              <w:fldChar w:fldCharType="end"/>
            </w:r>
          </w:p>
        </w:tc>
        <w:tc>
          <w:tcPr>
            <w:tcW w:w="1556" w:type="dxa"/>
            <w:noWrap w:val="0"/>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t>变化量</w:t>
            </w:r>
          </w:p>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eastAsia" w:ascii="黑体" w:hAnsi="黑体" w:eastAsia="黑体" w:cs="黑体"/>
                <w:b/>
                <w:bCs/>
                <w:snapToGrid w:val="0"/>
                <w:color w:val="auto"/>
                <w:spacing w:val="-6"/>
                <w:kern w:val="21"/>
                <w:sz w:val="21"/>
                <w:szCs w:val="21"/>
                <w:highlight w:val="none"/>
              </w:rPr>
            </w:pPr>
            <w:r>
              <w:rPr>
                <w:rFonts w:hint="eastAsia" w:ascii="黑体" w:hAnsi="黑体" w:eastAsia="黑体" w:cs="黑体"/>
                <w:b/>
                <w:bCs/>
                <w:snapToGrid w:val="0"/>
                <w:color w:val="auto"/>
                <w:spacing w:val="-6"/>
                <w:kern w:val="21"/>
                <w:sz w:val="21"/>
                <w:szCs w:val="21"/>
                <w:highlight w:val="none"/>
              </w:rPr>
              <w:fldChar w:fldCharType="begin"/>
            </w:r>
            <w:r>
              <w:rPr>
                <w:rFonts w:hint="eastAsia" w:ascii="黑体" w:hAnsi="黑体" w:eastAsia="黑体" w:cs="黑体"/>
                <w:b/>
                <w:bCs/>
                <w:snapToGrid w:val="0"/>
                <w:color w:val="auto"/>
                <w:spacing w:val="-6"/>
                <w:kern w:val="21"/>
                <w:sz w:val="21"/>
                <w:szCs w:val="21"/>
                <w:highlight w:val="none"/>
              </w:rPr>
              <w:instrText xml:space="preserve"> = 7 \* GB3 \* MERGEFORMAT </w:instrText>
            </w:r>
            <w:r>
              <w:rPr>
                <w:rFonts w:hint="eastAsia" w:ascii="黑体" w:hAnsi="黑体" w:eastAsia="黑体" w:cs="黑体"/>
                <w:b/>
                <w:bCs/>
                <w:snapToGrid w:val="0"/>
                <w:color w:val="auto"/>
                <w:spacing w:val="-6"/>
                <w:kern w:val="21"/>
                <w:sz w:val="21"/>
                <w:szCs w:val="21"/>
                <w:highlight w:val="none"/>
              </w:rPr>
              <w:fldChar w:fldCharType="separate"/>
            </w:r>
            <w:r>
              <w:rPr>
                <w:rFonts w:hint="eastAsia" w:ascii="黑体" w:hAnsi="黑体" w:eastAsia="黑体" w:cs="黑体"/>
                <w:b/>
                <w:bCs/>
                <w:color w:val="auto"/>
                <w:kern w:val="2"/>
                <w:sz w:val="21"/>
                <w:szCs w:val="21"/>
                <w:highlight w:val="none"/>
              </w:rPr>
              <w:t>⑦</w:t>
            </w:r>
            <w:r>
              <w:rPr>
                <w:rFonts w:hint="eastAsia" w:ascii="黑体" w:hAnsi="黑体" w:eastAsia="黑体" w:cs="黑体"/>
                <w:b/>
                <w:bCs/>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22" w:type="dxa"/>
            <w:vMerge w:val="restart"/>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446"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eastAsia="zh-CN"/>
              </w:rPr>
              <w:t>颗粒物</w:t>
            </w: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1.40t/a</w:t>
            </w: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1.40</w:t>
            </w:r>
            <w:r>
              <w:rPr>
                <w:rFonts w:hint="default" w:ascii="Times New Roman" w:hAnsi="Times New Roman" w:eastAsia="宋体" w:cs="Times New Roman"/>
                <w:snapToGrid w:val="0"/>
                <w:color w:val="auto"/>
                <w:kern w:val="21"/>
                <w:sz w:val="21"/>
                <w:szCs w:val="21"/>
                <w:highlight w:val="none"/>
                <w:lang w:val="en-US" w:eastAsia="zh-CN"/>
              </w:rPr>
              <w:t>t/a</w:t>
            </w:r>
          </w:p>
        </w:tc>
        <w:tc>
          <w:tcPr>
            <w:tcW w:w="1556"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+1.40</w:t>
            </w:r>
            <w:r>
              <w:rPr>
                <w:rFonts w:hint="default" w:ascii="Times New Roman" w:hAnsi="Times New Roman" w:eastAsia="宋体" w:cs="Times New Roman"/>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22" w:type="dxa"/>
            <w:vMerge w:val="continue"/>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46"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SO</w:t>
            </w:r>
            <w:r>
              <w:rPr>
                <w:rFonts w:hint="default" w:ascii="Times New Roman" w:hAnsi="Times New Roman" w:eastAsia="宋体" w:cs="Times New Roman"/>
                <w:snapToGrid w:val="0"/>
                <w:color w:val="auto"/>
                <w:kern w:val="21"/>
                <w:sz w:val="21"/>
                <w:szCs w:val="21"/>
                <w:highlight w:val="none"/>
                <w:vertAlign w:val="subscript"/>
                <w:lang w:val="en-US" w:eastAsia="zh-CN" w:bidi="ar-SA"/>
              </w:rPr>
              <w:t>2</w:t>
            </w: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2.54</w:t>
            </w:r>
            <w:r>
              <w:rPr>
                <w:rFonts w:hint="default" w:ascii="Times New Roman" w:hAnsi="Times New Roman" w:eastAsia="宋体" w:cs="Times New Roman"/>
                <w:snapToGrid w:val="0"/>
                <w:color w:val="auto"/>
                <w:kern w:val="21"/>
                <w:sz w:val="21"/>
                <w:szCs w:val="21"/>
                <w:highlight w:val="none"/>
                <w:lang w:val="en-US" w:eastAsia="zh-CN"/>
              </w:rPr>
              <w:t>t/a</w:t>
            </w: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2.54</w:t>
            </w:r>
            <w:r>
              <w:rPr>
                <w:rFonts w:hint="default" w:ascii="Times New Roman" w:hAnsi="Times New Roman" w:eastAsia="宋体" w:cs="Times New Roman"/>
                <w:snapToGrid w:val="0"/>
                <w:color w:val="auto"/>
                <w:kern w:val="21"/>
                <w:sz w:val="21"/>
                <w:szCs w:val="21"/>
                <w:highlight w:val="none"/>
                <w:lang w:val="en-US" w:eastAsia="zh-CN"/>
              </w:rPr>
              <w:t>t/a</w:t>
            </w:r>
          </w:p>
        </w:tc>
        <w:tc>
          <w:tcPr>
            <w:tcW w:w="1556"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+2.54</w:t>
            </w:r>
            <w:r>
              <w:rPr>
                <w:rFonts w:hint="default" w:ascii="Times New Roman" w:hAnsi="Times New Roman" w:eastAsia="宋体" w:cs="Times New Roman"/>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1422" w:type="dxa"/>
            <w:vMerge w:val="continue"/>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46"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NO</w:t>
            </w:r>
            <w:r>
              <w:rPr>
                <w:rFonts w:hint="default" w:ascii="Times New Roman" w:hAnsi="Times New Roman" w:eastAsia="宋体" w:cs="Times New Roman"/>
                <w:snapToGrid w:val="0"/>
                <w:color w:val="auto"/>
                <w:kern w:val="21"/>
                <w:sz w:val="21"/>
                <w:szCs w:val="21"/>
                <w:highlight w:val="none"/>
                <w:vertAlign w:val="subscript"/>
                <w:lang w:val="en-US" w:eastAsia="zh-CN" w:bidi="ar-SA"/>
              </w:rPr>
              <w:t>X</w:t>
            </w: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2.67</w:t>
            </w:r>
            <w:r>
              <w:rPr>
                <w:rFonts w:hint="default" w:ascii="Times New Roman" w:hAnsi="Times New Roman" w:eastAsia="宋体" w:cs="Times New Roman"/>
                <w:snapToGrid w:val="0"/>
                <w:color w:val="auto"/>
                <w:kern w:val="21"/>
                <w:sz w:val="21"/>
                <w:szCs w:val="21"/>
                <w:highlight w:val="none"/>
                <w:lang w:val="en-US" w:eastAsia="zh-CN"/>
              </w:rPr>
              <w:t>t/a</w:t>
            </w: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2.67</w:t>
            </w:r>
            <w:r>
              <w:rPr>
                <w:rFonts w:hint="default" w:ascii="Times New Roman" w:hAnsi="Times New Roman" w:eastAsia="宋体" w:cs="Times New Roman"/>
                <w:snapToGrid w:val="0"/>
                <w:color w:val="auto"/>
                <w:kern w:val="21"/>
                <w:sz w:val="21"/>
                <w:szCs w:val="21"/>
                <w:highlight w:val="none"/>
                <w:lang w:val="en-US" w:eastAsia="zh-CN"/>
              </w:rPr>
              <w:t>t/a</w:t>
            </w:r>
          </w:p>
        </w:tc>
        <w:tc>
          <w:tcPr>
            <w:tcW w:w="1556"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+2.67</w:t>
            </w:r>
            <w:r>
              <w:rPr>
                <w:rFonts w:hint="default" w:ascii="Times New Roman" w:hAnsi="Times New Roman" w:eastAsia="宋体" w:cs="Times New Roman"/>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422" w:type="dxa"/>
            <w:vMerge w:val="restart"/>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144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422" w:type="dxa"/>
            <w:vMerge w:val="continue"/>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4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422" w:type="dxa"/>
            <w:vMerge w:val="continue"/>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4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2" w:type="dxa"/>
            <w:vMerge w:val="continue"/>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4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422" w:type="dxa"/>
            <w:vMerge w:val="restart"/>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w:t>
            </w:r>
          </w:p>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固体废物</w:t>
            </w:r>
          </w:p>
        </w:tc>
        <w:tc>
          <w:tcPr>
            <w:tcW w:w="1446"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热风炉炉渣</w:t>
            </w: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1600</w:t>
            </w:r>
            <w:r>
              <w:rPr>
                <w:rFonts w:hint="default" w:ascii="Times New Roman" w:hAnsi="Times New Roman" w:eastAsia="宋体" w:cs="Times New Roman"/>
                <w:snapToGrid w:val="0"/>
                <w:color w:val="auto"/>
                <w:kern w:val="21"/>
                <w:sz w:val="21"/>
                <w:szCs w:val="21"/>
                <w:highlight w:val="none"/>
                <w:lang w:val="en-US" w:eastAsia="zh-CN"/>
              </w:rPr>
              <w:t>t/a</w:t>
            </w: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1600</w:t>
            </w:r>
            <w:r>
              <w:rPr>
                <w:rFonts w:hint="default" w:ascii="Times New Roman" w:hAnsi="Times New Roman" w:eastAsia="宋体" w:cs="Times New Roman"/>
                <w:snapToGrid w:val="0"/>
                <w:color w:val="auto"/>
                <w:kern w:val="21"/>
                <w:sz w:val="21"/>
                <w:szCs w:val="21"/>
                <w:highlight w:val="none"/>
                <w:lang w:val="en-US" w:eastAsia="zh-CN"/>
              </w:rPr>
              <w:t>t/a</w:t>
            </w:r>
          </w:p>
        </w:tc>
        <w:tc>
          <w:tcPr>
            <w:tcW w:w="1556"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+1600</w:t>
            </w:r>
            <w:r>
              <w:rPr>
                <w:rFonts w:hint="default" w:ascii="Times New Roman" w:hAnsi="Times New Roman" w:eastAsia="宋体" w:cs="Times New Roman"/>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22" w:type="dxa"/>
            <w:vMerge w:val="continue"/>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46"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56"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422" w:type="dxa"/>
            <w:vMerge w:val="continue"/>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46"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56"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422" w:type="dxa"/>
            <w:vMerge w:val="continue"/>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46"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00"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5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115"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556" w:type="dxa"/>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2" w:type="dxa"/>
            <w:vMerge w:val="restart"/>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1446"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sz w:val="21"/>
                <w:szCs w:val="21"/>
                <w:highlight w:val="none"/>
                <w:lang w:eastAsia="zh-CN"/>
              </w:rPr>
              <w:t>废机油</w:t>
            </w: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500"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0.12t/a</w:t>
            </w:r>
          </w:p>
        </w:tc>
        <w:tc>
          <w:tcPr>
            <w:tcW w:w="1650"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2115"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0.12t/a</w:t>
            </w:r>
          </w:p>
        </w:tc>
        <w:tc>
          <w:tcPr>
            <w:tcW w:w="1556"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r>
              <w:rPr>
                <w:rFonts w:hint="default" w:ascii="Times New Roman" w:hAnsi="Times New Roman" w:eastAsia="宋体" w:cs="Times New Roman"/>
                <w:snapToGrid w:val="0"/>
                <w:color w:val="auto"/>
                <w:kern w:val="21"/>
                <w:sz w:val="21"/>
                <w:szCs w:val="21"/>
                <w:highlight w:val="none"/>
                <w:lang w:val="en-US" w:eastAsia="zh-CN"/>
              </w:rPr>
              <w:t>0.12t/a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2" w:type="dxa"/>
            <w:vMerge w:val="continue"/>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46"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废机油桶</w:t>
            </w:r>
          </w:p>
        </w:tc>
        <w:tc>
          <w:tcPr>
            <w:tcW w:w="1384"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245"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470" w:type="dxa"/>
            <w:noWrap w:val="0"/>
            <w:vAlign w:val="center"/>
          </w:tcPr>
          <w:p>
            <w:pPr>
              <w:pStyle w:val="42"/>
              <w:keepNext w:val="0"/>
              <w:keepLines w:val="0"/>
              <w:pageBreakBefore w:val="0"/>
              <w:widowControl w:val="0"/>
              <w:kinsoku/>
              <w:wordWrap/>
              <w:overflowPunct/>
              <w:topLinePunct w:val="0"/>
              <w:autoSpaceDE/>
              <w:autoSpaceDN/>
              <w:bidi w:val="0"/>
              <w:spacing w:beforeLines="0" w:afterLines="0" w:line="360" w:lineRule="exact"/>
              <w:textAlignment w:val="auto"/>
              <w:rPr>
                <w:rFonts w:hint="default" w:ascii="Times New Roman" w:hAnsi="Times New Roman" w:eastAsia="宋体" w:cs="Times New Roman"/>
                <w:snapToGrid w:val="0"/>
                <w:color w:val="auto"/>
                <w:kern w:val="21"/>
                <w:sz w:val="21"/>
                <w:szCs w:val="21"/>
                <w:highlight w:val="none"/>
              </w:rPr>
            </w:pPr>
          </w:p>
        </w:tc>
        <w:tc>
          <w:tcPr>
            <w:tcW w:w="1500"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0.01t/a</w:t>
            </w:r>
          </w:p>
        </w:tc>
        <w:tc>
          <w:tcPr>
            <w:tcW w:w="1650"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2115"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0.01t/a</w:t>
            </w:r>
          </w:p>
        </w:tc>
        <w:tc>
          <w:tcPr>
            <w:tcW w:w="1556" w:type="dxa"/>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r>
              <w:rPr>
                <w:rFonts w:hint="default" w:ascii="Times New Roman" w:hAnsi="Times New Roman" w:eastAsia="宋体" w:cs="Times New Roman"/>
                <w:snapToGrid w:val="0"/>
                <w:color w:val="auto"/>
                <w:kern w:val="21"/>
                <w:sz w:val="21"/>
                <w:szCs w:val="21"/>
                <w:highlight w:val="none"/>
                <w:lang w:val="en-US" w:eastAsia="zh-CN"/>
              </w:rPr>
              <w:t>0.01t/a</w:t>
            </w:r>
          </w:p>
        </w:tc>
      </w:tr>
    </w:tbl>
    <w:p>
      <w:pPr>
        <w:pStyle w:val="42"/>
        <w:spacing w:before="192" w:beforeLines="80" w:after="24"/>
        <w:jc w:val="lef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rPr>
          <w:color w:val="auto"/>
          <w:highlight w:val="none"/>
        </w:rPr>
        <w:sectPr>
          <w:pgSz w:w="16838" w:h="11906" w:orient="landscape"/>
          <w:pgMar w:top="1417" w:right="1418"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pPr>
      <w:bookmarkStart w:id="2" w:name="_GoBack"/>
      <w:bookmarkEnd w:id="2"/>
    </w:p>
    <w:sectPr>
      <w:footerReference r:id="rId8" w:type="default"/>
      <w:pgSz w:w="11906" w:h="16838"/>
      <w:pgMar w:top="0" w:right="0" w:bottom="0" w:left="0" w:header="0" w:footer="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方正小标宋_GBK">
    <w:panose1 w:val="03000509000000000000"/>
    <w:charset w:val="86"/>
    <w:family w:val="script"/>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jc w:val="left"/>
      <w:rPr>
        <w:rFonts w:ascii="Calibri" w:hAnsi="Calibri"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23659F"/>
    <w:multiLevelType w:val="multilevel"/>
    <w:tmpl w:val="D423659F"/>
    <w:lvl w:ilvl="0" w:tentative="0">
      <w:start w:val="1"/>
      <w:numFmt w:val="decimal"/>
      <w:suff w:val="space"/>
      <w:lvlText w:val="第%1章"/>
      <w:lvlJc w:val="left"/>
      <w:pPr>
        <w:tabs>
          <w:tab w:val="left" w:pos="0"/>
        </w:tabs>
        <w:ind w:left="0" w:firstLine="0"/>
      </w:pPr>
      <w:rPr>
        <w:rFonts w:hint="default" w:ascii="宋体" w:hAnsi="宋体" w:eastAsia="宋体" w:cs="宋体"/>
        <w:b/>
        <w:bCs/>
        <w:sz w:val="44"/>
        <w:szCs w:val="44"/>
      </w:rPr>
    </w:lvl>
    <w:lvl w:ilvl="1" w:tentative="0">
      <w:start w:val="1"/>
      <w:numFmt w:val="decimal"/>
      <w:isLgl/>
      <w:suff w:val="space"/>
      <w:lvlText w:val="%1.%2"/>
      <w:lvlJc w:val="left"/>
      <w:pPr>
        <w:tabs>
          <w:tab w:val="left" w:pos="0"/>
        </w:tabs>
        <w:ind w:left="0" w:firstLine="0"/>
      </w:pPr>
      <w:rPr>
        <w:rFonts w:hint="default" w:ascii="宋体" w:hAnsi="宋体" w:eastAsia="宋体" w:cs="宋体"/>
        <w:b/>
        <w:sz w:val="32"/>
        <w:szCs w:val="32"/>
      </w:rPr>
    </w:lvl>
    <w:lvl w:ilvl="2" w:tentative="0">
      <w:start w:val="1"/>
      <w:numFmt w:val="decimal"/>
      <w:suff w:val="space"/>
      <w:lvlText w:val="%1.%2.%3"/>
      <w:lvlJc w:val="left"/>
      <w:pPr>
        <w:tabs>
          <w:tab w:val="left" w:pos="420"/>
        </w:tabs>
        <w:ind w:left="0" w:firstLine="0"/>
      </w:pPr>
      <w:rPr>
        <w:rFonts w:hint="default" w:ascii="宋体" w:hAnsi="宋体" w:eastAsia="宋体" w:cs="宋体"/>
        <w:b/>
        <w:bCs/>
        <w:snapToGrid w:val="0"/>
        <w:sz w:val="30"/>
        <w:szCs w:val="30"/>
      </w:rPr>
    </w:lvl>
    <w:lvl w:ilvl="3" w:tentative="0">
      <w:start w:val="1"/>
      <w:numFmt w:val="decimal"/>
      <w:pStyle w:val="5"/>
      <w:suff w:val="space"/>
      <w:lvlText w:val="%1.%2.%3.%4"/>
      <w:lvlJc w:val="left"/>
      <w:pPr>
        <w:tabs>
          <w:tab w:val="left" w:pos="420"/>
        </w:tabs>
        <w:ind w:left="0" w:firstLine="0"/>
      </w:pPr>
      <w:rPr>
        <w:rFonts w:hint="default" w:ascii="宋体" w:hAnsi="宋体" w:eastAsia="宋体" w:cs="宋体"/>
        <w:b/>
        <w:bCs/>
        <w:snapToGrid w:val="0"/>
        <w:sz w:val="28"/>
        <w:szCs w:val="28"/>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lMDJkMWY0NzMwOTMyNjM3YWM1MjE4YWZjMjliZmIifQ=="/>
  </w:docVars>
  <w:rsids>
    <w:rsidRoot w:val="00000000"/>
    <w:rsid w:val="00202D47"/>
    <w:rsid w:val="002939E6"/>
    <w:rsid w:val="00446D6C"/>
    <w:rsid w:val="004B62E5"/>
    <w:rsid w:val="005C2981"/>
    <w:rsid w:val="00683296"/>
    <w:rsid w:val="006845A8"/>
    <w:rsid w:val="00D571EB"/>
    <w:rsid w:val="01030DE8"/>
    <w:rsid w:val="01080FC1"/>
    <w:rsid w:val="010B53BD"/>
    <w:rsid w:val="01224A06"/>
    <w:rsid w:val="013819CE"/>
    <w:rsid w:val="014A6CEA"/>
    <w:rsid w:val="01953687"/>
    <w:rsid w:val="01AB14F3"/>
    <w:rsid w:val="01DC57B1"/>
    <w:rsid w:val="01F810E2"/>
    <w:rsid w:val="02073812"/>
    <w:rsid w:val="020F0340"/>
    <w:rsid w:val="021D4940"/>
    <w:rsid w:val="021D5E37"/>
    <w:rsid w:val="021E7AAF"/>
    <w:rsid w:val="02A00C82"/>
    <w:rsid w:val="02A550C9"/>
    <w:rsid w:val="02A775C2"/>
    <w:rsid w:val="02AE5F67"/>
    <w:rsid w:val="02D14EAF"/>
    <w:rsid w:val="02E12658"/>
    <w:rsid w:val="033655C2"/>
    <w:rsid w:val="0344184D"/>
    <w:rsid w:val="035C498B"/>
    <w:rsid w:val="036659CB"/>
    <w:rsid w:val="03734D1B"/>
    <w:rsid w:val="03833449"/>
    <w:rsid w:val="03977221"/>
    <w:rsid w:val="03AF7AB8"/>
    <w:rsid w:val="03B007DC"/>
    <w:rsid w:val="03C91C4B"/>
    <w:rsid w:val="03F67081"/>
    <w:rsid w:val="03F72975"/>
    <w:rsid w:val="04127EE3"/>
    <w:rsid w:val="042E253E"/>
    <w:rsid w:val="043475AE"/>
    <w:rsid w:val="043D7D28"/>
    <w:rsid w:val="04876E0B"/>
    <w:rsid w:val="04B664BF"/>
    <w:rsid w:val="04FA672F"/>
    <w:rsid w:val="04FB7CA8"/>
    <w:rsid w:val="0515555C"/>
    <w:rsid w:val="0523052E"/>
    <w:rsid w:val="052626FE"/>
    <w:rsid w:val="052D1795"/>
    <w:rsid w:val="05505869"/>
    <w:rsid w:val="057B5527"/>
    <w:rsid w:val="057F6F6F"/>
    <w:rsid w:val="058D598A"/>
    <w:rsid w:val="05D225A5"/>
    <w:rsid w:val="05F81055"/>
    <w:rsid w:val="061318B9"/>
    <w:rsid w:val="062A28D5"/>
    <w:rsid w:val="06442BCA"/>
    <w:rsid w:val="06443C69"/>
    <w:rsid w:val="064A6E19"/>
    <w:rsid w:val="06710F67"/>
    <w:rsid w:val="067A6FE4"/>
    <w:rsid w:val="06BE54E3"/>
    <w:rsid w:val="070F693F"/>
    <w:rsid w:val="072B0FB7"/>
    <w:rsid w:val="07304E31"/>
    <w:rsid w:val="07520C39"/>
    <w:rsid w:val="0752433A"/>
    <w:rsid w:val="075965AF"/>
    <w:rsid w:val="07596CDB"/>
    <w:rsid w:val="07687C78"/>
    <w:rsid w:val="07762163"/>
    <w:rsid w:val="07781187"/>
    <w:rsid w:val="078D5A98"/>
    <w:rsid w:val="079457B5"/>
    <w:rsid w:val="07AB4582"/>
    <w:rsid w:val="07AD2313"/>
    <w:rsid w:val="07B462BD"/>
    <w:rsid w:val="07B812AC"/>
    <w:rsid w:val="07BD0E4F"/>
    <w:rsid w:val="07CD7F43"/>
    <w:rsid w:val="07DA4419"/>
    <w:rsid w:val="0804553D"/>
    <w:rsid w:val="08226133"/>
    <w:rsid w:val="08230D7C"/>
    <w:rsid w:val="08477BC7"/>
    <w:rsid w:val="08713271"/>
    <w:rsid w:val="088A7954"/>
    <w:rsid w:val="08A03CCD"/>
    <w:rsid w:val="08BD1EA8"/>
    <w:rsid w:val="08D05238"/>
    <w:rsid w:val="08D220C8"/>
    <w:rsid w:val="08ED04DA"/>
    <w:rsid w:val="08ED0CF2"/>
    <w:rsid w:val="09087B7B"/>
    <w:rsid w:val="092C75FD"/>
    <w:rsid w:val="094E0C92"/>
    <w:rsid w:val="09587540"/>
    <w:rsid w:val="096276AC"/>
    <w:rsid w:val="0974122C"/>
    <w:rsid w:val="09AC4AC0"/>
    <w:rsid w:val="09C244F1"/>
    <w:rsid w:val="09D84D33"/>
    <w:rsid w:val="09DE0ABE"/>
    <w:rsid w:val="09E10C7E"/>
    <w:rsid w:val="0A0B7CC4"/>
    <w:rsid w:val="0A146678"/>
    <w:rsid w:val="0A364916"/>
    <w:rsid w:val="0A8C349D"/>
    <w:rsid w:val="0A95665E"/>
    <w:rsid w:val="0AAF6461"/>
    <w:rsid w:val="0AC0270B"/>
    <w:rsid w:val="0AE072A7"/>
    <w:rsid w:val="0AE1479F"/>
    <w:rsid w:val="0AEC3AF8"/>
    <w:rsid w:val="0AFC098C"/>
    <w:rsid w:val="0B1A5004"/>
    <w:rsid w:val="0B2D022B"/>
    <w:rsid w:val="0B32430E"/>
    <w:rsid w:val="0B82215C"/>
    <w:rsid w:val="0B823711"/>
    <w:rsid w:val="0B940D9A"/>
    <w:rsid w:val="0B9E6107"/>
    <w:rsid w:val="0BA85D0D"/>
    <w:rsid w:val="0BB15922"/>
    <w:rsid w:val="0BD4410C"/>
    <w:rsid w:val="0C013ADC"/>
    <w:rsid w:val="0C320BBB"/>
    <w:rsid w:val="0C4B68F0"/>
    <w:rsid w:val="0C6F025F"/>
    <w:rsid w:val="0CB84CE7"/>
    <w:rsid w:val="0CCE3ECC"/>
    <w:rsid w:val="0D154D1D"/>
    <w:rsid w:val="0D223618"/>
    <w:rsid w:val="0D793650"/>
    <w:rsid w:val="0D917628"/>
    <w:rsid w:val="0D9C2C0E"/>
    <w:rsid w:val="0DB12A9B"/>
    <w:rsid w:val="0DED5BAD"/>
    <w:rsid w:val="0DFA2047"/>
    <w:rsid w:val="0E651252"/>
    <w:rsid w:val="0E907358"/>
    <w:rsid w:val="0EBD108E"/>
    <w:rsid w:val="0ED82697"/>
    <w:rsid w:val="0EE26A08"/>
    <w:rsid w:val="0EE57850"/>
    <w:rsid w:val="0EF33D91"/>
    <w:rsid w:val="0F1318D0"/>
    <w:rsid w:val="0F161706"/>
    <w:rsid w:val="0F2B4C20"/>
    <w:rsid w:val="0F486907"/>
    <w:rsid w:val="0F592E37"/>
    <w:rsid w:val="0F823677"/>
    <w:rsid w:val="101A7B5E"/>
    <w:rsid w:val="101B2A91"/>
    <w:rsid w:val="10787B2D"/>
    <w:rsid w:val="10790221"/>
    <w:rsid w:val="108D0004"/>
    <w:rsid w:val="108D1457"/>
    <w:rsid w:val="109776BD"/>
    <w:rsid w:val="10B8432C"/>
    <w:rsid w:val="10B90555"/>
    <w:rsid w:val="10CC000D"/>
    <w:rsid w:val="10D25C79"/>
    <w:rsid w:val="11285D0B"/>
    <w:rsid w:val="11374CE7"/>
    <w:rsid w:val="11384D2F"/>
    <w:rsid w:val="113924C9"/>
    <w:rsid w:val="114156E7"/>
    <w:rsid w:val="1142362B"/>
    <w:rsid w:val="119C4486"/>
    <w:rsid w:val="11A6791C"/>
    <w:rsid w:val="11A82EA3"/>
    <w:rsid w:val="11BE6092"/>
    <w:rsid w:val="11E21294"/>
    <w:rsid w:val="11E24073"/>
    <w:rsid w:val="11F260BD"/>
    <w:rsid w:val="11F54486"/>
    <w:rsid w:val="12071515"/>
    <w:rsid w:val="120F1731"/>
    <w:rsid w:val="121F796A"/>
    <w:rsid w:val="124068B2"/>
    <w:rsid w:val="12434947"/>
    <w:rsid w:val="124F18B1"/>
    <w:rsid w:val="12534916"/>
    <w:rsid w:val="1259080B"/>
    <w:rsid w:val="125A3608"/>
    <w:rsid w:val="129E582F"/>
    <w:rsid w:val="12BF51D9"/>
    <w:rsid w:val="12D057CE"/>
    <w:rsid w:val="130F44A5"/>
    <w:rsid w:val="133410D8"/>
    <w:rsid w:val="133F0E2B"/>
    <w:rsid w:val="13422998"/>
    <w:rsid w:val="13512573"/>
    <w:rsid w:val="13691443"/>
    <w:rsid w:val="13744E03"/>
    <w:rsid w:val="13765F67"/>
    <w:rsid w:val="138602C7"/>
    <w:rsid w:val="138E08D3"/>
    <w:rsid w:val="13BF000F"/>
    <w:rsid w:val="13D102FC"/>
    <w:rsid w:val="13D17C3B"/>
    <w:rsid w:val="13DA5FA0"/>
    <w:rsid w:val="13E76602"/>
    <w:rsid w:val="140B0621"/>
    <w:rsid w:val="14343A95"/>
    <w:rsid w:val="144E65FA"/>
    <w:rsid w:val="144F4C33"/>
    <w:rsid w:val="145804CA"/>
    <w:rsid w:val="146C4802"/>
    <w:rsid w:val="14823821"/>
    <w:rsid w:val="149C1C89"/>
    <w:rsid w:val="14A5684C"/>
    <w:rsid w:val="14B15C01"/>
    <w:rsid w:val="14D8357E"/>
    <w:rsid w:val="14E46B54"/>
    <w:rsid w:val="14EA157C"/>
    <w:rsid w:val="14EF59B7"/>
    <w:rsid w:val="14FE2ED8"/>
    <w:rsid w:val="151601FB"/>
    <w:rsid w:val="157C5CF7"/>
    <w:rsid w:val="15990017"/>
    <w:rsid w:val="159D05D3"/>
    <w:rsid w:val="15AA6056"/>
    <w:rsid w:val="15AB6F48"/>
    <w:rsid w:val="15AE11F7"/>
    <w:rsid w:val="15B3191B"/>
    <w:rsid w:val="15BE7C71"/>
    <w:rsid w:val="15E3074D"/>
    <w:rsid w:val="15E94DFF"/>
    <w:rsid w:val="160B2651"/>
    <w:rsid w:val="162E3379"/>
    <w:rsid w:val="16440E2C"/>
    <w:rsid w:val="1645460B"/>
    <w:rsid w:val="16515808"/>
    <w:rsid w:val="165A5414"/>
    <w:rsid w:val="165E6F72"/>
    <w:rsid w:val="166D4E23"/>
    <w:rsid w:val="169205B9"/>
    <w:rsid w:val="16AB312D"/>
    <w:rsid w:val="16B22813"/>
    <w:rsid w:val="16B55FEF"/>
    <w:rsid w:val="17092EEF"/>
    <w:rsid w:val="17105B7D"/>
    <w:rsid w:val="174A2AF4"/>
    <w:rsid w:val="17583D71"/>
    <w:rsid w:val="175E07DA"/>
    <w:rsid w:val="17814207"/>
    <w:rsid w:val="178F357C"/>
    <w:rsid w:val="17960D68"/>
    <w:rsid w:val="17A36779"/>
    <w:rsid w:val="17B5779A"/>
    <w:rsid w:val="17C86039"/>
    <w:rsid w:val="17DC1A67"/>
    <w:rsid w:val="17E73566"/>
    <w:rsid w:val="17F778BC"/>
    <w:rsid w:val="17FC75C5"/>
    <w:rsid w:val="18015C94"/>
    <w:rsid w:val="182C1A68"/>
    <w:rsid w:val="182D7675"/>
    <w:rsid w:val="184220A7"/>
    <w:rsid w:val="1844012A"/>
    <w:rsid w:val="18524EDE"/>
    <w:rsid w:val="185A148D"/>
    <w:rsid w:val="18A60677"/>
    <w:rsid w:val="18A61240"/>
    <w:rsid w:val="18B11019"/>
    <w:rsid w:val="18E47D02"/>
    <w:rsid w:val="19011457"/>
    <w:rsid w:val="190A16E6"/>
    <w:rsid w:val="192230CD"/>
    <w:rsid w:val="19274E45"/>
    <w:rsid w:val="194056C4"/>
    <w:rsid w:val="195D54F5"/>
    <w:rsid w:val="19624820"/>
    <w:rsid w:val="19706CFD"/>
    <w:rsid w:val="19956073"/>
    <w:rsid w:val="199874D2"/>
    <w:rsid w:val="19AC34EF"/>
    <w:rsid w:val="19C226B2"/>
    <w:rsid w:val="19CB39BB"/>
    <w:rsid w:val="19E8145A"/>
    <w:rsid w:val="19F53BA9"/>
    <w:rsid w:val="19FE79F2"/>
    <w:rsid w:val="1A267B69"/>
    <w:rsid w:val="1A415C8E"/>
    <w:rsid w:val="1A453651"/>
    <w:rsid w:val="1A45507C"/>
    <w:rsid w:val="1A672C13"/>
    <w:rsid w:val="1A874FA3"/>
    <w:rsid w:val="1A963C4F"/>
    <w:rsid w:val="1AAB272E"/>
    <w:rsid w:val="1AAE5218"/>
    <w:rsid w:val="1AB22C37"/>
    <w:rsid w:val="1AB275A5"/>
    <w:rsid w:val="1AC31878"/>
    <w:rsid w:val="1AEE3828"/>
    <w:rsid w:val="1AF530E4"/>
    <w:rsid w:val="1B786EBB"/>
    <w:rsid w:val="1B8E0A1E"/>
    <w:rsid w:val="1B9C72AC"/>
    <w:rsid w:val="1BA550FE"/>
    <w:rsid w:val="1BBF687B"/>
    <w:rsid w:val="1BC60B29"/>
    <w:rsid w:val="1BD6498C"/>
    <w:rsid w:val="1C056231"/>
    <w:rsid w:val="1C133E3A"/>
    <w:rsid w:val="1C144376"/>
    <w:rsid w:val="1C1918CE"/>
    <w:rsid w:val="1C2F2142"/>
    <w:rsid w:val="1C4112CC"/>
    <w:rsid w:val="1C6336C7"/>
    <w:rsid w:val="1C704BD7"/>
    <w:rsid w:val="1C7513B1"/>
    <w:rsid w:val="1CB63A71"/>
    <w:rsid w:val="1CC84B0F"/>
    <w:rsid w:val="1CDD06A4"/>
    <w:rsid w:val="1CE77864"/>
    <w:rsid w:val="1CFB6C98"/>
    <w:rsid w:val="1CFB727F"/>
    <w:rsid w:val="1D076466"/>
    <w:rsid w:val="1D0A047E"/>
    <w:rsid w:val="1D456656"/>
    <w:rsid w:val="1D6C3651"/>
    <w:rsid w:val="1D8147ED"/>
    <w:rsid w:val="1DA26F30"/>
    <w:rsid w:val="1DA84568"/>
    <w:rsid w:val="1DB96A1C"/>
    <w:rsid w:val="1DD55547"/>
    <w:rsid w:val="1DDF3678"/>
    <w:rsid w:val="1DE0538A"/>
    <w:rsid w:val="1DE21959"/>
    <w:rsid w:val="1DEB3AD0"/>
    <w:rsid w:val="1DED6B6E"/>
    <w:rsid w:val="1E212B2E"/>
    <w:rsid w:val="1E291912"/>
    <w:rsid w:val="1E8D00EB"/>
    <w:rsid w:val="1E8D6746"/>
    <w:rsid w:val="1E997332"/>
    <w:rsid w:val="1E9D1BD0"/>
    <w:rsid w:val="1EA51121"/>
    <w:rsid w:val="1EB75180"/>
    <w:rsid w:val="1EBB76C7"/>
    <w:rsid w:val="1EEE2B6C"/>
    <w:rsid w:val="1F01616E"/>
    <w:rsid w:val="1F310B47"/>
    <w:rsid w:val="1F362A5C"/>
    <w:rsid w:val="1F550E6F"/>
    <w:rsid w:val="1F807695"/>
    <w:rsid w:val="1FB23E36"/>
    <w:rsid w:val="1FD8756E"/>
    <w:rsid w:val="1FD95BB4"/>
    <w:rsid w:val="1FF54F98"/>
    <w:rsid w:val="20057AB5"/>
    <w:rsid w:val="20294B44"/>
    <w:rsid w:val="20370523"/>
    <w:rsid w:val="203B69CC"/>
    <w:rsid w:val="20415F7D"/>
    <w:rsid w:val="20464F1C"/>
    <w:rsid w:val="204D5D93"/>
    <w:rsid w:val="20744A80"/>
    <w:rsid w:val="20766AB9"/>
    <w:rsid w:val="2080746A"/>
    <w:rsid w:val="2092466C"/>
    <w:rsid w:val="2099383D"/>
    <w:rsid w:val="20A07B1A"/>
    <w:rsid w:val="20A10EC8"/>
    <w:rsid w:val="20C576DC"/>
    <w:rsid w:val="20C60F05"/>
    <w:rsid w:val="20E745B5"/>
    <w:rsid w:val="20EC75B1"/>
    <w:rsid w:val="212062FB"/>
    <w:rsid w:val="21292F95"/>
    <w:rsid w:val="212E612F"/>
    <w:rsid w:val="21475DAC"/>
    <w:rsid w:val="2150692D"/>
    <w:rsid w:val="215110B7"/>
    <w:rsid w:val="21543EF5"/>
    <w:rsid w:val="21646A66"/>
    <w:rsid w:val="217E73C2"/>
    <w:rsid w:val="21AE2471"/>
    <w:rsid w:val="21CC3892"/>
    <w:rsid w:val="21D106FB"/>
    <w:rsid w:val="21D8444B"/>
    <w:rsid w:val="21EA592A"/>
    <w:rsid w:val="21F12CF2"/>
    <w:rsid w:val="221A47A3"/>
    <w:rsid w:val="223E488E"/>
    <w:rsid w:val="224E4340"/>
    <w:rsid w:val="2279383D"/>
    <w:rsid w:val="229124DB"/>
    <w:rsid w:val="22A05799"/>
    <w:rsid w:val="22CA6FDA"/>
    <w:rsid w:val="22F50F38"/>
    <w:rsid w:val="22F72977"/>
    <w:rsid w:val="22FE1FD6"/>
    <w:rsid w:val="23031F01"/>
    <w:rsid w:val="23052E7D"/>
    <w:rsid w:val="2312735F"/>
    <w:rsid w:val="233E35FE"/>
    <w:rsid w:val="2369015F"/>
    <w:rsid w:val="23947B34"/>
    <w:rsid w:val="23AC28EE"/>
    <w:rsid w:val="241209A4"/>
    <w:rsid w:val="24291E2C"/>
    <w:rsid w:val="24340D2A"/>
    <w:rsid w:val="24361288"/>
    <w:rsid w:val="24444D3C"/>
    <w:rsid w:val="24461888"/>
    <w:rsid w:val="246413F9"/>
    <w:rsid w:val="246963A4"/>
    <w:rsid w:val="247104F9"/>
    <w:rsid w:val="24793574"/>
    <w:rsid w:val="247C3246"/>
    <w:rsid w:val="249155C1"/>
    <w:rsid w:val="24B41965"/>
    <w:rsid w:val="24E77C4B"/>
    <w:rsid w:val="24F13AA2"/>
    <w:rsid w:val="25060B14"/>
    <w:rsid w:val="25193D57"/>
    <w:rsid w:val="25266470"/>
    <w:rsid w:val="254207E3"/>
    <w:rsid w:val="254A4B60"/>
    <w:rsid w:val="25666427"/>
    <w:rsid w:val="25695F9A"/>
    <w:rsid w:val="257E1E2A"/>
    <w:rsid w:val="258665EC"/>
    <w:rsid w:val="25C6215F"/>
    <w:rsid w:val="25D16EE9"/>
    <w:rsid w:val="25D303E6"/>
    <w:rsid w:val="25D7530E"/>
    <w:rsid w:val="25EC6DB5"/>
    <w:rsid w:val="25F7365A"/>
    <w:rsid w:val="267162FE"/>
    <w:rsid w:val="26853BB1"/>
    <w:rsid w:val="268E6424"/>
    <w:rsid w:val="26964247"/>
    <w:rsid w:val="26B471AE"/>
    <w:rsid w:val="26EB0ACA"/>
    <w:rsid w:val="26EB18A7"/>
    <w:rsid w:val="27046CB8"/>
    <w:rsid w:val="271C2272"/>
    <w:rsid w:val="27235500"/>
    <w:rsid w:val="275F4A10"/>
    <w:rsid w:val="27673427"/>
    <w:rsid w:val="27C26179"/>
    <w:rsid w:val="27DB4583"/>
    <w:rsid w:val="280D111F"/>
    <w:rsid w:val="28153BB7"/>
    <w:rsid w:val="283C7B32"/>
    <w:rsid w:val="284743BB"/>
    <w:rsid w:val="285333FB"/>
    <w:rsid w:val="2859498C"/>
    <w:rsid w:val="285B7344"/>
    <w:rsid w:val="2862708A"/>
    <w:rsid w:val="28754330"/>
    <w:rsid w:val="288B1F85"/>
    <w:rsid w:val="289865E1"/>
    <w:rsid w:val="28A7676A"/>
    <w:rsid w:val="28B4435F"/>
    <w:rsid w:val="28D25CCC"/>
    <w:rsid w:val="28E0387B"/>
    <w:rsid w:val="28FD5502"/>
    <w:rsid w:val="290F4CA2"/>
    <w:rsid w:val="29373393"/>
    <w:rsid w:val="294E267F"/>
    <w:rsid w:val="297D7039"/>
    <w:rsid w:val="298F0F56"/>
    <w:rsid w:val="2990641E"/>
    <w:rsid w:val="29966BF2"/>
    <w:rsid w:val="29B44412"/>
    <w:rsid w:val="29D2477E"/>
    <w:rsid w:val="29ED1CD6"/>
    <w:rsid w:val="2A0600B6"/>
    <w:rsid w:val="2A076AFA"/>
    <w:rsid w:val="2A0C2384"/>
    <w:rsid w:val="2A13338B"/>
    <w:rsid w:val="2A22233E"/>
    <w:rsid w:val="2A4D1969"/>
    <w:rsid w:val="2A54756D"/>
    <w:rsid w:val="2A64161A"/>
    <w:rsid w:val="2A7173B1"/>
    <w:rsid w:val="2A7C0D79"/>
    <w:rsid w:val="2A7E73B4"/>
    <w:rsid w:val="2A8E1ACC"/>
    <w:rsid w:val="2A961A2C"/>
    <w:rsid w:val="2ABB01ED"/>
    <w:rsid w:val="2AC9293D"/>
    <w:rsid w:val="2AE131FD"/>
    <w:rsid w:val="2B044BA7"/>
    <w:rsid w:val="2B4F6A5D"/>
    <w:rsid w:val="2B697EEF"/>
    <w:rsid w:val="2B93599A"/>
    <w:rsid w:val="2BC603DF"/>
    <w:rsid w:val="2BCC61DB"/>
    <w:rsid w:val="2BD42023"/>
    <w:rsid w:val="2BE7372E"/>
    <w:rsid w:val="2BE924A5"/>
    <w:rsid w:val="2BF23E8E"/>
    <w:rsid w:val="2C1A3C32"/>
    <w:rsid w:val="2C2F7F7C"/>
    <w:rsid w:val="2C300133"/>
    <w:rsid w:val="2C411839"/>
    <w:rsid w:val="2C496432"/>
    <w:rsid w:val="2C530710"/>
    <w:rsid w:val="2C6E0E57"/>
    <w:rsid w:val="2CA42A94"/>
    <w:rsid w:val="2CB226F3"/>
    <w:rsid w:val="2CC87750"/>
    <w:rsid w:val="2CD40D54"/>
    <w:rsid w:val="2CDD4DEA"/>
    <w:rsid w:val="2CFA6573"/>
    <w:rsid w:val="2D0E1EF6"/>
    <w:rsid w:val="2D34640D"/>
    <w:rsid w:val="2D3C366E"/>
    <w:rsid w:val="2D4B6119"/>
    <w:rsid w:val="2D5051E5"/>
    <w:rsid w:val="2D51527E"/>
    <w:rsid w:val="2D55101A"/>
    <w:rsid w:val="2DA01906"/>
    <w:rsid w:val="2DA059AB"/>
    <w:rsid w:val="2DE42CD0"/>
    <w:rsid w:val="2DF64903"/>
    <w:rsid w:val="2E0B44AA"/>
    <w:rsid w:val="2E192827"/>
    <w:rsid w:val="2E340103"/>
    <w:rsid w:val="2E3A4F63"/>
    <w:rsid w:val="2E6A5355"/>
    <w:rsid w:val="2E782484"/>
    <w:rsid w:val="2E9B4C31"/>
    <w:rsid w:val="2EEE077D"/>
    <w:rsid w:val="2EF3002B"/>
    <w:rsid w:val="2EF346DE"/>
    <w:rsid w:val="2EFB3A87"/>
    <w:rsid w:val="2F0C4031"/>
    <w:rsid w:val="2F50665F"/>
    <w:rsid w:val="2F57653D"/>
    <w:rsid w:val="2F7A7E0B"/>
    <w:rsid w:val="2F8859AF"/>
    <w:rsid w:val="2FC70C09"/>
    <w:rsid w:val="2FFB1A6D"/>
    <w:rsid w:val="30035F3F"/>
    <w:rsid w:val="30086A3E"/>
    <w:rsid w:val="304401D2"/>
    <w:rsid w:val="305B66AA"/>
    <w:rsid w:val="30604CE7"/>
    <w:rsid w:val="30644069"/>
    <w:rsid w:val="30755203"/>
    <w:rsid w:val="3094680B"/>
    <w:rsid w:val="30B96583"/>
    <w:rsid w:val="30CE3617"/>
    <w:rsid w:val="30D82F8A"/>
    <w:rsid w:val="30FC320E"/>
    <w:rsid w:val="30FD240C"/>
    <w:rsid w:val="31591F25"/>
    <w:rsid w:val="316A5B8A"/>
    <w:rsid w:val="31961C75"/>
    <w:rsid w:val="319B553C"/>
    <w:rsid w:val="319E104C"/>
    <w:rsid w:val="31CF7DF0"/>
    <w:rsid w:val="323C6F1F"/>
    <w:rsid w:val="3256124C"/>
    <w:rsid w:val="325D0F70"/>
    <w:rsid w:val="32721287"/>
    <w:rsid w:val="3276234B"/>
    <w:rsid w:val="32A07418"/>
    <w:rsid w:val="32C1361B"/>
    <w:rsid w:val="32C47BEC"/>
    <w:rsid w:val="32D2532F"/>
    <w:rsid w:val="32D268C9"/>
    <w:rsid w:val="32E60CDE"/>
    <w:rsid w:val="33026B1A"/>
    <w:rsid w:val="33157AC5"/>
    <w:rsid w:val="3316275C"/>
    <w:rsid w:val="332A4F75"/>
    <w:rsid w:val="3352495D"/>
    <w:rsid w:val="33902FA6"/>
    <w:rsid w:val="3395008A"/>
    <w:rsid w:val="33965B38"/>
    <w:rsid w:val="33A809D1"/>
    <w:rsid w:val="33C34EE2"/>
    <w:rsid w:val="33D10A8F"/>
    <w:rsid w:val="33FF7255"/>
    <w:rsid w:val="3402726C"/>
    <w:rsid w:val="341538C9"/>
    <w:rsid w:val="34197B2E"/>
    <w:rsid w:val="34224283"/>
    <w:rsid w:val="34495ED1"/>
    <w:rsid w:val="34645984"/>
    <w:rsid w:val="3468570D"/>
    <w:rsid w:val="34825408"/>
    <w:rsid w:val="34B86F4A"/>
    <w:rsid w:val="34BF268C"/>
    <w:rsid w:val="34C41F37"/>
    <w:rsid w:val="34D94F67"/>
    <w:rsid w:val="34DA628B"/>
    <w:rsid w:val="34DC2CF3"/>
    <w:rsid w:val="34FA6448"/>
    <w:rsid w:val="356C6301"/>
    <w:rsid w:val="359C411C"/>
    <w:rsid w:val="35A75AA8"/>
    <w:rsid w:val="35CE7446"/>
    <w:rsid w:val="35D275C2"/>
    <w:rsid w:val="35DC53A0"/>
    <w:rsid w:val="35E3165E"/>
    <w:rsid w:val="36034394"/>
    <w:rsid w:val="3610149F"/>
    <w:rsid w:val="363F5F63"/>
    <w:rsid w:val="36407D2B"/>
    <w:rsid w:val="36453692"/>
    <w:rsid w:val="369524AD"/>
    <w:rsid w:val="369772A0"/>
    <w:rsid w:val="36B12CDA"/>
    <w:rsid w:val="36BA5D79"/>
    <w:rsid w:val="36CF6E12"/>
    <w:rsid w:val="36EA7F91"/>
    <w:rsid w:val="36EF5BD6"/>
    <w:rsid w:val="36FF39C3"/>
    <w:rsid w:val="3705220A"/>
    <w:rsid w:val="37092658"/>
    <w:rsid w:val="371A224F"/>
    <w:rsid w:val="372D5DDE"/>
    <w:rsid w:val="373F41E3"/>
    <w:rsid w:val="375E46BF"/>
    <w:rsid w:val="37884377"/>
    <w:rsid w:val="37DA7076"/>
    <w:rsid w:val="381373CE"/>
    <w:rsid w:val="381C07D6"/>
    <w:rsid w:val="385643A8"/>
    <w:rsid w:val="38726C52"/>
    <w:rsid w:val="38AE3E32"/>
    <w:rsid w:val="38D46721"/>
    <w:rsid w:val="39161B95"/>
    <w:rsid w:val="392D4BBE"/>
    <w:rsid w:val="3938026B"/>
    <w:rsid w:val="39716EF3"/>
    <w:rsid w:val="398E18AF"/>
    <w:rsid w:val="39B045DC"/>
    <w:rsid w:val="39BA6B5B"/>
    <w:rsid w:val="39C255EB"/>
    <w:rsid w:val="39C74AC2"/>
    <w:rsid w:val="39E41163"/>
    <w:rsid w:val="39F67F03"/>
    <w:rsid w:val="3A051911"/>
    <w:rsid w:val="3A1E5D64"/>
    <w:rsid w:val="3A3549BA"/>
    <w:rsid w:val="3A3B7680"/>
    <w:rsid w:val="3A4C3CBE"/>
    <w:rsid w:val="3A5F4C97"/>
    <w:rsid w:val="3A6336D8"/>
    <w:rsid w:val="3A654584"/>
    <w:rsid w:val="3A767323"/>
    <w:rsid w:val="3A880992"/>
    <w:rsid w:val="3A9048D9"/>
    <w:rsid w:val="3AA63DDF"/>
    <w:rsid w:val="3ABD464D"/>
    <w:rsid w:val="3ACD0B20"/>
    <w:rsid w:val="3B3E0F1A"/>
    <w:rsid w:val="3B4451D4"/>
    <w:rsid w:val="3B5321F8"/>
    <w:rsid w:val="3B6072C6"/>
    <w:rsid w:val="3B653D90"/>
    <w:rsid w:val="3B7426DF"/>
    <w:rsid w:val="3B94060F"/>
    <w:rsid w:val="3BCC1539"/>
    <w:rsid w:val="3BE056F8"/>
    <w:rsid w:val="3BE94157"/>
    <w:rsid w:val="3BFB4147"/>
    <w:rsid w:val="3BFC4BCB"/>
    <w:rsid w:val="3C580DFC"/>
    <w:rsid w:val="3C9B09C5"/>
    <w:rsid w:val="3CBC5F31"/>
    <w:rsid w:val="3CBF39AA"/>
    <w:rsid w:val="3CDA6799"/>
    <w:rsid w:val="3CDC1270"/>
    <w:rsid w:val="3CF67473"/>
    <w:rsid w:val="3D1E2A04"/>
    <w:rsid w:val="3D271004"/>
    <w:rsid w:val="3D3246CF"/>
    <w:rsid w:val="3D513EA5"/>
    <w:rsid w:val="3D606F05"/>
    <w:rsid w:val="3D613850"/>
    <w:rsid w:val="3D733FB3"/>
    <w:rsid w:val="3D846555"/>
    <w:rsid w:val="3D9F41BF"/>
    <w:rsid w:val="3DB32D59"/>
    <w:rsid w:val="3DB4761D"/>
    <w:rsid w:val="3DC67D7B"/>
    <w:rsid w:val="3DDB7998"/>
    <w:rsid w:val="3DDF76B1"/>
    <w:rsid w:val="3DED1608"/>
    <w:rsid w:val="3DF36FAF"/>
    <w:rsid w:val="3E0B078A"/>
    <w:rsid w:val="3E323E87"/>
    <w:rsid w:val="3E84129A"/>
    <w:rsid w:val="3E953CD7"/>
    <w:rsid w:val="3E9D6E02"/>
    <w:rsid w:val="3EB33BB6"/>
    <w:rsid w:val="3EBB02F1"/>
    <w:rsid w:val="3EC2310A"/>
    <w:rsid w:val="3ED67E95"/>
    <w:rsid w:val="3EE1245F"/>
    <w:rsid w:val="3F1E5859"/>
    <w:rsid w:val="3F211A7A"/>
    <w:rsid w:val="3F303FBF"/>
    <w:rsid w:val="3F5D0F8D"/>
    <w:rsid w:val="3F732F1F"/>
    <w:rsid w:val="3F9C0BF8"/>
    <w:rsid w:val="3FB34FCF"/>
    <w:rsid w:val="3FC92B3F"/>
    <w:rsid w:val="3FD06FF1"/>
    <w:rsid w:val="3FD60D5D"/>
    <w:rsid w:val="3FF7647F"/>
    <w:rsid w:val="40042ED3"/>
    <w:rsid w:val="400B60F9"/>
    <w:rsid w:val="400E7845"/>
    <w:rsid w:val="400E7F2D"/>
    <w:rsid w:val="40206F8A"/>
    <w:rsid w:val="40642868"/>
    <w:rsid w:val="408A144F"/>
    <w:rsid w:val="409618D4"/>
    <w:rsid w:val="40A37D87"/>
    <w:rsid w:val="40A55B98"/>
    <w:rsid w:val="40AB4837"/>
    <w:rsid w:val="41142444"/>
    <w:rsid w:val="4161787D"/>
    <w:rsid w:val="417D7323"/>
    <w:rsid w:val="417E4893"/>
    <w:rsid w:val="418615C4"/>
    <w:rsid w:val="41AA4BF2"/>
    <w:rsid w:val="41B90F09"/>
    <w:rsid w:val="41C42A4E"/>
    <w:rsid w:val="41DF4FE8"/>
    <w:rsid w:val="41E37754"/>
    <w:rsid w:val="41EA108E"/>
    <w:rsid w:val="41F11EB0"/>
    <w:rsid w:val="41F326C0"/>
    <w:rsid w:val="42097B6B"/>
    <w:rsid w:val="421C5A63"/>
    <w:rsid w:val="421E542F"/>
    <w:rsid w:val="424131B2"/>
    <w:rsid w:val="426B415E"/>
    <w:rsid w:val="43205059"/>
    <w:rsid w:val="432234D6"/>
    <w:rsid w:val="43567A72"/>
    <w:rsid w:val="435F2E36"/>
    <w:rsid w:val="43A3234B"/>
    <w:rsid w:val="43A94871"/>
    <w:rsid w:val="43B264D3"/>
    <w:rsid w:val="43CA3317"/>
    <w:rsid w:val="43D91CA9"/>
    <w:rsid w:val="44180878"/>
    <w:rsid w:val="441B5933"/>
    <w:rsid w:val="442B7CDB"/>
    <w:rsid w:val="442D02DE"/>
    <w:rsid w:val="443A7444"/>
    <w:rsid w:val="44633415"/>
    <w:rsid w:val="446767AE"/>
    <w:rsid w:val="447B6900"/>
    <w:rsid w:val="44A20244"/>
    <w:rsid w:val="44A97CC4"/>
    <w:rsid w:val="44AB612F"/>
    <w:rsid w:val="44AE2E71"/>
    <w:rsid w:val="44C40040"/>
    <w:rsid w:val="44E65261"/>
    <w:rsid w:val="45081361"/>
    <w:rsid w:val="452D5C9D"/>
    <w:rsid w:val="45701CAF"/>
    <w:rsid w:val="4570742E"/>
    <w:rsid w:val="45866CDB"/>
    <w:rsid w:val="459527B5"/>
    <w:rsid w:val="45A60B4A"/>
    <w:rsid w:val="45B56416"/>
    <w:rsid w:val="45B778DE"/>
    <w:rsid w:val="45D71B06"/>
    <w:rsid w:val="45E74FEA"/>
    <w:rsid w:val="45F662BD"/>
    <w:rsid w:val="462A4F48"/>
    <w:rsid w:val="46567D2E"/>
    <w:rsid w:val="465A3E21"/>
    <w:rsid w:val="46856433"/>
    <w:rsid w:val="46CF076A"/>
    <w:rsid w:val="46CF3B28"/>
    <w:rsid w:val="46EA266C"/>
    <w:rsid w:val="46F70464"/>
    <w:rsid w:val="46F95B2F"/>
    <w:rsid w:val="46FA4AF1"/>
    <w:rsid w:val="46FC4EAE"/>
    <w:rsid w:val="46FE11C5"/>
    <w:rsid w:val="47015D3F"/>
    <w:rsid w:val="47294FFE"/>
    <w:rsid w:val="472E1A07"/>
    <w:rsid w:val="4740402F"/>
    <w:rsid w:val="47462C0F"/>
    <w:rsid w:val="47560365"/>
    <w:rsid w:val="47850271"/>
    <w:rsid w:val="479527AF"/>
    <w:rsid w:val="47B136FE"/>
    <w:rsid w:val="47D12F87"/>
    <w:rsid w:val="47D43681"/>
    <w:rsid w:val="47F45A04"/>
    <w:rsid w:val="48021AC2"/>
    <w:rsid w:val="483F6B9C"/>
    <w:rsid w:val="4850736B"/>
    <w:rsid w:val="48764592"/>
    <w:rsid w:val="48794E2B"/>
    <w:rsid w:val="487A599C"/>
    <w:rsid w:val="48823B2E"/>
    <w:rsid w:val="488F258E"/>
    <w:rsid w:val="48A12507"/>
    <w:rsid w:val="48A34DC3"/>
    <w:rsid w:val="48B00B57"/>
    <w:rsid w:val="48B30EB4"/>
    <w:rsid w:val="48CC544E"/>
    <w:rsid w:val="48EB3890"/>
    <w:rsid w:val="48ED0434"/>
    <w:rsid w:val="491A265E"/>
    <w:rsid w:val="491B2C81"/>
    <w:rsid w:val="493A28EC"/>
    <w:rsid w:val="495070ED"/>
    <w:rsid w:val="495708D0"/>
    <w:rsid w:val="497F112D"/>
    <w:rsid w:val="49884063"/>
    <w:rsid w:val="499F33FB"/>
    <w:rsid w:val="4A046F91"/>
    <w:rsid w:val="4A4069C4"/>
    <w:rsid w:val="4AA47F90"/>
    <w:rsid w:val="4AAF2F19"/>
    <w:rsid w:val="4AC64380"/>
    <w:rsid w:val="4ACE54AE"/>
    <w:rsid w:val="4AE74701"/>
    <w:rsid w:val="4AE8457A"/>
    <w:rsid w:val="4AF92418"/>
    <w:rsid w:val="4AFD257D"/>
    <w:rsid w:val="4B0561FE"/>
    <w:rsid w:val="4B366613"/>
    <w:rsid w:val="4B5640CC"/>
    <w:rsid w:val="4B5B14D2"/>
    <w:rsid w:val="4B5D7101"/>
    <w:rsid w:val="4B8D7EA0"/>
    <w:rsid w:val="4B9F11C9"/>
    <w:rsid w:val="4BDE2202"/>
    <w:rsid w:val="4BF0170B"/>
    <w:rsid w:val="4C0C05B2"/>
    <w:rsid w:val="4C0C2FCD"/>
    <w:rsid w:val="4C1D4F86"/>
    <w:rsid w:val="4C1F0345"/>
    <w:rsid w:val="4C2866BE"/>
    <w:rsid w:val="4C2E7761"/>
    <w:rsid w:val="4C377533"/>
    <w:rsid w:val="4C4071CF"/>
    <w:rsid w:val="4C434A43"/>
    <w:rsid w:val="4C525E99"/>
    <w:rsid w:val="4C5F3DDD"/>
    <w:rsid w:val="4C943773"/>
    <w:rsid w:val="4C9444D5"/>
    <w:rsid w:val="4C9A2FAF"/>
    <w:rsid w:val="4CA36A0A"/>
    <w:rsid w:val="4CAA063D"/>
    <w:rsid w:val="4CC1136E"/>
    <w:rsid w:val="4CC21FBF"/>
    <w:rsid w:val="4CE22A06"/>
    <w:rsid w:val="4CE43DD9"/>
    <w:rsid w:val="4CFE3BBD"/>
    <w:rsid w:val="4D3024E2"/>
    <w:rsid w:val="4D305205"/>
    <w:rsid w:val="4D421779"/>
    <w:rsid w:val="4D4225A7"/>
    <w:rsid w:val="4D5679DC"/>
    <w:rsid w:val="4D640245"/>
    <w:rsid w:val="4D654568"/>
    <w:rsid w:val="4D746123"/>
    <w:rsid w:val="4D7C1E8E"/>
    <w:rsid w:val="4D9A5B1B"/>
    <w:rsid w:val="4D9F3131"/>
    <w:rsid w:val="4DB3543F"/>
    <w:rsid w:val="4DE45AAC"/>
    <w:rsid w:val="4E033E46"/>
    <w:rsid w:val="4E3D62F3"/>
    <w:rsid w:val="4E7D088D"/>
    <w:rsid w:val="4E9523AF"/>
    <w:rsid w:val="4EA14DBA"/>
    <w:rsid w:val="4EBA24F0"/>
    <w:rsid w:val="4EC5470D"/>
    <w:rsid w:val="4EC8679A"/>
    <w:rsid w:val="4EE90B1E"/>
    <w:rsid w:val="4F065E75"/>
    <w:rsid w:val="4F073050"/>
    <w:rsid w:val="4F1B0A33"/>
    <w:rsid w:val="4F221ADA"/>
    <w:rsid w:val="4F3C5623"/>
    <w:rsid w:val="4F5231A0"/>
    <w:rsid w:val="4F5D46A5"/>
    <w:rsid w:val="4F625616"/>
    <w:rsid w:val="4F6F0180"/>
    <w:rsid w:val="4F8D563D"/>
    <w:rsid w:val="4F8E2ABD"/>
    <w:rsid w:val="4FB32B00"/>
    <w:rsid w:val="4FB71F4E"/>
    <w:rsid w:val="4FC544C7"/>
    <w:rsid w:val="4FF37CD8"/>
    <w:rsid w:val="4FF862B6"/>
    <w:rsid w:val="500612D1"/>
    <w:rsid w:val="50101F05"/>
    <w:rsid w:val="501955E4"/>
    <w:rsid w:val="50917C0D"/>
    <w:rsid w:val="509E455B"/>
    <w:rsid w:val="50D563D0"/>
    <w:rsid w:val="50E7258B"/>
    <w:rsid w:val="50F876EA"/>
    <w:rsid w:val="511356C3"/>
    <w:rsid w:val="511F4EC7"/>
    <w:rsid w:val="512027DB"/>
    <w:rsid w:val="512170E0"/>
    <w:rsid w:val="51356BF3"/>
    <w:rsid w:val="513C2DBA"/>
    <w:rsid w:val="513C505B"/>
    <w:rsid w:val="51445175"/>
    <w:rsid w:val="514A59A1"/>
    <w:rsid w:val="516C77CE"/>
    <w:rsid w:val="51700F0C"/>
    <w:rsid w:val="518623C1"/>
    <w:rsid w:val="518E6351"/>
    <w:rsid w:val="51B8360C"/>
    <w:rsid w:val="51BC1D04"/>
    <w:rsid w:val="51CF4C8E"/>
    <w:rsid w:val="52150B91"/>
    <w:rsid w:val="522105B9"/>
    <w:rsid w:val="522274ED"/>
    <w:rsid w:val="52392DCA"/>
    <w:rsid w:val="523A2CDE"/>
    <w:rsid w:val="524744D4"/>
    <w:rsid w:val="527C1465"/>
    <w:rsid w:val="528758A5"/>
    <w:rsid w:val="52B4767F"/>
    <w:rsid w:val="52BE7A6F"/>
    <w:rsid w:val="52C3370E"/>
    <w:rsid w:val="52D2062D"/>
    <w:rsid w:val="52E03ADE"/>
    <w:rsid w:val="5301320A"/>
    <w:rsid w:val="530272E9"/>
    <w:rsid w:val="531017CB"/>
    <w:rsid w:val="531339FE"/>
    <w:rsid w:val="531E2BF5"/>
    <w:rsid w:val="535A58A4"/>
    <w:rsid w:val="536E353A"/>
    <w:rsid w:val="536E3CD2"/>
    <w:rsid w:val="53952A41"/>
    <w:rsid w:val="53B04A45"/>
    <w:rsid w:val="53CC478E"/>
    <w:rsid w:val="54093EE4"/>
    <w:rsid w:val="54313390"/>
    <w:rsid w:val="543F095D"/>
    <w:rsid w:val="5449524C"/>
    <w:rsid w:val="54526D1B"/>
    <w:rsid w:val="545C07D6"/>
    <w:rsid w:val="5488087E"/>
    <w:rsid w:val="54893F56"/>
    <w:rsid w:val="54BF3687"/>
    <w:rsid w:val="54CE741C"/>
    <w:rsid w:val="54D538DD"/>
    <w:rsid w:val="54D90D18"/>
    <w:rsid w:val="54DA1F08"/>
    <w:rsid w:val="54E46CA8"/>
    <w:rsid w:val="550C7418"/>
    <w:rsid w:val="550F28E8"/>
    <w:rsid w:val="55187904"/>
    <w:rsid w:val="55191CD9"/>
    <w:rsid w:val="553E2FFC"/>
    <w:rsid w:val="55540DC1"/>
    <w:rsid w:val="555A5A51"/>
    <w:rsid w:val="557264FB"/>
    <w:rsid w:val="55781FC1"/>
    <w:rsid w:val="557B7EE2"/>
    <w:rsid w:val="557C73C0"/>
    <w:rsid w:val="5588630F"/>
    <w:rsid w:val="55936E1A"/>
    <w:rsid w:val="55B33C1E"/>
    <w:rsid w:val="55EC2B12"/>
    <w:rsid w:val="56021109"/>
    <w:rsid w:val="56097CE2"/>
    <w:rsid w:val="56113878"/>
    <w:rsid w:val="563A2F21"/>
    <w:rsid w:val="56441877"/>
    <w:rsid w:val="564815EA"/>
    <w:rsid w:val="5677608C"/>
    <w:rsid w:val="568A4953"/>
    <w:rsid w:val="56C014ED"/>
    <w:rsid w:val="56E12A0D"/>
    <w:rsid w:val="56E56184"/>
    <w:rsid w:val="56E63CEC"/>
    <w:rsid w:val="57127E64"/>
    <w:rsid w:val="571F1C40"/>
    <w:rsid w:val="57294A38"/>
    <w:rsid w:val="57314DAC"/>
    <w:rsid w:val="5773029D"/>
    <w:rsid w:val="577C7C37"/>
    <w:rsid w:val="57994F48"/>
    <w:rsid w:val="57BE25DB"/>
    <w:rsid w:val="582C0052"/>
    <w:rsid w:val="583E55CC"/>
    <w:rsid w:val="58483326"/>
    <w:rsid w:val="585C538A"/>
    <w:rsid w:val="58991E87"/>
    <w:rsid w:val="58B564A3"/>
    <w:rsid w:val="58C63C68"/>
    <w:rsid w:val="58DA1112"/>
    <w:rsid w:val="592A68DC"/>
    <w:rsid w:val="593B39AA"/>
    <w:rsid w:val="595103AB"/>
    <w:rsid w:val="595D3AD7"/>
    <w:rsid w:val="596B5A47"/>
    <w:rsid w:val="596E0FFC"/>
    <w:rsid w:val="59750602"/>
    <w:rsid w:val="597F41B1"/>
    <w:rsid w:val="59830873"/>
    <w:rsid w:val="59874ED8"/>
    <w:rsid w:val="59896288"/>
    <w:rsid w:val="598C0625"/>
    <w:rsid w:val="59CA71E1"/>
    <w:rsid w:val="59CD071F"/>
    <w:rsid w:val="59D879ED"/>
    <w:rsid w:val="59DF5352"/>
    <w:rsid w:val="59F87CD8"/>
    <w:rsid w:val="5A2A281C"/>
    <w:rsid w:val="5A350DF3"/>
    <w:rsid w:val="5A431561"/>
    <w:rsid w:val="5A5654C0"/>
    <w:rsid w:val="5A5E743B"/>
    <w:rsid w:val="5A6055AA"/>
    <w:rsid w:val="5A6138AF"/>
    <w:rsid w:val="5A8D744D"/>
    <w:rsid w:val="5AA16E8A"/>
    <w:rsid w:val="5AAB34F7"/>
    <w:rsid w:val="5AE0316C"/>
    <w:rsid w:val="5AE34952"/>
    <w:rsid w:val="5AEC4873"/>
    <w:rsid w:val="5AFA5E4B"/>
    <w:rsid w:val="5B0830FA"/>
    <w:rsid w:val="5B0A7672"/>
    <w:rsid w:val="5B137938"/>
    <w:rsid w:val="5B397259"/>
    <w:rsid w:val="5B697CC7"/>
    <w:rsid w:val="5B705168"/>
    <w:rsid w:val="5BA778BA"/>
    <w:rsid w:val="5BBC61D8"/>
    <w:rsid w:val="5BC8422E"/>
    <w:rsid w:val="5BD503DC"/>
    <w:rsid w:val="5BFE7AC9"/>
    <w:rsid w:val="5C144843"/>
    <w:rsid w:val="5C15264E"/>
    <w:rsid w:val="5C6F78E3"/>
    <w:rsid w:val="5C8604AD"/>
    <w:rsid w:val="5C9D4A69"/>
    <w:rsid w:val="5C9D4DFC"/>
    <w:rsid w:val="5CB22AF6"/>
    <w:rsid w:val="5CB71BF9"/>
    <w:rsid w:val="5CD367F6"/>
    <w:rsid w:val="5CD831AB"/>
    <w:rsid w:val="5CE53E2C"/>
    <w:rsid w:val="5CE5615F"/>
    <w:rsid w:val="5D20678E"/>
    <w:rsid w:val="5D2407D6"/>
    <w:rsid w:val="5D280A80"/>
    <w:rsid w:val="5D291E97"/>
    <w:rsid w:val="5D4E76C2"/>
    <w:rsid w:val="5D651E71"/>
    <w:rsid w:val="5D752CDD"/>
    <w:rsid w:val="5D7902BD"/>
    <w:rsid w:val="5D7B6555"/>
    <w:rsid w:val="5DB06412"/>
    <w:rsid w:val="5DC37B07"/>
    <w:rsid w:val="5DF37C6A"/>
    <w:rsid w:val="5E11563E"/>
    <w:rsid w:val="5E17503B"/>
    <w:rsid w:val="5E257E51"/>
    <w:rsid w:val="5E416056"/>
    <w:rsid w:val="5E7F3C85"/>
    <w:rsid w:val="5E852528"/>
    <w:rsid w:val="5E9C39B4"/>
    <w:rsid w:val="5E9E3116"/>
    <w:rsid w:val="5EAC1B52"/>
    <w:rsid w:val="5EAE7678"/>
    <w:rsid w:val="5EBE5AEC"/>
    <w:rsid w:val="5EC42957"/>
    <w:rsid w:val="5EC502F9"/>
    <w:rsid w:val="5ED6413D"/>
    <w:rsid w:val="5EE139F6"/>
    <w:rsid w:val="5EEB3CEB"/>
    <w:rsid w:val="5EF06458"/>
    <w:rsid w:val="5EF968D4"/>
    <w:rsid w:val="5F165A88"/>
    <w:rsid w:val="5F2B192F"/>
    <w:rsid w:val="5F2D3D16"/>
    <w:rsid w:val="5F4A78F6"/>
    <w:rsid w:val="5F65747D"/>
    <w:rsid w:val="5F9E76ED"/>
    <w:rsid w:val="5FBA178D"/>
    <w:rsid w:val="5FBD79BA"/>
    <w:rsid w:val="5FBE5BB3"/>
    <w:rsid w:val="5FCF4CA5"/>
    <w:rsid w:val="5FEB21E8"/>
    <w:rsid w:val="60377C99"/>
    <w:rsid w:val="605B6860"/>
    <w:rsid w:val="606A3A73"/>
    <w:rsid w:val="608F0251"/>
    <w:rsid w:val="60F42083"/>
    <w:rsid w:val="60FB4934"/>
    <w:rsid w:val="61037A23"/>
    <w:rsid w:val="6116289C"/>
    <w:rsid w:val="61211567"/>
    <w:rsid w:val="61524CEC"/>
    <w:rsid w:val="617779B8"/>
    <w:rsid w:val="617C7ACD"/>
    <w:rsid w:val="61C30DA5"/>
    <w:rsid w:val="61D0136C"/>
    <w:rsid w:val="61D27DF3"/>
    <w:rsid w:val="61D6266C"/>
    <w:rsid w:val="61F07B02"/>
    <w:rsid w:val="61FA04AA"/>
    <w:rsid w:val="625F7598"/>
    <w:rsid w:val="626346FD"/>
    <w:rsid w:val="627347FD"/>
    <w:rsid w:val="629C4A8D"/>
    <w:rsid w:val="62B05EF8"/>
    <w:rsid w:val="62B836DD"/>
    <w:rsid w:val="62BB0621"/>
    <w:rsid w:val="62E719EC"/>
    <w:rsid w:val="62E900A1"/>
    <w:rsid w:val="630B0E17"/>
    <w:rsid w:val="63685DD3"/>
    <w:rsid w:val="636C09AE"/>
    <w:rsid w:val="63844A75"/>
    <w:rsid w:val="63872DCE"/>
    <w:rsid w:val="63B80F28"/>
    <w:rsid w:val="63DD471E"/>
    <w:rsid w:val="64104A4B"/>
    <w:rsid w:val="643310DA"/>
    <w:rsid w:val="64341F8B"/>
    <w:rsid w:val="645159A7"/>
    <w:rsid w:val="64532C84"/>
    <w:rsid w:val="646A6DAB"/>
    <w:rsid w:val="64820701"/>
    <w:rsid w:val="64891D87"/>
    <w:rsid w:val="648A2758"/>
    <w:rsid w:val="649F3EC5"/>
    <w:rsid w:val="64B53B6C"/>
    <w:rsid w:val="64C45241"/>
    <w:rsid w:val="64DC1CC7"/>
    <w:rsid w:val="64DC36BB"/>
    <w:rsid w:val="64DE49EB"/>
    <w:rsid w:val="65185636"/>
    <w:rsid w:val="65402FCE"/>
    <w:rsid w:val="65480748"/>
    <w:rsid w:val="654F5D2B"/>
    <w:rsid w:val="65561511"/>
    <w:rsid w:val="65932A9F"/>
    <w:rsid w:val="65941D53"/>
    <w:rsid w:val="65A22B7F"/>
    <w:rsid w:val="65AF105F"/>
    <w:rsid w:val="65DC60D5"/>
    <w:rsid w:val="65FC2864"/>
    <w:rsid w:val="65FD7001"/>
    <w:rsid w:val="66121E7C"/>
    <w:rsid w:val="66215082"/>
    <w:rsid w:val="6623504A"/>
    <w:rsid w:val="662E13EF"/>
    <w:rsid w:val="665171D4"/>
    <w:rsid w:val="66590031"/>
    <w:rsid w:val="666C2218"/>
    <w:rsid w:val="6682452B"/>
    <w:rsid w:val="66890B0D"/>
    <w:rsid w:val="668C5F79"/>
    <w:rsid w:val="66AE1111"/>
    <w:rsid w:val="66BA6213"/>
    <w:rsid w:val="66DA4365"/>
    <w:rsid w:val="66F9738B"/>
    <w:rsid w:val="671A39C2"/>
    <w:rsid w:val="672B6BA9"/>
    <w:rsid w:val="67303214"/>
    <w:rsid w:val="673B1092"/>
    <w:rsid w:val="674E7AF4"/>
    <w:rsid w:val="674F55F5"/>
    <w:rsid w:val="67843C32"/>
    <w:rsid w:val="67BC4C8C"/>
    <w:rsid w:val="67D95FE1"/>
    <w:rsid w:val="6818788E"/>
    <w:rsid w:val="681C32A5"/>
    <w:rsid w:val="68610C48"/>
    <w:rsid w:val="687A6858"/>
    <w:rsid w:val="68C00443"/>
    <w:rsid w:val="68D104B2"/>
    <w:rsid w:val="68D95C02"/>
    <w:rsid w:val="68E512FD"/>
    <w:rsid w:val="68F80D0D"/>
    <w:rsid w:val="692547EF"/>
    <w:rsid w:val="69260E53"/>
    <w:rsid w:val="693167E8"/>
    <w:rsid w:val="6937161E"/>
    <w:rsid w:val="694A1C4A"/>
    <w:rsid w:val="694B291E"/>
    <w:rsid w:val="69531E7F"/>
    <w:rsid w:val="6959620F"/>
    <w:rsid w:val="696A1A6D"/>
    <w:rsid w:val="69BF77AC"/>
    <w:rsid w:val="69D346B1"/>
    <w:rsid w:val="69E50C7A"/>
    <w:rsid w:val="69EC7877"/>
    <w:rsid w:val="6A070FC0"/>
    <w:rsid w:val="6A127EFE"/>
    <w:rsid w:val="6A26674B"/>
    <w:rsid w:val="6A310639"/>
    <w:rsid w:val="6A41142C"/>
    <w:rsid w:val="6A554242"/>
    <w:rsid w:val="6A5B247D"/>
    <w:rsid w:val="6A5D2E33"/>
    <w:rsid w:val="6A85106D"/>
    <w:rsid w:val="6AD33FFF"/>
    <w:rsid w:val="6ADA221E"/>
    <w:rsid w:val="6B194F53"/>
    <w:rsid w:val="6B5432D8"/>
    <w:rsid w:val="6B5D3D47"/>
    <w:rsid w:val="6B6C4511"/>
    <w:rsid w:val="6B7F036C"/>
    <w:rsid w:val="6B8974A3"/>
    <w:rsid w:val="6BC23315"/>
    <w:rsid w:val="6BC91B82"/>
    <w:rsid w:val="6BEA2049"/>
    <w:rsid w:val="6BEF07E2"/>
    <w:rsid w:val="6C527180"/>
    <w:rsid w:val="6C55286E"/>
    <w:rsid w:val="6C554C14"/>
    <w:rsid w:val="6C557E07"/>
    <w:rsid w:val="6C5B6D25"/>
    <w:rsid w:val="6C614511"/>
    <w:rsid w:val="6CA23432"/>
    <w:rsid w:val="6CAD5D1C"/>
    <w:rsid w:val="6CC57613"/>
    <w:rsid w:val="6CEE6602"/>
    <w:rsid w:val="6CFE7D04"/>
    <w:rsid w:val="6D17036F"/>
    <w:rsid w:val="6D263419"/>
    <w:rsid w:val="6D2C2A87"/>
    <w:rsid w:val="6D2F4753"/>
    <w:rsid w:val="6D572D86"/>
    <w:rsid w:val="6D6A6FC2"/>
    <w:rsid w:val="6D862A03"/>
    <w:rsid w:val="6D896BD6"/>
    <w:rsid w:val="6D95589C"/>
    <w:rsid w:val="6DAC4F7A"/>
    <w:rsid w:val="6DAC7A8E"/>
    <w:rsid w:val="6E060943"/>
    <w:rsid w:val="6E0A0A58"/>
    <w:rsid w:val="6E0F248F"/>
    <w:rsid w:val="6E1423A3"/>
    <w:rsid w:val="6E1E100B"/>
    <w:rsid w:val="6E3966BA"/>
    <w:rsid w:val="6E4B6C92"/>
    <w:rsid w:val="6E530745"/>
    <w:rsid w:val="6E5E56F0"/>
    <w:rsid w:val="6E6045F7"/>
    <w:rsid w:val="6E91666F"/>
    <w:rsid w:val="6E977138"/>
    <w:rsid w:val="6EB337D3"/>
    <w:rsid w:val="6EDB718B"/>
    <w:rsid w:val="6EF6134A"/>
    <w:rsid w:val="6EFC7F8C"/>
    <w:rsid w:val="6F4358BF"/>
    <w:rsid w:val="6F6D4618"/>
    <w:rsid w:val="6F6E271D"/>
    <w:rsid w:val="6F7A283C"/>
    <w:rsid w:val="6F94279C"/>
    <w:rsid w:val="6F951033"/>
    <w:rsid w:val="6F953347"/>
    <w:rsid w:val="6FA35D54"/>
    <w:rsid w:val="6FB7783B"/>
    <w:rsid w:val="6FBE65EC"/>
    <w:rsid w:val="6FD97F7A"/>
    <w:rsid w:val="6FEB0F18"/>
    <w:rsid w:val="6FEC72A6"/>
    <w:rsid w:val="6FFE3414"/>
    <w:rsid w:val="700643B7"/>
    <w:rsid w:val="700A5E48"/>
    <w:rsid w:val="702E74EE"/>
    <w:rsid w:val="705D3357"/>
    <w:rsid w:val="70627FBD"/>
    <w:rsid w:val="70672FD8"/>
    <w:rsid w:val="706A670E"/>
    <w:rsid w:val="706A7177"/>
    <w:rsid w:val="7085763D"/>
    <w:rsid w:val="70984905"/>
    <w:rsid w:val="70991136"/>
    <w:rsid w:val="70B051FF"/>
    <w:rsid w:val="70B336A1"/>
    <w:rsid w:val="70BB2D66"/>
    <w:rsid w:val="70C92CE8"/>
    <w:rsid w:val="70C979FC"/>
    <w:rsid w:val="70F35258"/>
    <w:rsid w:val="71014DF6"/>
    <w:rsid w:val="71077B6E"/>
    <w:rsid w:val="710A5ECB"/>
    <w:rsid w:val="716A1449"/>
    <w:rsid w:val="717565B4"/>
    <w:rsid w:val="71814DAA"/>
    <w:rsid w:val="71832E7F"/>
    <w:rsid w:val="71B60FE9"/>
    <w:rsid w:val="720F18C8"/>
    <w:rsid w:val="72134C1F"/>
    <w:rsid w:val="721E447D"/>
    <w:rsid w:val="724309F7"/>
    <w:rsid w:val="72466A55"/>
    <w:rsid w:val="725A6A1D"/>
    <w:rsid w:val="72850345"/>
    <w:rsid w:val="72882049"/>
    <w:rsid w:val="72B83127"/>
    <w:rsid w:val="72C036BE"/>
    <w:rsid w:val="72D71A67"/>
    <w:rsid w:val="72DC19F9"/>
    <w:rsid w:val="72E63189"/>
    <w:rsid w:val="72F24883"/>
    <w:rsid w:val="732049CB"/>
    <w:rsid w:val="73475AD2"/>
    <w:rsid w:val="735D78E7"/>
    <w:rsid w:val="73662B5F"/>
    <w:rsid w:val="73763178"/>
    <w:rsid w:val="737C6FB5"/>
    <w:rsid w:val="73CE1ACA"/>
    <w:rsid w:val="73E16D94"/>
    <w:rsid w:val="73F02A64"/>
    <w:rsid w:val="74194F19"/>
    <w:rsid w:val="741F4C94"/>
    <w:rsid w:val="742A4095"/>
    <w:rsid w:val="74302B24"/>
    <w:rsid w:val="745163EE"/>
    <w:rsid w:val="74B45A34"/>
    <w:rsid w:val="74B509BA"/>
    <w:rsid w:val="74BC5CB8"/>
    <w:rsid w:val="74C64965"/>
    <w:rsid w:val="74D16368"/>
    <w:rsid w:val="74F355C5"/>
    <w:rsid w:val="75205B7F"/>
    <w:rsid w:val="752D3272"/>
    <w:rsid w:val="755122CE"/>
    <w:rsid w:val="75660C7F"/>
    <w:rsid w:val="7573541A"/>
    <w:rsid w:val="75A14E27"/>
    <w:rsid w:val="75B35DB6"/>
    <w:rsid w:val="75C35615"/>
    <w:rsid w:val="75D30C00"/>
    <w:rsid w:val="75FE683C"/>
    <w:rsid w:val="76245FAC"/>
    <w:rsid w:val="762E7C17"/>
    <w:rsid w:val="76627BCB"/>
    <w:rsid w:val="76731B51"/>
    <w:rsid w:val="76747FE9"/>
    <w:rsid w:val="76C128B3"/>
    <w:rsid w:val="76C43FF0"/>
    <w:rsid w:val="76DB1BCC"/>
    <w:rsid w:val="76E40D9E"/>
    <w:rsid w:val="770140CF"/>
    <w:rsid w:val="77043E82"/>
    <w:rsid w:val="77383417"/>
    <w:rsid w:val="773E37BA"/>
    <w:rsid w:val="775D52F3"/>
    <w:rsid w:val="7768194D"/>
    <w:rsid w:val="776C7746"/>
    <w:rsid w:val="77803C5A"/>
    <w:rsid w:val="778106D4"/>
    <w:rsid w:val="77BF51A2"/>
    <w:rsid w:val="77E636D7"/>
    <w:rsid w:val="78175130"/>
    <w:rsid w:val="783F2D58"/>
    <w:rsid w:val="788B7F76"/>
    <w:rsid w:val="78905C1D"/>
    <w:rsid w:val="78A579DE"/>
    <w:rsid w:val="794936A3"/>
    <w:rsid w:val="795C3F4F"/>
    <w:rsid w:val="796F5A45"/>
    <w:rsid w:val="79CE5FD2"/>
    <w:rsid w:val="79E27EE0"/>
    <w:rsid w:val="79E679D9"/>
    <w:rsid w:val="79F13763"/>
    <w:rsid w:val="7A090075"/>
    <w:rsid w:val="7A0B1C6D"/>
    <w:rsid w:val="7A211210"/>
    <w:rsid w:val="7A292425"/>
    <w:rsid w:val="7A7A3662"/>
    <w:rsid w:val="7AC34EF7"/>
    <w:rsid w:val="7ACA0666"/>
    <w:rsid w:val="7AD76AB6"/>
    <w:rsid w:val="7ADC264A"/>
    <w:rsid w:val="7AE0765F"/>
    <w:rsid w:val="7B0A7978"/>
    <w:rsid w:val="7B1448AF"/>
    <w:rsid w:val="7B427B16"/>
    <w:rsid w:val="7B984567"/>
    <w:rsid w:val="7B9A7F93"/>
    <w:rsid w:val="7BAD05AC"/>
    <w:rsid w:val="7BAE1EE6"/>
    <w:rsid w:val="7BB066EA"/>
    <w:rsid w:val="7BCB44A1"/>
    <w:rsid w:val="7BD97E11"/>
    <w:rsid w:val="7BE8237D"/>
    <w:rsid w:val="7BF102BA"/>
    <w:rsid w:val="7C0776A5"/>
    <w:rsid w:val="7C570970"/>
    <w:rsid w:val="7C7D1E32"/>
    <w:rsid w:val="7C976E96"/>
    <w:rsid w:val="7CB45DA5"/>
    <w:rsid w:val="7CED4DEB"/>
    <w:rsid w:val="7CF739B2"/>
    <w:rsid w:val="7CFF05E1"/>
    <w:rsid w:val="7D056128"/>
    <w:rsid w:val="7D056B23"/>
    <w:rsid w:val="7D0C1AEB"/>
    <w:rsid w:val="7D237F28"/>
    <w:rsid w:val="7D29459B"/>
    <w:rsid w:val="7D38542C"/>
    <w:rsid w:val="7D3E3E65"/>
    <w:rsid w:val="7D4A4D39"/>
    <w:rsid w:val="7D76142E"/>
    <w:rsid w:val="7DBB3FF9"/>
    <w:rsid w:val="7DCC492B"/>
    <w:rsid w:val="7DDB6A30"/>
    <w:rsid w:val="7E06119B"/>
    <w:rsid w:val="7E070929"/>
    <w:rsid w:val="7E0C18E7"/>
    <w:rsid w:val="7E2A0C5A"/>
    <w:rsid w:val="7E3E3AE1"/>
    <w:rsid w:val="7E402460"/>
    <w:rsid w:val="7E511145"/>
    <w:rsid w:val="7E880280"/>
    <w:rsid w:val="7E8B6C36"/>
    <w:rsid w:val="7EA6460A"/>
    <w:rsid w:val="7EF14CDF"/>
    <w:rsid w:val="7F0C2DB2"/>
    <w:rsid w:val="7F0D02E3"/>
    <w:rsid w:val="7F2425B0"/>
    <w:rsid w:val="7F352647"/>
    <w:rsid w:val="7F357720"/>
    <w:rsid w:val="7F465336"/>
    <w:rsid w:val="7F631411"/>
    <w:rsid w:val="7F6811B1"/>
    <w:rsid w:val="7F792C5A"/>
    <w:rsid w:val="7F9B734D"/>
    <w:rsid w:val="7F9D16DE"/>
    <w:rsid w:val="7FA06540"/>
    <w:rsid w:val="7FB7418F"/>
    <w:rsid w:val="7FC73E8F"/>
    <w:rsid w:val="7FD06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jc w:val="left"/>
      <w:outlineLvl w:val="0"/>
    </w:pPr>
    <w:rPr>
      <w:b/>
      <w:bCs/>
      <w:kern w:val="44"/>
      <w:sz w:val="32"/>
      <w:szCs w:val="44"/>
    </w:rPr>
  </w:style>
  <w:style w:type="paragraph" w:styleId="4">
    <w:name w:val="heading 2"/>
    <w:basedOn w:val="1"/>
    <w:next w:val="1"/>
    <w:unhideWhenUsed/>
    <w:qFormat/>
    <w:uiPriority w:val="0"/>
    <w:pPr>
      <w:keepNext/>
      <w:keepLines/>
      <w:spacing w:before="240" w:after="240"/>
      <w:ind w:firstLine="0" w:firstLineChars="0"/>
      <w:jc w:val="left"/>
      <w:outlineLvl w:val="1"/>
    </w:pPr>
    <w:rPr>
      <w:b/>
      <w:sz w:val="32"/>
      <w:szCs w:val="28"/>
    </w:rPr>
  </w:style>
  <w:style w:type="paragraph" w:styleId="5">
    <w:name w:val="heading 4"/>
    <w:basedOn w:val="1"/>
    <w:next w:val="1"/>
    <w:qFormat/>
    <w:uiPriority w:val="9"/>
    <w:pPr>
      <w:keepNext/>
      <w:keepLines/>
      <w:widowControl/>
      <w:numPr>
        <w:ilvl w:val="3"/>
        <w:numId w:val="1"/>
      </w:numPr>
      <w:wordWrap w:val="0"/>
      <w:topLinePunct/>
      <w:adjustRightInd w:val="0"/>
      <w:snapToGrid w:val="0"/>
      <w:spacing w:line="500" w:lineRule="exact"/>
      <w:ind w:left="0" w:firstLine="0"/>
      <w:jc w:val="left"/>
      <w:outlineLvl w:val="3"/>
    </w:pPr>
    <w:rPr>
      <w:rFonts w:ascii="Times New Roman" w:hAnsi="Times New Roman" w:eastAsia="宋体"/>
      <w:b/>
      <w:bCs/>
      <w:snapToGrid w:val="0"/>
      <w:color w:val="auto"/>
      <w:kern w:val="0"/>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kern w:val="2"/>
      <w:sz w:val="18"/>
    </w:rPr>
  </w:style>
  <w:style w:type="paragraph" w:styleId="6">
    <w:name w:val="Normal Indent"/>
    <w:basedOn w:val="1"/>
    <w:next w:val="5"/>
    <w:qFormat/>
    <w:uiPriority w:val="0"/>
    <w:pPr>
      <w:spacing w:line="480" w:lineRule="atLeast"/>
      <w:ind w:firstLine="595"/>
    </w:pPr>
    <w:rPr>
      <w:rFonts w:eastAsia="宋体"/>
      <w:sz w:val="28"/>
    </w:rPr>
  </w:style>
  <w:style w:type="paragraph" w:styleId="7">
    <w:name w:val="caption"/>
    <w:basedOn w:val="1"/>
    <w:next w:val="1"/>
    <w:unhideWhenUsed/>
    <w:qFormat/>
    <w:uiPriority w:val="0"/>
    <w:rPr>
      <w:rFonts w:ascii="Arial" w:hAnsi="Arial" w:eastAsia="黑体"/>
      <w:sz w:val="20"/>
    </w:rPr>
  </w:style>
  <w:style w:type="paragraph" w:styleId="8">
    <w:name w:val="annotation text"/>
    <w:basedOn w:val="1"/>
    <w:next w:val="1"/>
    <w:qFormat/>
    <w:uiPriority w:val="0"/>
    <w:pPr>
      <w:jc w:val="left"/>
    </w:pPr>
  </w:style>
  <w:style w:type="paragraph" w:styleId="9">
    <w:name w:val="Body Text"/>
    <w:basedOn w:val="1"/>
    <w:next w:val="10"/>
    <w:qFormat/>
    <w:uiPriority w:val="0"/>
    <w:pPr>
      <w:spacing w:after="120"/>
    </w:pPr>
  </w:style>
  <w:style w:type="paragraph" w:customStyle="1" w:styleId="10">
    <w:name w:val="xl27"/>
    <w:basedOn w:val="1"/>
    <w:next w:val="8"/>
    <w:qFormat/>
    <w:uiPriority w:val="0"/>
    <w:pPr>
      <w:widowControl/>
      <w:autoSpaceDE/>
      <w:autoSpaceDN/>
      <w:spacing w:before="280" w:after="280" w:line="240" w:lineRule="auto"/>
      <w:ind w:left="0" w:firstLine="0"/>
      <w:jc w:val="center"/>
    </w:pPr>
    <w:rPr>
      <w:rFonts w:ascii="Times New Roman" w:hAnsi="宋体" w:eastAsia="宋体" w:cs="宋体"/>
      <w:sz w:val="21"/>
    </w:rPr>
  </w:style>
  <w:style w:type="paragraph" w:styleId="11">
    <w:name w:val="Body Text Indent"/>
    <w:basedOn w:val="1"/>
    <w:next w:val="12"/>
    <w:qFormat/>
    <w:uiPriority w:val="0"/>
    <w:pPr>
      <w:spacing w:line="360" w:lineRule="auto"/>
      <w:ind w:firstLine="480" w:firstLineChars="200"/>
    </w:pPr>
    <w:rPr>
      <w:sz w:val="24"/>
      <w:szCs w:val="24"/>
    </w:rPr>
  </w:style>
  <w:style w:type="paragraph" w:customStyle="1" w:styleId="1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3">
    <w:name w:val="Block Text"/>
    <w:basedOn w:val="1"/>
    <w:qFormat/>
    <w:uiPriority w:val="0"/>
    <w:pPr>
      <w:snapToGrid w:val="0"/>
      <w:spacing w:line="420" w:lineRule="exact"/>
      <w:ind w:left="101" w:leftChars="48" w:right="149" w:rightChars="71" w:firstLine="426" w:firstLineChars="203"/>
    </w:pPr>
    <w:rPr>
      <w:color w:val="auto"/>
      <w:sz w:val="21"/>
    </w:rPr>
  </w:style>
  <w:style w:type="paragraph" w:styleId="14">
    <w:name w:val="Plain Text"/>
    <w:basedOn w:val="1"/>
    <w:qFormat/>
    <w:uiPriority w:val="0"/>
    <w:rPr>
      <w:rFonts w:ascii="宋体" w:hAnsi="Courier New"/>
      <w:b/>
      <w:bCs/>
      <w:kern w:val="0"/>
      <w:sz w:val="24"/>
      <w:szCs w:val="21"/>
    </w:rPr>
  </w:style>
  <w:style w:type="paragraph" w:styleId="15">
    <w:name w:val="Body Text Indent 2"/>
    <w:basedOn w:val="1"/>
    <w:next w:val="1"/>
    <w:qFormat/>
    <w:uiPriority w:val="0"/>
    <w:pPr>
      <w:ind w:firstLine="645"/>
    </w:pPr>
    <w:rPr>
      <w:sz w:val="2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List"/>
    <w:basedOn w:val="1"/>
    <w:qFormat/>
    <w:uiPriority w:val="0"/>
    <w:pPr>
      <w:keepNext w:val="0"/>
      <w:keepLines w:val="0"/>
      <w:widowControl w:val="0"/>
      <w:suppressLineNumbers w:val="0"/>
      <w:tabs>
        <w:tab w:val="left" w:pos="7380"/>
      </w:tabs>
      <w:snapToGrid w:val="0"/>
      <w:spacing w:before="0" w:beforeAutospacing="0" w:after="0" w:afterAutospacing="0" w:line="320" w:lineRule="exact"/>
      <w:ind w:left="0" w:right="0" w:firstLine="0" w:firstLineChars="0"/>
      <w:jc w:val="center"/>
    </w:pPr>
    <w:rPr>
      <w:rFonts w:hint="default" w:ascii="Times New Roman" w:hAnsi="Times New Roman" w:eastAsia="宋体" w:cs="Times New Roman"/>
      <w:color w:val="000000"/>
      <w:kern w:val="21"/>
      <w:sz w:val="24"/>
      <w:szCs w:val="20"/>
      <w:lang w:val="en-US" w:eastAsia="zh-CN" w:bidi="ar"/>
    </w:rPr>
  </w:style>
  <w:style w:type="paragraph" w:styleId="18">
    <w:name w:val="Body Text Indent 3"/>
    <w:basedOn w:val="1"/>
    <w:next w:val="1"/>
    <w:qFormat/>
    <w:uiPriority w:val="0"/>
    <w:pPr>
      <w:adjustRightInd w:val="0"/>
      <w:snapToGrid w:val="0"/>
      <w:spacing w:afterLines="0"/>
      <w:ind w:left="0" w:leftChars="0" w:firstLine="480" w:firstLineChars="200"/>
    </w:pPr>
    <w:rPr>
      <w:rFonts w:ascii="Times New Roman" w:hAnsi="Times New Roman"/>
      <w:snapToGrid w:val="0"/>
      <w:kern w:val="0"/>
    </w:rPr>
  </w:style>
  <w:style w:type="paragraph" w:styleId="19">
    <w:name w:val="Normal (Web)"/>
    <w:basedOn w:val="1"/>
    <w:next w:val="20"/>
    <w:qFormat/>
    <w:uiPriority w:val="0"/>
    <w:pPr>
      <w:widowControl/>
      <w:spacing w:before="100" w:beforeAutospacing="1" w:after="100" w:afterAutospacing="1"/>
      <w:jc w:val="left"/>
    </w:pPr>
    <w:rPr>
      <w:rFonts w:ascii="宋体" w:hAnsi="宋体"/>
      <w:kern w:val="0"/>
      <w:sz w:val="24"/>
      <w:szCs w:val="20"/>
    </w:rPr>
  </w:style>
  <w:style w:type="paragraph" w:customStyle="1" w:styleId="20">
    <w:name w:val=" Char Char Char Char Char Char Char Char Char Char"/>
    <w:basedOn w:val="1"/>
    <w:qFormat/>
    <w:uiPriority w:val="0"/>
    <w:pPr>
      <w:adjustRightInd w:val="0"/>
      <w:snapToGrid w:val="0"/>
      <w:spacing w:line="360" w:lineRule="auto"/>
      <w:ind w:firstLine="200" w:firstLineChars="200"/>
    </w:pPr>
    <w:rPr>
      <w:rFonts w:eastAsia="楷体_GB2312"/>
      <w:sz w:val="24"/>
    </w:rPr>
  </w:style>
  <w:style w:type="paragraph" w:styleId="21">
    <w:name w:val="Body Text First Indent 2"/>
    <w:basedOn w:val="1"/>
    <w:next w:val="1"/>
    <w:qFormat/>
    <w:uiPriority w:val="0"/>
    <w:pPr>
      <w:spacing w:after="120" w:line="360" w:lineRule="auto"/>
      <w:ind w:left="420" w:leftChars="200" w:firstLine="420"/>
      <w:jc w:val="left"/>
      <w:textAlignment w:val="center"/>
    </w:pPr>
    <w:rPr>
      <w:kern w:val="0"/>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FollowedHyperlink"/>
    <w:basedOn w:val="24"/>
    <w:qFormat/>
    <w:uiPriority w:val="0"/>
    <w:rPr>
      <w:color w:val="000000"/>
      <w:u w:val="none"/>
    </w:rPr>
  </w:style>
  <w:style w:type="character" w:styleId="27">
    <w:name w:val="Emphasis"/>
    <w:basedOn w:val="24"/>
    <w:qFormat/>
    <w:uiPriority w:val="0"/>
  </w:style>
  <w:style w:type="character" w:styleId="28">
    <w:name w:val="Hyperlink"/>
    <w:basedOn w:val="24"/>
    <w:qFormat/>
    <w:uiPriority w:val="0"/>
    <w:rPr>
      <w:color w:val="000000"/>
      <w:u w:val="none"/>
    </w:rPr>
  </w:style>
  <w:style w:type="paragraph" w:customStyle="1" w:styleId="29">
    <w:name w:val="Default"/>
    <w:next w:val="30"/>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0">
    <w:name w:val="表格文字"/>
    <w:basedOn w:val="9"/>
    <w:next w:val="1"/>
    <w:qFormat/>
    <w:uiPriority w:val="0"/>
    <w:pPr>
      <w:tabs>
        <w:tab w:val="left" w:pos="5880"/>
      </w:tabs>
      <w:snapToGrid w:val="0"/>
      <w:spacing w:line="240" w:lineRule="atLeast"/>
      <w:jc w:val="center"/>
    </w:pPr>
    <w:rPr>
      <w:rFonts w:ascii="宋体" w:hAnsi="宋体"/>
      <w:snapToGrid w:val="0"/>
      <w:kern w:val="0"/>
      <w:position w:val="-24"/>
      <w:sz w:val="20"/>
    </w:rPr>
  </w:style>
  <w:style w:type="paragraph" w:customStyle="1" w:styleId="31">
    <w:name w:val="标准正文"/>
    <w:basedOn w:val="1"/>
    <w:qFormat/>
    <w:uiPriority w:val="0"/>
    <w:pPr>
      <w:spacing w:line="360" w:lineRule="auto"/>
      <w:ind w:firstLine="200" w:firstLineChars="200"/>
    </w:pPr>
    <w:rPr>
      <w:sz w:val="24"/>
    </w:rPr>
  </w:style>
  <w:style w:type="paragraph" w:customStyle="1" w:styleId="32">
    <w:name w:val="Char Char Char Char Char Char Char Char Char Char"/>
    <w:basedOn w:val="1"/>
    <w:qFormat/>
    <w:uiPriority w:val="0"/>
    <w:pPr>
      <w:snapToGrid w:val="0"/>
      <w:spacing w:line="360" w:lineRule="auto"/>
      <w:ind w:firstLine="529" w:firstLineChars="200"/>
    </w:pPr>
    <w:rPr>
      <w:rFonts w:ascii="Times New Roman" w:hAnsi="Times New Roman" w:cs="Times New Roman"/>
      <w:sz w:val="21"/>
      <w:szCs w:val="20"/>
    </w:rPr>
  </w:style>
  <w:style w:type="paragraph" w:customStyle="1" w:styleId="33">
    <w:name w:val="c表内字"/>
    <w:qFormat/>
    <w:uiPriority w:val="0"/>
    <w:pPr>
      <w:adjustRightInd w:val="0"/>
      <w:snapToGrid w:val="0"/>
      <w:spacing w:line="360" w:lineRule="exact"/>
    </w:pPr>
    <w:rPr>
      <w:rFonts w:ascii="Times New Roman" w:hAnsi="Times New Roman" w:eastAsia="宋体" w:cs="Times New Roman"/>
      <w:color w:val="000000"/>
      <w:kern w:val="44"/>
      <w:sz w:val="21"/>
      <w:szCs w:val="22"/>
      <w:lang w:val="en-US" w:eastAsia="zh-CN" w:bidi="ar-SA"/>
    </w:rPr>
  </w:style>
  <w:style w:type="paragraph" w:customStyle="1" w:styleId="34">
    <w:name w:val="王正文"/>
    <w:basedOn w:val="35"/>
    <w:next w:val="1"/>
    <w:qFormat/>
    <w:uiPriority w:val="0"/>
    <w:pPr>
      <w:adjustRightInd w:val="0"/>
      <w:snapToGrid w:val="0"/>
      <w:spacing w:line="560" w:lineRule="exact"/>
      <w:ind w:firstLine="200" w:firstLineChars="200"/>
      <w:jc w:val="left"/>
    </w:pPr>
    <w:rPr>
      <w:rFonts w:eastAsia="宋体"/>
      <w:color w:val="000000"/>
      <w:kern w:val="2"/>
      <w:sz w:val="24"/>
      <w:lang w:val="en-US" w:eastAsia="zh-CN" w:bidi="ar-SA"/>
    </w:rPr>
  </w:style>
  <w:style w:type="paragraph" w:customStyle="1" w:styleId="35">
    <w:name w:val="c正文"/>
    <w:qFormat/>
    <w:uiPriority w:val="0"/>
    <w:pPr>
      <w:adjustRightInd w:val="0"/>
      <w:snapToGrid w:val="0"/>
      <w:spacing w:line="500" w:lineRule="exact"/>
      <w:ind w:firstLine="200" w:firstLineChars="200"/>
    </w:pPr>
    <w:rPr>
      <w:rFonts w:ascii="Times New Roman" w:hAnsi="Times New Roman" w:eastAsia="宋体" w:cs="Times New Roman"/>
      <w:color w:val="000000"/>
      <w:kern w:val="44"/>
      <w:sz w:val="24"/>
      <w:szCs w:val="22"/>
      <w:lang w:val="en-US" w:eastAsia="zh-CN" w:bidi="ar-SA"/>
    </w:rPr>
  </w:style>
  <w:style w:type="paragraph" w:customStyle="1" w:styleId="36">
    <w:name w:val="王正文28磅"/>
    <w:basedOn w:val="1"/>
    <w:qFormat/>
    <w:uiPriority w:val="0"/>
    <w:pPr>
      <w:widowControl/>
      <w:adjustRightInd w:val="0"/>
      <w:snapToGrid w:val="0"/>
      <w:spacing w:line="560" w:lineRule="exact"/>
      <w:ind w:firstLine="480" w:firstLineChars="200"/>
      <w:jc w:val="left"/>
    </w:pPr>
    <w:rPr>
      <w:kern w:val="44"/>
      <w:sz w:val="24"/>
    </w:rPr>
  </w:style>
  <w:style w:type="paragraph" w:customStyle="1" w:styleId="37">
    <w:name w:val="正文缩进 New"/>
    <w:basedOn w:val="38"/>
    <w:qFormat/>
    <w:uiPriority w:val="0"/>
    <w:pPr>
      <w:ind w:firstLine="420" w:firstLineChars="200"/>
    </w:pPr>
  </w:style>
  <w:style w:type="paragraph" w:customStyle="1" w:styleId="3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
    <w:name w:val="表头"/>
    <w:basedOn w:val="1"/>
    <w:next w:val="1"/>
    <w:qFormat/>
    <w:uiPriority w:val="0"/>
    <w:pPr>
      <w:tabs>
        <w:tab w:val="left" w:pos="1021"/>
      </w:tabs>
      <w:adjustRightInd w:val="0"/>
      <w:snapToGrid w:val="0"/>
      <w:spacing w:before="50" w:beforeLines="50" w:line="240" w:lineRule="auto"/>
      <w:jc w:val="center"/>
    </w:pPr>
    <w:rPr>
      <w:b/>
      <w:kern w:val="24"/>
      <w:sz w:val="24"/>
      <w:szCs w:val="24"/>
    </w:rPr>
  </w:style>
  <w:style w:type="paragraph" w:customStyle="1" w:styleId="40">
    <w:name w:val="6表内文字 居中"/>
    <w:basedOn w:val="1"/>
    <w:qFormat/>
    <w:uiPriority w:val="0"/>
    <w:pPr>
      <w:adjustRightInd w:val="0"/>
      <w:spacing w:line="240" w:lineRule="atLeast"/>
      <w:jc w:val="center"/>
      <w:textAlignment w:val="baseline"/>
    </w:pPr>
    <w:rPr>
      <w:snapToGrid w:val="0"/>
      <w:kern w:val="0"/>
      <w:szCs w:val="20"/>
    </w:rPr>
  </w:style>
  <w:style w:type="paragraph" w:customStyle="1" w:styleId="41">
    <w:name w:val="Table Paragraph"/>
    <w:basedOn w:val="1"/>
    <w:qFormat/>
    <w:uiPriority w:val="1"/>
    <w:rPr>
      <w:rFonts w:ascii="宋体" w:hAnsi="宋体" w:eastAsia="宋体" w:cs="宋体"/>
      <w:lang w:val="zh-CN" w:eastAsia="zh-CN" w:bidi="zh-CN"/>
    </w:rPr>
  </w:style>
  <w:style w:type="paragraph" w:customStyle="1" w:styleId="42">
    <w:name w:val="表格"/>
    <w:basedOn w:val="7"/>
    <w:next w:val="1"/>
    <w:qFormat/>
    <w:uiPriority w:val="0"/>
    <w:pPr>
      <w:adjustRightInd w:val="0"/>
      <w:snapToGrid w:val="0"/>
      <w:spacing w:beforeLines="10" w:afterLines="10" w:line="259" w:lineRule="auto"/>
      <w:jc w:val="center"/>
    </w:pPr>
    <w:rPr>
      <w:rFonts w:ascii="宋体"/>
      <w:kern w:val="0"/>
      <w:szCs w:val="20"/>
    </w:rPr>
  </w:style>
  <w:style w:type="paragraph" w:styleId="43">
    <w:name w:val="List Paragraph"/>
    <w:basedOn w:val="1"/>
    <w:qFormat/>
    <w:uiPriority w:val="1"/>
    <w:pPr>
      <w:ind w:left="1060" w:hanging="602"/>
    </w:pPr>
    <w:rPr>
      <w:rFonts w:ascii="宋体" w:hAnsi="宋体" w:eastAsia="宋体" w:cs="宋体"/>
      <w:lang w:val="zh-CN" w:eastAsia="zh-CN" w:bidi="zh-CN"/>
    </w:rPr>
  </w:style>
  <w:style w:type="table" w:customStyle="1" w:styleId="44">
    <w:name w:val="网格型5"/>
    <w:basedOn w:val="22"/>
    <w:qFormat/>
    <w:uiPriority w:val="0"/>
    <w:pPr>
      <w:keepNext w:val="0"/>
      <w:keepLines w:val="0"/>
      <w:widowControl w:val="0"/>
      <w:suppressLineNumbers w:val="0"/>
      <w:spacing w:before="0" w:beforeAutospacing="0" w:after="0" w:afterAutospacing="0"/>
      <w:ind w:left="0" w:right="0"/>
      <w:jc w:val="both"/>
    </w:pPr>
    <w:rPr>
      <w:rFonts w:ascii="Calibri" w:hAnsi="Calibri" w:cs="Calibr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45">
    <w:name w:val="表格数字"/>
    <w:basedOn w:val="1"/>
    <w:qFormat/>
    <w:uiPriority w:val="0"/>
    <w:pPr>
      <w:keepNext w:val="0"/>
      <w:keepLines w:val="0"/>
      <w:widowControl w:val="0"/>
      <w:suppressLineNumbers w:val="0"/>
      <w:spacing w:before="0" w:beforeAutospacing="0" w:after="0" w:afterAutospacing="0" w:line="360" w:lineRule="exact"/>
      <w:ind w:left="0" w:right="0"/>
      <w:jc w:val="center"/>
    </w:pPr>
    <w:rPr>
      <w:rFonts w:ascii="Arial" w:hAnsi="Arial" w:eastAsia="微软雅黑" w:cs="Arial"/>
      <w:kern w:val="0"/>
      <w:sz w:val="20"/>
      <w:szCs w:val="20"/>
      <w:lang w:val="en-US" w:eastAsia="zh-CN" w:bidi="ar"/>
    </w:rPr>
  </w:style>
  <w:style w:type="paragraph" w:customStyle="1" w:styleId="46">
    <w:name w:val="文字表格1"/>
    <w:basedOn w:val="1"/>
    <w:qFormat/>
    <w:uiPriority w:val="0"/>
    <w:pPr>
      <w:keepNext w:val="0"/>
      <w:keepLines w:val="0"/>
      <w:widowControl w:val="0"/>
      <w:suppressLineNumbers w:val="0"/>
      <w:adjustRightInd/>
      <w:snapToGrid/>
      <w:spacing w:before="0" w:beforeLines="30" w:beforeAutospacing="0" w:after="0" w:afterAutospacing="0" w:line="440" w:lineRule="exact"/>
      <w:ind w:left="0" w:right="0"/>
      <w:jc w:val="center"/>
    </w:pPr>
    <w:rPr>
      <w:rFonts w:hint="eastAsia" w:ascii="黑体" w:hAnsi="Times New Roman" w:eastAsia="黑体" w:cs="Times New Roman"/>
      <w:snapToGrid/>
      <w:kern w:val="0"/>
      <w:sz w:val="21"/>
      <w:szCs w:val="20"/>
      <w:lang w:val="en-US" w:eastAsia="zh-CN" w:bidi="ar"/>
    </w:rPr>
  </w:style>
  <w:style w:type="table" w:customStyle="1" w:styleId="47">
    <w:name w:val="网格型6"/>
    <w:basedOn w:val="22"/>
    <w:qFormat/>
    <w:uiPriority w:val="0"/>
    <w:pPr>
      <w:keepNext w:val="0"/>
      <w:keepLines w:val="0"/>
      <w:widowControl/>
      <w:suppressLineNumbers w:val="0"/>
      <w:spacing w:before="0" w:beforeAutospacing="0" w:after="0" w:afterAutospacing="0"/>
      <w:ind w:left="0" w:right="0"/>
    </w:pPr>
    <w:rPr>
      <w:rFonts w:hint="default" w:ascii="Calibri" w:hAnsi="Calibri" w:eastAsia="宋体" w:cs="Calibri"/>
      <w:kern w:val="2"/>
      <w:sz w:val="2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48">
    <w:name w:val="正文小四首缩1.3行距"/>
    <w:basedOn w:val="1"/>
    <w:qFormat/>
    <w:uiPriority w:val="0"/>
    <w:pPr>
      <w:spacing w:before="25" w:beforeLines="0" w:line="312" w:lineRule="auto"/>
      <w:ind w:firstLine="200" w:firstLineChars="200"/>
    </w:pPr>
    <w:rPr>
      <w:rFonts w:ascii="Calibri" w:hAnsi="Calibri"/>
      <w:szCs w:val="24"/>
    </w:rPr>
  </w:style>
  <w:style w:type="paragraph" w:customStyle="1" w:styleId="49">
    <w:name w:val="正文（小四）"/>
    <w:basedOn w:val="1"/>
    <w:qFormat/>
    <w:uiPriority w:val="0"/>
    <w:pPr>
      <w:keepNext w:val="0"/>
      <w:keepLines w:val="0"/>
      <w:widowControl/>
      <w:suppressLineNumbers w:val="0"/>
      <w:snapToGrid w:val="0"/>
      <w:spacing w:before="0" w:beforeAutospacing="0" w:after="0" w:afterAutospacing="0" w:line="360" w:lineRule="auto"/>
      <w:ind w:left="0" w:right="0" w:firstLine="200" w:firstLineChars="200"/>
      <w:jc w:val="both"/>
    </w:pPr>
    <w:rPr>
      <w:rFonts w:hint="default" w:ascii="Calibri" w:hAnsi="Calibri" w:eastAsia="微软雅黑" w:cs="Times New Roman"/>
      <w:bCs/>
      <w:color w:val="000000"/>
      <w:kern w:val="2"/>
      <w:sz w:val="24"/>
      <w:szCs w:val="32"/>
      <w:lang w:val="en-US" w:eastAsia="zh-CN" w:bidi="ar"/>
    </w:rPr>
  </w:style>
  <w:style w:type="paragraph" w:customStyle="1" w:styleId="50">
    <w:name w:val="表格名称"/>
    <w:basedOn w:val="1"/>
    <w:qFormat/>
    <w:uiPriority w:val="0"/>
    <w:pPr>
      <w:keepNext w:val="0"/>
      <w:keepLines w:val="0"/>
      <w:widowControl w:val="0"/>
      <w:suppressLineNumbers w:val="0"/>
      <w:spacing w:before="0" w:beforeAutospacing="0" w:after="0" w:afterAutospacing="0" w:line="360" w:lineRule="auto"/>
      <w:ind w:left="0" w:right="0"/>
      <w:jc w:val="center"/>
    </w:pPr>
    <w:rPr>
      <w:rFonts w:hint="default" w:ascii="Calibri" w:hAnsi="Calibri" w:eastAsia="微软雅黑" w:cs="Times New Roman"/>
      <w:b/>
      <w:kern w:val="0"/>
      <w:sz w:val="24"/>
      <w:szCs w:val="21"/>
      <w:lang w:val="en-US" w:eastAsia="zh-CN" w:bidi="ar"/>
    </w:rPr>
  </w:style>
  <w:style w:type="paragraph" w:customStyle="1" w:styleId="51">
    <w:name w:val="纯文本1"/>
    <w:basedOn w:val="1"/>
    <w:qFormat/>
    <w:uiPriority w:val="0"/>
    <w:pPr>
      <w:spacing w:before="100" w:beforeAutospacing="1"/>
    </w:pPr>
    <w:rPr>
      <w:rFonts w:ascii="宋体" w:hAnsi="Courier New" w:eastAsia="宋体" w:cs="Times New Roman"/>
      <w:szCs w:val="21"/>
    </w:rPr>
  </w:style>
  <w:style w:type="paragraph" w:customStyle="1" w:styleId="52">
    <w:name w:val="段落1"/>
    <w:basedOn w:val="1"/>
    <w:qFormat/>
    <w:uiPriority w:val="0"/>
    <w:pPr>
      <w:spacing w:line="480" w:lineRule="exact"/>
      <w:ind w:firstLine="200" w:firstLineChars="200"/>
    </w:pPr>
    <w:rPr>
      <w:rFonts w:eastAsia="楷体_GB2312"/>
      <w:spacing w:val="6"/>
      <w:sz w:val="28"/>
    </w:rPr>
  </w:style>
  <w:style w:type="paragraph" w:customStyle="1" w:styleId="53">
    <w:name w:val="表中文字"/>
    <w:basedOn w:val="1"/>
    <w:qFormat/>
    <w:uiPriority w:val="0"/>
    <w:pPr>
      <w:adjustRightInd w:val="0"/>
      <w:snapToGrid w:val="0"/>
      <w:spacing w:line="240" w:lineRule="auto"/>
      <w:ind w:firstLine="0" w:firstLineChars="0"/>
      <w:jc w:val="center"/>
    </w:pPr>
    <w:rPr>
      <w:sz w:val="21"/>
      <w:szCs w:val="21"/>
    </w:rPr>
  </w:style>
  <w:style w:type="paragraph" w:customStyle="1" w:styleId="54">
    <w:name w:val="00正文"/>
    <w:basedOn w:val="1"/>
    <w:qFormat/>
    <w:uiPriority w:val="0"/>
    <w:pPr>
      <w:spacing w:line="480" w:lineRule="exact"/>
      <w:ind w:firstLine="200" w:firstLineChars="200"/>
    </w:pPr>
    <w:rPr>
      <w:color w:val="auto"/>
      <w:szCs w:val="22"/>
    </w:rPr>
  </w:style>
  <w:style w:type="paragraph" w:customStyle="1" w:styleId="55">
    <w:name w:val="报告书正文"/>
    <w:basedOn w:val="1"/>
    <w:qFormat/>
    <w:uiPriority w:val="0"/>
    <w:pPr>
      <w:spacing w:line="300" w:lineRule="auto"/>
      <w:ind w:firstLine="200" w:firstLineChars="200"/>
    </w:pPr>
    <w:rPr>
      <w:color w:val="auto"/>
    </w:rPr>
  </w:style>
  <w:style w:type="paragraph" w:customStyle="1" w:styleId="56">
    <w:name w:val=" Char"/>
    <w:basedOn w:val="1"/>
    <w:qFormat/>
    <w:uiPriority w:val="0"/>
    <w:pPr>
      <w:snapToGrid w:val="0"/>
      <w:spacing w:line="360" w:lineRule="auto"/>
      <w:ind w:firstLine="529" w:firstLineChars="200"/>
    </w:pPr>
    <w:rPr>
      <w:rFonts w:ascii="宋体" w:hAnsi="宋体"/>
      <w:b/>
    </w:rPr>
  </w:style>
  <w:style w:type="paragraph" w:customStyle="1" w:styleId="57">
    <w:name w:val="报告正文"/>
    <w:basedOn w:val="1"/>
    <w:qFormat/>
    <w:uiPriority w:val="0"/>
    <w:pPr>
      <w:autoSpaceDE w:val="0"/>
      <w:autoSpaceDN w:val="0"/>
      <w:adjustRightInd w:val="0"/>
      <w:spacing w:line="560" w:lineRule="atLeast"/>
      <w:ind w:firstLine="200" w:firstLineChars="200"/>
      <w:textAlignment w:val="baseline"/>
    </w:pPr>
    <w:rPr>
      <w:rFonts w:ascii="宋体"/>
      <w:color w:val="auto"/>
      <w:kern w:val="0"/>
      <w:szCs w:val="20"/>
    </w:rPr>
  </w:style>
  <w:style w:type="character" w:customStyle="1" w:styleId="58">
    <w:name w:val="cur1"/>
    <w:basedOn w:val="24"/>
    <w:qFormat/>
    <w:uiPriority w:val="0"/>
    <w:rPr>
      <w:color w:val="FFFFFF"/>
      <w:shd w:val="clear" w:fill="2F6B98"/>
    </w:rPr>
  </w:style>
  <w:style w:type="character" w:customStyle="1" w:styleId="59">
    <w:name w:val="radio-btn"/>
    <w:basedOn w:val="24"/>
    <w:qFormat/>
    <w:uiPriority w:val="0"/>
    <w:rPr>
      <w:sz w:val="24"/>
      <w:szCs w:val="24"/>
    </w:rPr>
  </w:style>
  <w:style w:type="character" w:customStyle="1" w:styleId="60">
    <w:name w:val="radio-btn1"/>
    <w:basedOn w:val="24"/>
    <w:qFormat/>
    <w:uiPriority w:val="0"/>
    <w:rPr>
      <w:sz w:val="21"/>
      <w:szCs w:val="21"/>
    </w:rPr>
  </w:style>
  <w:style w:type="character" w:customStyle="1" w:styleId="61">
    <w:name w:val="radio-btn2"/>
    <w:basedOn w:val="24"/>
    <w:qFormat/>
    <w:uiPriority w:val="0"/>
    <w:rPr>
      <w:sz w:val="24"/>
      <w:szCs w:val="24"/>
    </w:rPr>
  </w:style>
  <w:style w:type="character" w:customStyle="1" w:styleId="62">
    <w:name w:val="lable"/>
    <w:basedOn w:val="24"/>
    <w:qFormat/>
    <w:uiPriority w:val="0"/>
    <w:rPr>
      <w:sz w:val="24"/>
      <w:szCs w:val="24"/>
    </w:rPr>
  </w:style>
  <w:style w:type="character" w:customStyle="1" w:styleId="63">
    <w:name w:val="znspantitle"/>
    <w:basedOn w:val="24"/>
    <w:qFormat/>
    <w:uiPriority w:val="0"/>
    <w:rPr>
      <w:b/>
      <w:bCs/>
      <w:color w:val="333333"/>
    </w:rPr>
  </w:style>
  <w:style w:type="character" w:customStyle="1" w:styleId="64">
    <w:name w:val="lishishuju"/>
    <w:basedOn w:val="24"/>
    <w:qFormat/>
    <w:uiPriority w:val="0"/>
    <w:rPr>
      <w:b/>
      <w:bCs/>
      <w:color w:val="000052"/>
      <w:sz w:val="24"/>
      <w:szCs w:val="24"/>
      <w:bdr w:val="single" w:color="E3E3E3" w:sz="6" w:space="0"/>
    </w:rPr>
  </w:style>
  <w:style w:type="paragraph" w:customStyle="1" w:styleId="65">
    <w:name w:val="表格(新)"/>
    <w:basedOn w:val="1"/>
    <w:qFormat/>
    <w:uiPriority w:val="0"/>
    <w:pPr>
      <w:spacing w:line="240" w:lineRule="atLeast"/>
      <w:jc w:val="center"/>
    </w:pPr>
    <w:rPr>
      <w:bCs/>
      <w:kern w:val="24"/>
      <w:szCs w:val="21"/>
    </w:rPr>
  </w:style>
  <w:style w:type="paragraph" w:customStyle="1" w:styleId="66">
    <w:name w:val="表格中文字"/>
    <w:basedOn w:val="1"/>
    <w:qFormat/>
    <w:uiPriority w:val="0"/>
    <w:pPr>
      <w:adjustRightInd w:val="0"/>
      <w:snapToGrid w:val="0"/>
      <w:spacing w:line="360" w:lineRule="exact"/>
      <w:jc w:val="center"/>
    </w:pPr>
    <w:rPr>
      <w:rFonts w:ascii="Times New Roman" w:hAnsi="Times New Roman"/>
      <w:snapToGrid w:val="0"/>
      <w:kern w:val="0"/>
      <w:sz w:val="21"/>
      <w:szCs w:val="21"/>
    </w:rPr>
  </w:style>
  <w:style w:type="paragraph" w:customStyle="1" w:styleId="67">
    <w:name w:val="图"/>
    <w:basedOn w:val="68"/>
    <w:qFormat/>
    <w:uiPriority w:val="0"/>
    <w:pPr>
      <w:adjustRightInd w:val="0"/>
      <w:spacing w:line="240" w:lineRule="auto"/>
      <w:ind w:firstLine="0"/>
      <w:jc w:val="center"/>
      <w:outlineLvl w:val="9"/>
    </w:pPr>
    <w:rPr>
      <w:rFonts w:ascii="Times New Roman" w:hAnsi="Times New Roman"/>
      <w:spacing w:val="0"/>
      <w:szCs w:val="21"/>
    </w:rPr>
  </w:style>
  <w:style w:type="paragraph" w:customStyle="1" w:styleId="68">
    <w:name w:val="1文章"/>
    <w:basedOn w:val="1"/>
    <w:qFormat/>
    <w:uiPriority w:val="0"/>
    <w:pPr>
      <w:snapToGrid w:val="0"/>
      <w:spacing w:line="420" w:lineRule="auto"/>
      <w:ind w:firstLine="454"/>
      <w:outlineLvl w:val="4"/>
    </w:pPr>
    <w:rPr>
      <w:spacing w:val="4"/>
    </w:rPr>
  </w:style>
  <w:style w:type="paragraph" w:customStyle="1" w:styleId="69">
    <w:name w:val="表格标题"/>
    <w:basedOn w:val="1"/>
    <w:next w:val="1"/>
    <w:qFormat/>
    <w:uiPriority w:val="0"/>
    <w:pPr>
      <w:spacing w:before="50" w:beforeLines="50" w:line="240" w:lineRule="auto"/>
      <w:ind w:firstLine="0" w:firstLineChars="0"/>
      <w:jc w:val="center"/>
    </w:pPr>
    <w:rPr>
      <w:b/>
      <w:bCs/>
    </w:rPr>
  </w:style>
  <w:style w:type="paragraph" w:customStyle="1" w:styleId="70">
    <w:name w:val="表格首行"/>
    <w:basedOn w:val="42"/>
    <w:next w:val="42"/>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oleObject" Target="embeddings/oleObject3.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23055</Words>
  <Characters>26601</Characters>
  <Lines>0</Lines>
  <Paragraphs>0</Paragraphs>
  <TotalTime>2</TotalTime>
  <ScaleCrop>false</ScaleCrop>
  <LinksUpToDate>false</LinksUpToDate>
  <CharactersWithSpaces>26888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阳光心语</cp:lastModifiedBy>
  <dcterms:modified xsi:type="dcterms:W3CDTF">2023-12-12T01:58:30Z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8ADDC1D7D5444DD7B64C50357BCBBA41_13</vt:lpwstr>
  </property>
</Properties>
</file>