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lang w:val="en-US" w:eastAsia="zh-CN"/>
        </w:rPr>
      </w:pPr>
    </w:p>
    <w:p>
      <w:pPr>
        <w:rPr>
          <w:rFonts w:hint="default" w:ascii="Times New Roman" w:hAnsi="Times New Roman" w:eastAsia="宋体" w:cs="Times New Roman"/>
        </w:rPr>
      </w:pPr>
    </w:p>
    <w:p>
      <w:pPr>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158" w:beforeLines="50" w:after="158" w:afterLines="50" w:line="600" w:lineRule="auto"/>
        <w:ind w:firstLine="0" w:firstLineChars="0"/>
        <w:jc w:val="center"/>
        <w:textAlignment w:val="auto"/>
        <w:rPr>
          <w:rFonts w:hint="default" w:ascii="Times New Roman" w:hAnsi="Times New Roman" w:eastAsia="宋体" w:cs="Times New Roman"/>
          <w:b/>
          <w:sz w:val="72"/>
          <w:szCs w:val="72"/>
        </w:rPr>
      </w:pPr>
      <w:r>
        <w:rPr>
          <w:rFonts w:hint="default" w:ascii="Times New Roman" w:hAnsi="Times New Roman" w:eastAsia="宋体" w:cs="Times New Roman"/>
          <w:b/>
          <w:sz w:val="72"/>
          <w:szCs w:val="72"/>
        </w:rPr>
        <w:t>建设项目环境影响报告表</w:t>
      </w:r>
    </w:p>
    <w:p>
      <w:pPr>
        <w:spacing w:before="158" w:beforeLines="50" w:after="158" w:afterLines="50" w:line="600" w:lineRule="auto"/>
        <w:ind w:firstLine="729"/>
        <w:jc w:val="center"/>
        <w:outlineLvl w:val="0"/>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w:t>
      </w:r>
      <w:r>
        <w:rPr>
          <w:rFonts w:hint="eastAsia" w:cs="Times New Roman"/>
          <w:b/>
          <w:sz w:val="36"/>
          <w:szCs w:val="36"/>
          <w:lang w:eastAsia="zh-CN"/>
        </w:rPr>
        <w:t>报批</w:t>
      </w:r>
      <w:r>
        <w:rPr>
          <w:rFonts w:hint="default" w:ascii="Times New Roman" w:hAnsi="Times New Roman" w:eastAsia="宋体" w:cs="Times New Roman"/>
          <w:b/>
          <w:sz w:val="36"/>
          <w:szCs w:val="36"/>
          <w:lang w:eastAsia="zh-CN"/>
        </w:rPr>
        <w:t>本</w:t>
      </w:r>
      <w:r>
        <w:rPr>
          <w:rFonts w:hint="default" w:ascii="Times New Roman" w:hAnsi="Times New Roman" w:eastAsia="宋体" w:cs="Times New Roman"/>
          <w:b/>
          <w:sz w:val="36"/>
          <w:szCs w:val="36"/>
        </w:rPr>
        <w:t>）</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56"/>
        <w:gridCol w:w="535"/>
        <w:gridCol w:w="6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b/>
                <w:bCs/>
                <w:sz w:val="32"/>
                <w:szCs w:val="32"/>
              </w:rPr>
              <w:t>项  目  名   称</w:t>
            </w:r>
          </w:p>
        </w:tc>
        <w:tc>
          <w:tcPr>
            <w:tcW w:w="288" w:type="pct"/>
            <w:tcBorders>
              <w:tl2br w:val="nil"/>
              <w:tr2bl w:val="nil"/>
            </w:tcBorders>
            <w:noWrap w:val="0"/>
            <w:vAlign w:val="top"/>
          </w:tcPr>
          <w:p>
            <w:pPr>
              <w:jc w:val="center"/>
              <w:rPr>
                <w:rFonts w:hint="default" w:ascii="Times New Roman" w:hAnsi="Times New Roman" w:eastAsia="宋体" w:cs="Times New Roman"/>
                <w:vertAlign w:val="baseline"/>
              </w:rPr>
            </w:pPr>
            <w:r>
              <w:rPr>
                <w:rFonts w:hint="default" w:ascii="Times New Roman" w:hAnsi="Times New Roman" w:eastAsia="宋体" w:cs="Times New Roman"/>
                <w:b/>
                <w:bCs/>
                <w:sz w:val="32"/>
                <w:szCs w:val="32"/>
              </w:rPr>
              <w:t>：</w:t>
            </w:r>
          </w:p>
        </w:tc>
        <w:tc>
          <w:tcPr>
            <w:tcW w:w="3280" w:type="pct"/>
            <w:tcBorders>
              <w:tl2br w:val="nil"/>
              <w:tr2bl w:val="nil"/>
            </w:tcBorders>
            <w:noWrap w:val="0"/>
            <w:vAlign w:val="top"/>
          </w:tcPr>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32"/>
                      <w:szCs w:val="32"/>
                      <w:u w:val="single"/>
                      <w:vertAlign w:val="baseline"/>
                      <w:lang w:val="en-US" w:eastAsia="zh-CN"/>
                    </w:rPr>
                  </w:pPr>
                  <w:r>
                    <w:rPr>
                      <w:rFonts w:hint="default" w:ascii="Times New Roman" w:hAnsi="Times New Roman" w:eastAsia="宋体" w:cs="Times New Roman"/>
                      <w:b/>
                      <w:bCs/>
                      <w:sz w:val="32"/>
                      <w:szCs w:val="32"/>
                      <w:u w:val="single"/>
                      <w:vertAlign w:val="baseline"/>
                      <w:lang w:val="en-US" w:eastAsia="zh-CN"/>
                    </w:rPr>
                    <w:t xml:space="preserve"> 山西朔州平鲁区兰花永胜煤业有限公司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32"/>
                      <w:szCs w:val="32"/>
                      <w:u w:val="single"/>
                      <w:vertAlign w:val="baseline"/>
                      <w:lang w:val="en-US" w:eastAsia="zh-CN"/>
                    </w:rPr>
                  </w:pPr>
                  <w:r>
                    <w:rPr>
                      <w:rFonts w:hint="default" w:ascii="Times New Roman" w:hAnsi="Times New Roman" w:eastAsia="宋体" w:cs="Times New Roman"/>
                      <w:b/>
                      <w:bCs/>
                      <w:sz w:val="32"/>
                      <w:szCs w:val="32"/>
                      <w:u w:val="single"/>
                      <w:vertAlign w:val="baseline"/>
                      <w:lang w:val="en-US" w:eastAsia="zh-CN"/>
                    </w:rPr>
                    <w:t xml:space="preserve">    矿井水处理站提标改造工程项目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32"/>
                      <w:szCs w:val="32"/>
                      <w:u w:val="single"/>
                      <w:vertAlign w:val="baseline"/>
                      <w:lang w:val="en-US" w:eastAsia="zh-CN"/>
                    </w:rPr>
                  </w:pPr>
                </w:p>
              </w:tc>
            </w:tr>
          </w:tbl>
          <w:p>
            <w:pPr>
              <w:rPr>
                <w:rFonts w:hint="default" w:ascii="Times New Roman" w:hAnsi="Times New Roman" w:eastAsia="宋体" w:cs="Times New Roman"/>
                <w:b/>
                <w:bCs/>
                <w:sz w:val="32"/>
                <w:szCs w:val="32"/>
                <w:u w:val="singl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b/>
                <w:bCs/>
                <w:sz w:val="32"/>
                <w:szCs w:val="32"/>
              </w:rPr>
              <w:t>建设单位（盖章）</w:t>
            </w:r>
          </w:p>
        </w:tc>
        <w:tc>
          <w:tcPr>
            <w:tcW w:w="288" w:type="pct"/>
            <w:tcBorders>
              <w:tl2br w:val="nil"/>
              <w:tr2bl w:val="nil"/>
            </w:tcBorders>
            <w:noWrap w:val="0"/>
            <w:vAlign w:val="center"/>
          </w:tcPr>
          <w:p>
            <w:pPr>
              <w:jc w:val="center"/>
              <w:rPr>
                <w:rFonts w:hint="default" w:ascii="Times New Roman" w:hAnsi="Times New Roman" w:eastAsia="宋体" w:cs="Times New Roman"/>
                <w:vertAlign w:val="baseline"/>
              </w:rPr>
            </w:pPr>
            <w:r>
              <w:rPr>
                <w:rFonts w:hint="default" w:ascii="Times New Roman" w:hAnsi="Times New Roman" w:eastAsia="宋体" w:cs="Times New Roman"/>
                <w:b/>
                <w:bCs/>
                <w:sz w:val="32"/>
                <w:szCs w:val="32"/>
              </w:rPr>
              <w:t>:</w:t>
            </w:r>
          </w:p>
        </w:tc>
        <w:tc>
          <w:tcPr>
            <w:tcW w:w="328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32"/>
                <w:szCs w:val="32"/>
                <w:vertAlign w:val="baseline"/>
              </w:rPr>
            </w:pPr>
            <w:r>
              <w:rPr>
                <w:rFonts w:hint="default" w:ascii="Times New Roman" w:hAnsi="Times New Roman" w:eastAsia="宋体" w:cs="Times New Roman"/>
                <w:b/>
                <w:bCs/>
                <w:sz w:val="32"/>
                <w:szCs w:val="32"/>
                <w:u w:val="single"/>
                <w:vertAlign w:val="baseline"/>
                <w:lang w:val="en-US" w:eastAsia="zh-CN"/>
              </w:rPr>
              <w:t xml:space="preserve"> 山西朔州平鲁区兰花永胜煤业有限公司    </w:t>
            </w:r>
          </w:p>
        </w:tc>
      </w:tr>
    </w:tbl>
    <w:p>
      <w:pPr>
        <w:rPr>
          <w:rFonts w:hint="default" w:ascii="Times New Roman" w:hAnsi="Times New Roman" w:eastAsia="宋体" w:cs="Times New Roman"/>
        </w:rPr>
      </w:pPr>
    </w:p>
    <w:p>
      <w:pPr>
        <w:ind w:firstLine="643" w:firstLineChars="200"/>
        <w:jc w:val="left"/>
        <w:rPr>
          <w:rFonts w:hint="default" w:ascii="Times New Roman" w:hAnsi="Times New Roman" w:eastAsia="宋体" w:cs="Times New Roman"/>
          <w:b/>
          <w:bCs/>
          <w:sz w:val="32"/>
          <w:szCs w:val="32"/>
        </w:rPr>
      </w:pPr>
    </w:p>
    <w:p>
      <w:pPr>
        <w:ind w:firstLine="0" w:firstLineChars="0"/>
        <w:jc w:val="center"/>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b/>
          <w:bCs/>
          <w:sz w:val="32"/>
        </w:rPr>
        <w:t>编制日期：2020年</w:t>
      </w:r>
      <w:r>
        <w:rPr>
          <w:rFonts w:hint="default" w:ascii="Times New Roman" w:hAnsi="Times New Roman" w:eastAsia="宋体" w:cs="Times New Roman"/>
          <w:b/>
          <w:bCs/>
          <w:sz w:val="32"/>
          <w:lang w:val="en-US" w:eastAsia="zh-CN"/>
        </w:rPr>
        <w:t>12</w:t>
      </w:r>
      <w:r>
        <w:rPr>
          <w:rFonts w:hint="default" w:ascii="Times New Roman" w:hAnsi="Times New Roman" w:eastAsia="宋体" w:cs="Times New Roman"/>
          <w:b/>
          <w:bCs/>
          <w:sz w:val="32"/>
        </w:rPr>
        <w:t>月</w:t>
      </w: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199" w:firstLineChars="83"/>
        <w:rPr>
          <w:rFonts w:hint="default" w:ascii="Times New Roman" w:hAnsi="Times New Roman" w:eastAsia="宋体" w:cs="Times New Roman"/>
          <w:color w:val="000000" w:themeColor="text1"/>
          <w:highlight w:val="red"/>
          <w14:textFill>
            <w14:solidFill>
              <w14:schemeClr w14:val="tx1"/>
            </w14:solidFill>
          </w14:textFill>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ind w:firstLine="0" w:firstLineChars="0"/>
        <w:jc w:val="center"/>
        <w:rPr>
          <w:rFonts w:hint="default" w:ascii="Times New Roman" w:hAnsi="Times New Roman" w:eastAsia="宋体" w:cs="Times New Roman"/>
          <w:b/>
          <w:color w:val="000000" w:themeColor="text1"/>
          <w:sz w:val="32"/>
          <w:highlight w:val="none"/>
          <w14:textFill>
            <w14:solidFill>
              <w14:schemeClr w14:val="tx1"/>
            </w14:solidFill>
          </w14:textFill>
        </w:rPr>
      </w:pPr>
      <w:r>
        <w:rPr>
          <w:rFonts w:hint="default" w:ascii="Times New Roman" w:hAnsi="Times New Roman" w:eastAsia="宋体" w:cs="Times New Roman"/>
          <w:b/>
          <w:color w:val="000000" w:themeColor="text1"/>
          <w:sz w:val="32"/>
          <w:highlight w:val="none"/>
          <w14:textFill>
            <w14:solidFill>
              <w14:schemeClr w14:val="tx1"/>
            </w14:solidFill>
          </w14:textFill>
        </w:rPr>
        <w:t>建设项目环境影响报告表》编制说明</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《建设项目环境影响报告表》由具有从事环境影响评价工作资质的单位编制。</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1.项目名称――指项目立项批复时的名称，应不超过30个字（两个英文字段作一个汉字）。</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2.建设地点――指项目所在地详细地址，公路、铁路应填写起止地点。</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3.行业类别――按国标填写。</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4.总投资――指项目投资总额。</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5.主要环境保护目标――指项目区周围一定范围内集中居民住宅区、学校、医院、保护文物、风景名胜区、水源地和生态敏感点等，应尽可能给出保护目标、性质、规模和距厂界距离等。</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6.结论与建议――给出本项目清洁生产、达标排放和总量控制的分析结论，确定污染防治措施的有效性，说明本项目对环境造成的影响，给出建设项目环境可行性的明确结论。同时提出减少环境影响的其他建议。</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7.预审意见――由行业主管部门填写答复意见，无主管部门项目，可不填。</w:t>
      </w:r>
    </w:p>
    <w:p>
      <w:pPr>
        <w:ind w:firstLine="56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8.审批意见――由负责审批该项目的环境保护行政主管部门批复。</w:t>
      </w: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建设项目基本情况</w:t>
      </w:r>
    </w:p>
    <w:tbl>
      <w:tblPr>
        <w:tblStyle w:val="28"/>
        <w:tblW w:w="4999"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367"/>
        <w:gridCol w:w="2032"/>
        <w:gridCol w:w="1669"/>
        <w:gridCol w:w="1504"/>
        <w:gridCol w:w="1054"/>
        <w:gridCol w:w="701"/>
        <w:gridCol w:w="95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项目名称</w:t>
            </w:r>
          </w:p>
        </w:tc>
        <w:tc>
          <w:tcPr>
            <w:tcW w:w="4263" w:type="pct"/>
            <w:gridSpan w:val="6"/>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bookmarkStart w:id="12" w:name="_GoBack"/>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山西朔州平鲁区兰花永胜煤业有限公司矿井水处理站提标改造项目</w:t>
            </w:r>
            <w:bookmarkEnd w:id="12"/>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建设单位</w:t>
            </w:r>
          </w:p>
        </w:tc>
        <w:tc>
          <w:tcPr>
            <w:tcW w:w="4263" w:type="pct"/>
            <w:gridSpan w:val="6"/>
            <w:vAlign w:val="center"/>
          </w:tcPr>
          <w:p>
            <w:pPr>
              <w:spacing w:line="240" w:lineRule="auto"/>
              <w:ind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法人代表</w:t>
            </w:r>
          </w:p>
        </w:tc>
        <w:tc>
          <w:tcPr>
            <w:tcW w:w="1994" w:type="pct"/>
            <w:gridSpan w:val="2"/>
            <w:vAlign w:val="center"/>
          </w:tcPr>
          <w:p>
            <w:pPr>
              <w:widowControl w:val="0"/>
              <w:adjustRightInd/>
              <w:snapToGrid/>
              <w:spacing w:line="360" w:lineRule="auto"/>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王晚宁</w:t>
            </w:r>
          </w:p>
        </w:tc>
        <w:tc>
          <w:tcPr>
            <w:tcW w:w="810" w:type="pct"/>
            <w:vAlign w:val="center"/>
          </w:tcPr>
          <w:p>
            <w:pPr>
              <w:widowControl w:val="0"/>
              <w:adjustRightInd/>
              <w:snapToGrid/>
              <w:spacing w:line="360" w:lineRule="auto"/>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Cs w:val="24"/>
                <w:highlight w:val="none"/>
                <w14:textFill>
                  <w14:solidFill>
                    <w14:schemeClr w14:val="tx1"/>
                  </w14:solidFill>
                </w14:textFill>
              </w:rPr>
              <w:t>联系人</w:t>
            </w:r>
          </w:p>
        </w:tc>
        <w:tc>
          <w:tcPr>
            <w:tcW w:w="1458" w:type="pct"/>
            <w:gridSpan w:val="3"/>
            <w:vAlign w:val="center"/>
          </w:tcPr>
          <w:p>
            <w:pPr>
              <w:widowControl w:val="0"/>
              <w:adjustRightInd/>
              <w:snapToGrid/>
              <w:spacing w:line="360" w:lineRule="auto"/>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张忠林</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通讯地址</w:t>
            </w:r>
          </w:p>
        </w:tc>
        <w:tc>
          <w:tcPr>
            <w:tcW w:w="4263" w:type="pct"/>
            <w:gridSpan w:val="6"/>
            <w:vAlign w:val="center"/>
          </w:tcPr>
          <w:p>
            <w:pPr>
              <w:widowControl w:val="0"/>
              <w:adjustRightInd/>
              <w:snapToGrid/>
              <w:spacing w:line="360" w:lineRule="auto"/>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朔州市平鲁区榆岭乡石峰村</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联系电话</w:t>
            </w:r>
          </w:p>
        </w:tc>
        <w:tc>
          <w:tcPr>
            <w:tcW w:w="1095"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17703569155</w:t>
            </w:r>
          </w:p>
        </w:tc>
        <w:tc>
          <w:tcPr>
            <w:tcW w:w="898"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传真</w:t>
            </w:r>
          </w:p>
        </w:tc>
        <w:tc>
          <w:tcPr>
            <w:tcW w:w="810"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567"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邮政</w:t>
            </w:r>
          </w:p>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编码</w:t>
            </w:r>
          </w:p>
        </w:tc>
        <w:tc>
          <w:tcPr>
            <w:tcW w:w="891" w:type="pct"/>
            <w:gridSpan w:val="2"/>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036800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建设地点</w:t>
            </w:r>
          </w:p>
        </w:tc>
        <w:tc>
          <w:tcPr>
            <w:tcW w:w="4263" w:type="pct"/>
            <w:gridSpan w:val="6"/>
            <w:vAlign w:val="center"/>
          </w:tcPr>
          <w:p>
            <w:pPr>
              <w:spacing w:line="240" w:lineRule="auto"/>
              <w:ind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朔州市平鲁区榆岭乡石峰村</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兰花永胜煤业有限公司生产区工业场地矿井水处理站</w:t>
            </w:r>
            <w:r>
              <w:rPr>
                <w:rFonts w:hint="default" w:ascii="Times New Roman" w:hAnsi="Times New Roman" w:eastAsia="宋体" w:cs="Times New Roman"/>
                <w:lang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spacing w:val="-10"/>
                <w:highlight w:val="none"/>
                <w14:textFill>
                  <w14:solidFill>
                    <w14:schemeClr w14:val="tx1"/>
                  </w14:solidFill>
                </w14:textFill>
              </w:rPr>
            </w:pPr>
            <w:r>
              <w:rPr>
                <w:rFonts w:hint="default" w:ascii="Times New Roman" w:hAnsi="Times New Roman" w:eastAsia="宋体" w:cs="Times New Roman"/>
                <w:b/>
                <w:color w:val="000000" w:themeColor="text1"/>
                <w:spacing w:val="-10"/>
                <w:highlight w:val="none"/>
                <w14:textFill>
                  <w14:solidFill>
                    <w14:schemeClr w14:val="tx1"/>
                  </w14:solidFill>
                </w14:textFill>
              </w:rPr>
              <w:t>立项审批部门</w:t>
            </w:r>
          </w:p>
        </w:tc>
        <w:tc>
          <w:tcPr>
            <w:tcW w:w="1994" w:type="pct"/>
            <w:gridSpan w:val="2"/>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810"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批准文号</w:t>
            </w:r>
          </w:p>
        </w:tc>
        <w:tc>
          <w:tcPr>
            <w:tcW w:w="1458" w:type="pct"/>
            <w:gridSpan w:val="3"/>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建设性质</w:t>
            </w:r>
          </w:p>
        </w:tc>
        <w:tc>
          <w:tcPr>
            <w:tcW w:w="1994" w:type="pct"/>
            <w:gridSpan w:val="2"/>
            <w:vAlign w:val="center"/>
          </w:tcPr>
          <w:p>
            <w:pPr>
              <w:spacing w:line="240" w:lineRule="auto"/>
              <w:ind w:firstLine="0" w:firstLineChars="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改、扩建</w:t>
            </w:r>
          </w:p>
        </w:tc>
        <w:tc>
          <w:tcPr>
            <w:tcW w:w="810"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行业类别</w:t>
            </w:r>
          </w:p>
        </w:tc>
        <w:tc>
          <w:tcPr>
            <w:tcW w:w="1458" w:type="pct"/>
            <w:gridSpan w:val="3"/>
            <w:vAlign w:val="center"/>
          </w:tcPr>
          <w:p>
            <w:pPr>
              <w:spacing w:line="240" w:lineRule="auto"/>
              <w:ind w:firstLine="0" w:firstLineChars="0"/>
              <w:jc w:val="center"/>
              <w:rPr>
                <w:rFonts w:hint="eastAsia" w:ascii="Times New Roman" w:hAnsi="Times New Roman" w:eastAsia="宋体" w:cs="Times New Roman"/>
                <w:color w:val="000000" w:themeColor="text1"/>
                <w:spacing w:val="-10"/>
                <w:highlight w:val="none"/>
                <w:lang w:eastAsia="zh-CN"/>
                <w14:textFill>
                  <w14:solidFill>
                    <w14:schemeClr w14:val="tx1"/>
                  </w14:solidFill>
                </w14:textFill>
              </w:rPr>
            </w:pPr>
            <w:r>
              <w:rPr>
                <w:rFonts w:hint="eastAsia" w:cs="Times New Roman"/>
                <w:color w:val="000000" w:themeColor="text1"/>
                <w:spacing w:val="-10"/>
                <w:highlight w:val="none"/>
                <w:lang w:eastAsia="zh-CN"/>
                <w14:textFill>
                  <w14:solidFill>
                    <w14:schemeClr w14:val="tx1"/>
                  </w14:solidFill>
                </w14:textFill>
              </w:rPr>
              <w:t>D4690 其他水的处理、利用与分配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占地面积</w:t>
            </w:r>
          </w:p>
        </w:tc>
        <w:tc>
          <w:tcPr>
            <w:tcW w:w="1994" w:type="pct"/>
            <w:gridSpan w:val="2"/>
            <w:vAlign w:val="center"/>
          </w:tcPr>
          <w:p>
            <w:pPr>
              <w:spacing w:line="240" w:lineRule="auto"/>
              <w:ind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810"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绿化面积</w:t>
            </w:r>
          </w:p>
        </w:tc>
        <w:tc>
          <w:tcPr>
            <w:tcW w:w="1458" w:type="pct"/>
            <w:gridSpan w:val="3"/>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总投资</w:t>
            </w:r>
          </w:p>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(万元)</w:t>
            </w:r>
          </w:p>
        </w:tc>
        <w:tc>
          <w:tcPr>
            <w:tcW w:w="1095"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309</w:t>
            </w:r>
          </w:p>
        </w:tc>
        <w:tc>
          <w:tcPr>
            <w:tcW w:w="898"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其中：环保投资（万元）</w:t>
            </w:r>
          </w:p>
        </w:tc>
        <w:tc>
          <w:tcPr>
            <w:tcW w:w="810"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309</w:t>
            </w:r>
          </w:p>
        </w:tc>
        <w:tc>
          <w:tcPr>
            <w:tcW w:w="945" w:type="pct"/>
            <w:gridSpan w:val="2"/>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环保投资占总投资比例</w:t>
            </w:r>
          </w:p>
        </w:tc>
        <w:tc>
          <w:tcPr>
            <w:tcW w:w="513"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54" w:hRule="atLeast"/>
          <w:jc w:val="center"/>
        </w:trPr>
        <w:tc>
          <w:tcPr>
            <w:tcW w:w="736"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评价经费</w:t>
            </w:r>
          </w:p>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(万元)</w:t>
            </w:r>
          </w:p>
        </w:tc>
        <w:tc>
          <w:tcPr>
            <w:tcW w:w="1095" w:type="pct"/>
            <w:vAlign w:val="center"/>
          </w:tcPr>
          <w:p>
            <w:pPr>
              <w:spacing w:line="240" w:lineRule="auto"/>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98" w:type="pct"/>
            <w:vAlign w:val="center"/>
          </w:tcPr>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预期投</w:t>
            </w:r>
          </w:p>
          <w:p>
            <w:pPr>
              <w:spacing w:line="240" w:lineRule="auto"/>
              <w:ind w:firstLine="0" w:firstLineChars="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产日期</w:t>
            </w:r>
          </w:p>
        </w:tc>
        <w:tc>
          <w:tcPr>
            <w:tcW w:w="2269" w:type="pct"/>
            <w:gridSpan w:val="4"/>
            <w:vAlign w:val="center"/>
          </w:tcPr>
          <w:p>
            <w:pPr>
              <w:spacing w:line="240" w:lineRule="auto"/>
              <w:ind w:firstLine="0" w:firstLineChars="0"/>
              <w:jc w:val="center"/>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85" w:hRule="atLeast"/>
          <w:jc w:val="center"/>
        </w:trPr>
        <w:tc>
          <w:tcPr>
            <w:tcW w:w="5000" w:type="pct"/>
            <w:gridSpan w:val="7"/>
            <w:vAlign w:val="center"/>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工程建设及内容</w:t>
            </w:r>
          </w:p>
          <w:p>
            <w:pPr>
              <w:pStyle w:val="6"/>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1、项目背景</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山西朔州平鲁区兰花永胜煤业有限公司于2010年5月</w:t>
            </w:r>
            <w:r>
              <w:rPr>
                <w:rFonts w:hint="eastAsia" w:cs="Times New Roman"/>
                <w:color w:val="000000" w:themeColor="text1"/>
                <w:highlight w:val="none"/>
                <w:lang w:eastAsia="zh-CN"/>
                <w14:textFill>
                  <w14:solidFill>
                    <w14:schemeClr w14:val="tx1"/>
                  </w14:solidFill>
                </w14:textFill>
              </w:rPr>
              <w:t>进行了</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120万吨/年矿井兼并重组整合项目的</w:t>
            </w:r>
            <w:r>
              <w:rPr>
                <w:rFonts w:hint="eastAsia" w:cs="Times New Roman"/>
                <w:color w:val="000000" w:themeColor="text1"/>
                <w:highlight w:val="none"/>
                <w:lang w:eastAsia="zh-CN"/>
                <w14:textFill>
                  <w14:solidFill>
                    <w14:schemeClr w14:val="tx1"/>
                  </w14:solidFill>
                </w14:textFill>
              </w:rPr>
              <w:t>环评</w:t>
            </w:r>
            <w:r>
              <w:rPr>
                <w:rFonts w:hint="default" w:ascii="Times New Roman" w:hAnsi="Times New Roman" w:eastAsia="宋体" w:cs="Times New Roman"/>
                <w:color w:val="000000" w:themeColor="text1"/>
                <w:highlight w:val="none"/>
                <w14:textFill>
                  <w14:solidFill>
                    <w14:schemeClr w14:val="tx1"/>
                  </w14:solidFill>
                </w14:textFill>
              </w:rPr>
              <w:t>工作，</w:t>
            </w:r>
            <w:r>
              <w:rPr>
                <w:rFonts w:hint="eastAsia" w:cs="Times New Roman"/>
                <w:color w:val="000000" w:themeColor="text1"/>
                <w:highlight w:val="none"/>
                <w:lang w:eastAsia="zh-CN"/>
                <w14:textFill>
                  <w14:solidFill>
                    <w14:schemeClr w14:val="tx1"/>
                  </w14:solidFill>
                </w14:textFill>
              </w:rPr>
              <w:t>环评要求</w:t>
            </w:r>
            <w:r>
              <w:rPr>
                <w:rFonts w:hint="eastAsia" w:cs="Times New Roman"/>
                <w:color w:val="000000" w:themeColor="text1"/>
                <w:highlight w:val="none"/>
                <w:lang w:val="en-US" w:eastAsia="zh-CN"/>
                <w14:textFill>
                  <w14:solidFill>
                    <w14:schemeClr w14:val="tx1"/>
                  </w14:solidFill>
                </w14:textFill>
              </w:rPr>
              <w:t>矿井水</w:t>
            </w:r>
            <w:r>
              <w:rPr>
                <w:rFonts w:hint="eastAsia" w:cs="Times New Roman"/>
                <w:color w:val="000000" w:themeColor="text1"/>
                <w:highlight w:val="none"/>
                <w:lang w:eastAsia="zh-CN"/>
                <w14:textFill>
                  <w14:solidFill>
                    <w14:schemeClr w14:val="tx1"/>
                  </w14:solidFill>
                </w14:textFill>
              </w:rPr>
              <w:t>处理站处理能力为</w:t>
            </w:r>
            <w:r>
              <w:rPr>
                <w:rFonts w:hint="eastAsia" w:cs="Times New Roman"/>
                <w:color w:val="000000" w:themeColor="text1"/>
                <w:highlight w:val="none"/>
                <w:lang w:val="en-US" w:eastAsia="zh-CN"/>
                <w14:textFill>
                  <w14:solidFill>
                    <w14:schemeClr w14:val="tx1"/>
                  </w14:solidFill>
                </w14:textFill>
              </w:rPr>
              <w:t>480m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/d，处理工艺为</w:t>
            </w:r>
            <w:r>
              <w:rPr>
                <w:rFonts w:hint="eastAsia" w:cs="Times New Roman"/>
                <w:color w:val="000000" w:themeColor="text1"/>
                <w:highlight w:val="none"/>
                <w:lang w:eastAsia="zh-CN"/>
                <w14:textFill>
                  <w14:solidFill>
                    <w14:schemeClr w14:val="tx1"/>
                  </w14:solidFill>
                </w14:textFill>
              </w:rPr>
              <w:t>调节、</w:t>
            </w:r>
            <w:r>
              <w:rPr>
                <w:rFonts w:hint="default" w:ascii="Times New Roman" w:hAnsi="Times New Roman" w:eastAsia="宋体" w:cs="Times New Roman"/>
                <w:color w:val="000000" w:themeColor="text1"/>
                <w:highlight w:val="none"/>
                <w:lang w:eastAsia="zh-CN"/>
                <w14:textFill>
                  <w14:solidFill>
                    <w14:schemeClr w14:val="tx1"/>
                  </w14:solidFill>
                </w14:textFill>
              </w:rPr>
              <w:t>混凝、沉淀、过滤、消毒</w:t>
            </w:r>
            <w:r>
              <w:rPr>
                <w:rFonts w:hint="eastAsia" w:cs="Times New Roman"/>
                <w:color w:val="000000" w:themeColor="text1"/>
                <w:highlight w:val="none"/>
                <w:lang w:eastAsia="zh-CN"/>
                <w14:textFill>
                  <w14:solidFill>
                    <w14:schemeClr w14:val="tx1"/>
                  </w14:solidFill>
                </w14:textFill>
              </w:rPr>
              <w:t>，出水水质</w:t>
            </w:r>
            <w:r>
              <w:rPr>
                <w:rFonts w:hint="default" w:ascii="Times New Roman" w:hAnsi="Times New Roman" w:eastAsia="宋体" w:cs="Times New Roman"/>
                <w:color w:val="000000" w:themeColor="text1"/>
                <w:highlight w:val="none"/>
                <w:lang w:eastAsia="zh-CN"/>
                <w14:textFill>
                  <w14:solidFill>
                    <w14:schemeClr w14:val="tx1"/>
                  </w14:solidFill>
                </w14:textFill>
              </w:rPr>
              <w:t>能够</w:t>
            </w:r>
            <w:r>
              <w:rPr>
                <w:rFonts w:hint="eastAsia" w:cs="Times New Roman"/>
                <w:color w:val="000000" w:themeColor="text1"/>
                <w:highlight w:val="none"/>
                <w:lang w:eastAsia="zh-CN"/>
                <w14:textFill>
                  <w14:solidFill>
                    <w14:schemeClr w14:val="tx1"/>
                  </w14:solidFill>
                </w14:textFill>
              </w:rPr>
              <w:t>满足</w:t>
            </w:r>
            <w:r>
              <w:rPr>
                <w:rFonts w:hint="default" w:ascii="Times New Roman" w:hAnsi="Times New Roman" w:eastAsia="宋体" w:cs="Times New Roman"/>
                <w:color w:val="000000" w:themeColor="text1"/>
                <w:highlight w:val="none"/>
                <w14:textFill>
                  <w14:solidFill>
                    <w14:schemeClr w14:val="tx1"/>
                  </w14:solidFill>
                </w14:textFill>
              </w:rPr>
              <w:t>《煤矿井下消防、洒水设计规范》GB50383-2006中附录B《井下消防、洒水水质标准》，</w:t>
            </w:r>
            <w:r>
              <w:rPr>
                <w:rFonts w:hint="default" w:ascii="Times New Roman" w:hAnsi="Times New Roman" w:eastAsia="宋体" w:cs="Times New Roman"/>
                <w:color w:val="000000" w:themeColor="text1"/>
                <w:highlight w:val="none"/>
                <w:lang w:eastAsia="zh-CN"/>
                <w14:textFill>
                  <w14:solidFill>
                    <w14:schemeClr w14:val="tx1"/>
                  </w14:solidFill>
                </w14:textFill>
              </w:rPr>
              <w:t>回用于井下降尘洒水</w:t>
            </w:r>
            <w:r>
              <w:rPr>
                <w:rFonts w:hint="default" w:ascii="Times New Roman" w:hAnsi="Times New Roman" w:eastAsia="宋体" w:cs="Times New Roman"/>
                <w:color w:val="000000" w:themeColor="text1"/>
                <w:highlight w:val="none"/>
                <w14:textFill>
                  <w14:solidFill>
                    <w14:schemeClr w14:val="tx1"/>
                  </w14:solidFill>
                </w14:textFill>
              </w:rPr>
              <w:t>，不外排</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2012年5月14日，</w:t>
            </w:r>
            <w:r>
              <w:rPr>
                <w:rFonts w:hint="default" w:ascii="Times New Roman" w:hAnsi="Times New Roman" w:eastAsia="宋体" w:cs="Times New Roman"/>
                <w:color w:val="000000" w:themeColor="text1"/>
                <w:highlight w:val="none"/>
                <w:lang w:eastAsia="zh-CN"/>
                <w14:textFill>
                  <w14:solidFill>
                    <w14:schemeClr w14:val="tx1"/>
                  </w14:solidFill>
                </w14:textFill>
              </w:rPr>
              <w:t>原</w:t>
            </w:r>
            <w:r>
              <w:rPr>
                <w:rFonts w:hint="default" w:ascii="Times New Roman" w:hAnsi="Times New Roman" w:eastAsia="宋体" w:cs="Times New Roman"/>
                <w:color w:val="000000" w:themeColor="text1"/>
                <w:highlight w:val="none"/>
                <w14:textFill>
                  <w14:solidFill>
                    <w14:schemeClr w14:val="tx1"/>
                  </w14:solidFill>
                </w14:textFill>
              </w:rPr>
              <w:t>山西省环境保护厅以晋环函〔2012〕937号对</w:t>
            </w:r>
            <w:r>
              <w:rPr>
                <w:rFonts w:hint="eastAsia"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进行了</w:t>
            </w:r>
            <w:r>
              <w:rPr>
                <w:rFonts w:hint="default" w:ascii="Times New Roman" w:hAnsi="Times New Roman" w:eastAsia="宋体" w:cs="Times New Roman"/>
                <w:color w:val="000000" w:themeColor="text1"/>
                <w:highlight w:val="none"/>
                <w:lang w:eastAsia="zh-CN"/>
                <w14:textFill>
                  <w14:solidFill>
                    <w14:schemeClr w14:val="tx1"/>
                  </w14:solidFill>
                </w14:textFill>
              </w:rPr>
              <w:t>环评</w:t>
            </w:r>
            <w:r>
              <w:rPr>
                <w:rFonts w:hint="default" w:ascii="Times New Roman" w:hAnsi="Times New Roman" w:eastAsia="宋体" w:cs="Times New Roman"/>
                <w:color w:val="000000" w:themeColor="text1"/>
                <w:highlight w:val="none"/>
                <w14:textFill>
                  <w14:solidFill>
                    <w14:schemeClr w14:val="tx1"/>
                  </w14:solidFill>
                </w14:textFill>
              </w:rPr>
              <w:t>批复</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批复中要求矿井水经矿井水处理站（</w:t>
            </w:r>
            <w:r>
              <w:rPr>
                <w:rFonts w:hint="eastAsia" w:cs="Times New Roman"/>
                <w:color w:val="000000" w:themeColor="text1"/>
                <w:highlight w:val="none"/>
                <w:lang w:val="en-US" w:eastAsia="zh-CN"/>
                <w14:textFill>
                  <w14:solidFill>
                    <w14:schemeClr w14:val="tx1"/>
                  </w14:solidFill>
                </w14:textFill>
              </w:rPr>
              <w:t>480m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eastAsia="zh-CN"/>
                <w14:textFill>
                  <w14:solidFill>
                    <w14:schemeClr w14:val="tx1"/>
                  </w14:solidFill>
                </w14:textFill>
              </w:rPr>
              <w:t>）处理后用于井下抑尘洒水，不外排；原</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w:t>
            </w:r>
            <w:r>
              <w:rPr>
                <w:rFonts w:hint="default" w:ascii="Times New Roman" w:hAnsi="Times New Roman" w:eastAsia="宋体" w:cs="Times New Roman"/>
                <w:color w:val="000000" w:themeColor="text1"/>
                <w:highlight w:val="none"/>
                <w:lang w:eastAsia="zh-CN"/>
                <w14:textFill>
                  <w14:solidFill>
                    <w14:schemeClr w14:val="tx1"/>
                  </w14:solidFill>
                </w14:textFill>
              </w:rPr>
              <w:t>（不含洗煤部分）</w:t>
            </w:r>
            <w:r>
              <w:rPr>
                <w:rFonts w:hint="eastAsia" w:cs="Times New Roman"/>
                <w:color w:val="000000" w:themeColor="text1"/>
                <w:highlight w:val="none"/>
                <w:lang w:eastAsia="zh-CN"/>
                <w14:textFill>
                  <w14:solidFill>
                    <w14:schemeClr w14:val="tx1"/>
                  </w14:solidFill>
                </w14:textFill>
              </w:rPr>
              <w:t>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2016年12月</w:t>
            </w:r>
            <w:r>
              <w:rPr>
                <w:rFonts w:hint="eastAsia" w:cs="Times New Roman"/>
                <w:color w:val="000000" w:themeColor="text1"/>
                <w:highlight w:val="none"/>
                <w:lang w:val="en-US" w:eastAsia="zh-CN"/>
                <w14:textFill>
                  <w14:solidFill>
                    <w14:schemeClr w14:val="tx1"/>
                  </w14:solidFill>
                </w14:textFill>
              </w:rPr>
              <w:t>进行了</w:t>
            </w:r>
            <w:r>
              <w:rPr>
                <w:rFonts w:hint="default" w:ascii="Times New Roman" w:hAnsi="Times New Roman" w:eastAsia="宋体" w:cs="Times New Roman"/>
                <w:color w:val="000000" w:themeColor="text1"/>
                <w:highlight w:val="none"/>
                <w:lang w:val="en-US" w:eastAsia="zh-CN"/>
                <w14:textFill>
                  <w14:solidFill>
                    <w14:schemeClr w14:val="tx1"/>
                  </w14:solidFill>
                </w14:textFill>
              </w:rPr>
              <w:t>竣工环境保护验收工作，2016年12月30日，原朔州市环境保护局以朔环审〔2016〕176号对</w:t>
            </w:r>
            <w:r>
              <w:rPr>
                <w:rFonts w:hint="eastAsia" w:cs="Times New Roman"/>
                <w:color w:val="000000" w:themeColor="text1"/>
                <w:highlight w:val="none"/>
                <w:lang w:val="en-US" w:eastAsia="zh-CN"/>
                <w14:textFill>
                  <w14:solidFill>
                    <w14:schemeClr w14:val="tx1"/>
                  </w14:solidFill>
                </w14:textFill>
              </w:rPr>
              <w:t>原</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w:t>
            </w:r>
            <w:r>
              <w:rPr>
                <w:rFonts w:hint="default" w:ascii="Times New Roman" w:hAnsi="Times New Roman" w:eastAsia="宋体" w:cs="Times New Roman"/>
                <w:color w:val="000000" w:themeColor="text1"/>
                <w:highlight w:val="none"/>
                <w:lang w:eastAsia="zh-CN"/>
                <w14:textFill>
                  <w14:solidFill>
                    <w14:schemeClr w14:val="tx1"/>
                  </w14:solidFill>
                </w14:textFill>
              </w:rPr>
              <w:t>（不含洗煤部分）</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进行了验收批复</w:t>
            </w:r>
            <w:r>
              <w:rPr>
                <w:rFonts w:hint="eastAsia" w:cs="Times New Roman"/>
                <w:color w:val="000000" w:themeColor="text1"/>
                <w:highlight w:val="none"/>
                <w:lang w:val="en-US" w:eastAsia="zh-CN"/>
                <w14:textFill>
                  <w14:solidFill>
                    <w14:schemeClr w14:val="tx1"/>
                  </w14:solidFill>
                </w14:textFill>
              </w:rPr>
              <w:t>，验收时矿井水处理能力及处理工艺与环评一致</w:t>
            </w:r>
            <w:r>
              <w:rPr>
                <w:rFonts w:hint="default" w:ascii="Times New Roman" w:hAnsi="Times New Roman" w:eastAsia="宋体" w:cs="Times New Roman"/>
                <w:color w:val="000000" w:themeColor="text1"/>
                <w:highlight w:val="none"/>
                <w14:textFill>
                  <w14:solidFill>
                    <w14:schemeClr w14:val="tx1"/>
                  </w14:solidFill>
                </w14:textFill>
              </w:rPr>
              <w:t>。</w:t>
            </w:r>
          </w:p>
          <w:p>
            <w:pPr>
              <w:spacing w:line="480" w:lineRule="exact"/>
              <w:ind w:firstLine="480"/>
              <w:rPr>
                <w:rFonts w:hint="eastAsia" w:cs="Times New Roman"/>
                <w:lang w:val="en-US" w:eastAsia="zh-CN"/>
              </w:rPr>
            </w:pP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r>
              <w:rPr>
                <w:rFonts w:hint="eastAsia" w:cs="Times New Roman"/>
                <w:color w:val="000000" w:themeColor="text1"/>
                <w:highlight w:val="none"/>
                <w:lang w:eastAsia="zh-CN"/>
                <w14:textFill>
                  <w14:solidFill>
                    <w14:schemeClr w14:val="tx1"/>
                  </w14:solidFill>
                </w14:textFill>
              </w:rPr>
              <w:t>于</w:t>
            </w:r>
            <w:r>
              <w:rPr>
                <w:rFonts w:hint="eastAsia" w:cs="Times New Roman"/>
                <w:color w:val="000000" w:themeColor="text1"/>
                <w:highlight w:val="none"/>
                <w:lang w:val="en-US" w:eastAsia="zh-CN"/>
                <w14:textFill>
                  <w14:solidFill>
                    <w14:schemeClr w14:val="tx1"/>
                  </w14:solidFill>
                </w14:textFill>
              </w:rPr>
              <w:t>2020年3月进行了</w:t>
            </w: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山西朔州平鲁区兰花永胜煤业有限公司1.20Mt/a矿井兼并重组整合项目水资源论证</w:t>
            </w:r>
            <w:r>
              <w:rPr>
                <w:rFonts w:hint="eastAsia" w:cs="Times New Roman"/>
                <w:color w:val="000000" w:themeColor="text1"/>
                <w:highlight w:val="none"/>
                <w:lang w:eastAsia="zh-CN"/>
                <w14:textFill>
                  <w14:solidFill>
                    <w14:schemeClr w14:val="tx1"/>
                  </w14:solidFill>
                </w14:textFill>
              </w:rPr>
              <w:t>，于</w:t>
            </w:r>
            <w:r>
              <w:rPr>
                <w:rFonts w:hint="eastAsia" w:cs="Times New Roman"/>
                <w:color w:val="000000" w:themeColor="text1"/>
                <w:highlight w:val="none"/>
                <w:lang w:val="en-US" w:eastAsia="zh-CN"/>
                <w14:textFill>
                  <w14:solidFill>
                    <w14:schemeClr w14:val="tx1"/>
                  </w14:solidFill>
                </w14:textFill>
              </w:rPr>
              <w:t>2020年4月14日取得</w:t>
            </w:r>
            <w:r>
              <w:rPr>
                <w:rFonts w:hint="eastAsia" w:cs="Times New Roman"/>
                <w:color w:val="000000" w:themeColor="text1"/>
                <w:highlight w:val="none"/>
                <w:lang w:eastAsia="zh-CN"/>
                <w14:textFill>
                  <w14:solidFill>
                    <w14:schemeClr w14:val="tx1"/>
                  </w14:solidFill>
                </w14:textFill>
              </w:rPr>
              <w:t>朔州市行政审批服务管理局批复（</w:t>
            </w:r>
            <w:r>
              <w:rPr>
                <w:rFonts w:hint="eastAsia" w:cs="Times New Roman"/>
                <w:color w:val="000000" w:themeColor="text1"/>
                <w:highlight w:val="none"/>
                <w:lang w:val="en-US" w:eastAsia="zh-CN"/>
                <w14:textFill>
                  <w14:solidFill>
                    <w14:schemeClr w14:val="tx1"/>
                  </w14:solidFill>
                </w14:textFill>
              </w:rPr>
              <w:t>朔审批函﹝2020﹞49号</w:t>
            </w:r>
            <w:r>
              <w:rPr>
                <w:rFonts w:hint="eastAsia" w:cs="Times New Roman"/>
                <w:color w:val="000000" w:themeColor="text1"/>
                <w:highlight w:val="none"/>
                <w:lang w:eastAsia="zh-CN"/>
                <w14:textFill>
                  <w14:solidFill>
                    <w14:schemeClr w14:val="tx1"/>
                  </w14:solidFill>
                </w14:textFill>
              </w:rPr>
              <w:t>），批复中明确山西朔州平鲁区兰花永胜煤业有限公司</w:t>
            </w:r>
            <w:r>
              <w:rPr>
                <w:rFonts w:hint="eastAsia" w:cs="Times New Roman"/>
                <w:color w:val="000000" w:themeColor="text1"/>
                <w:highlight w:val="none"/>
                <w:lang w:val="en-US" w:eastAsia="zh-CN"/>
                <w14:textFill>
                  <w14:solidFill>
                    <w14:schemeClr w14:val="tx1"/>
                  </w14:solidFill>
                </w14:textFill>
              </w:rPr>
              <w:t>120万t/a矿井兼并重组整合项目达产后矿坑涌水量为29.64万m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/a</w:t>
            </w:r>
            <w:r>
              <w:rPr>
                <w:rFonts w:hint="default" w:ascii="Times New Roman" w:hAnsi="Times New Roman" w:eastAsia="宋体" w:cs="Times New Roman"/>
                <w:color w:val="auto"/>
                <w:sz w:val="24"/>
                <w:szCs w:val="24"/>
              </w:rPr>
              <w:t>（812.05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auto"/>
                <w:sz w:val="24"/>
                <w:szCs w:val="24"/>
              </w:rPr>
              <w:t>/d，按365d计）</w:t>
            </w:r>
            <w:r>
              <w:rPr>
                <w:rFonts w:hint="eastAsia" w:cs="Times New Roman"/>
                <w:color w:val="auto"/>
                <w:sz w:val="24"/>
                <w:szCs w:val="24"/>
                <w:lang w:eastAsia="zh-CN"/>
              </w:rPr>
              <w:t>，</w:t>
            </w:r>
            <w:r>
              <w:rPr>
                <w:rFonts w:hint="default" w:ascii="Times New Roman" w:hAnsi="Times New Roman" w:eastAsia="宋体" w:cs="Times New Roman"/>
                <w:lang w:val="en-US" w:eastAsia="zh-CN"/>
              </w:rPr>
              <w:t>现有的预处理能</w:t>
            </w:r>
            <w:r>
              <w:rPr>
                <w:rFonts w:hint="default" w:ascii="Times New Roman" w:hAnsi="Times New Roman" w:eastAsia="宋体" w:cs="Times New Roman"/>
                <w:sz w:val="24"/>
                <w:szCs w:val="24"/>
                <w:lang w:val="en-US" w:eastAsia="zh-CN"/>
              </w:rPr>
              <w:t>力为</w:t>
            </w:r>
            <w:r>
              <w:rPr>
                <w:rFonts w:hint="eastAsia" w:cs="Times New Roman"/>
                <w:sz w:val="24"/>
                <w:szCs w:val="24"/>
                <w:highlight w:val="none"/>
                <w:lang w:val="en-US" w:eastAsia="zh-CN"/>
              </w:rPr>
              <w:t>480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d</w:t>
            </w:r>
            <w:r>
              <w:rPr>
                <w:rFonts w:hint="default" w:ascii="Times New Roman" w:hAnsi="Times New Roman" w:eastAsia="宋体" w:cs="Times New Roman"/>
                <w:sz w:val="24"/>
                <w:szCs w:val="24"/>
                <w:lang w:val="en-US" w:eastAsia="zh-CN"/>
              </w:rPr>
              <w:t>，已</w:t>
            </w:r>
            <w:r>
              <w:rPr>
                <w:rFonts w:hint="default" w:ascii="Times New Roman" w:hAnsi="Times New Roman" w:eastAsia="宋体" w:cs="Times New Roman"/>
                <w:lang w:val="en-US" w:eastAsia="zh-CN"/>
              </w:rPr>
              <w:t>不能满足后期</w:t>
            </w:r>
            <w:r>
              <w:rPr>
                <w:rFonts w:hint="eastAsia" w:cs="Times New Roman"/>
                <w:lang w:val="en-US" w:eastAsia="zh-CN"/>
              </w:rPr>
              <w:t>达产后</w:t>
            </w:r>
            <w:r>
              <w:rPr>
                <w:rFonts w:hint="default" w:ascii="Times New Roman" w:hAnsi="Times New Roman" w:eastAsia="宋体" w:cs="Times New Roman"/>
                <w:lang w:val="en-US" w:eastAsia="zh-CN"/>
              </w:rPr>
              <w:t>的矿井水处理</w:t>
            </w:r>
            <w:r>
              <w:rPr>
                <w:rFonts w:hint="eastAsia" w:cs="Times New Roman"/>
                <w:lang w:val="en-US" w:eastAsia="zh-CN"/>
              </w:rPr>
              <w:t>需求。</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因达产后的矿井涌水量增大，故要提升矿井水处理站的处理能力。同时矿井水不能全部回用，依据</w:t>
            </w:r>
            <w:r>
              <w:rPr>
                <w:rFonts w:hint="default" w:ascii="Times New Roman" w:hAnsi="Times New Roman" w:eastAsia="宋体" w:cs="Times New Roman"/>
                <w:color w:val="000000" w:themeColor="text1"/>
                <w:highlight w:val="none"/>
                <w14:textFill>
                  <w14:solidFill>
                    <w14:schemeClr w14:val="tx1"/>
                  </w14:solidFill>
                </w14:textFill>
              </w:rPr>
              <w:t>山西省人民政府令第262号</w:t>
            </w:r>
            <w:r>
              <w:rPr>
                <w:rFonts w:hint="eastAsia" w:cs="Times New Roman"/>
                <w:color w:val="000000" w:themeColor="text1"/>
                <w:highlight w:val="none"/>
                <w:lang w:eastAsia="zh-CN"/>
                <w14:textFill>
                  <w14:solidFill>
                    <w14:schemeClr w14:val="tx1"/>
                  </w14:solidFill>
                </w14:textFill>
              </w:rPr>
              <w:t>文</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山西省人民政府关于坚决打赢汾河流域治理攻坚战的决定》</w:t>
            </w:r>
            <w:r>
              <w:rPr>
                <w:rFonts w:hint="default" w:ascii="Times New Roman" w:hAnsi="Times New Roman" w:eastAsia="宋体" w:cs="Times New Roman"/>
                <w:color w:val="000000" w:themeColor="text1"/>
                <w:highlight w:val="none"/>
                <w:lang w:eastAsia="zh-CN"/>
                <w14:textFill>
                  <w14:solidFill>
                    <w14:schemeClr w14:val="tx1"/>
                  </w14:solidFill>
                </w14:textFill>
              </w:rPr>
              <w:t>（桑干河参照此标准）</w:t>
            </w:r>
            <w:r>
              <w:rPr>
                <w:rFonts w:hint="default" w:ascii="Times New Roman" w:hAnsi="Times New Roman" w:eastAsia="宋体" w:cs="Times New Roman"/>
                <w:color w:val="000000" w:themeColor="text1"/>
                <w:highlight w:val="none"/>
                <w14:textFill>
                  <w14:solidFill>
                    <w14:schemeClr w14:val="tx1"/>
                  </w14:solidFill>
                </w14:textFill>
              </w:rPr>
              <w:t>，煤矿矿井水</w:t>
            </w:r>
            <w:r>
              <w:rPr>
                <w:rFonts w:hint="eastAsia" w:cs="Times New Roman"/>
                <w:color w:val="000000" w:themeColor="text1"/>
                <w:highlight w:val="none"/>
                <w:lang w:eastAsia="zh-CN"/>
                <w14:textFill>
                  <w14:solidFill>
                    <w14:schemeClr w14:val="tx1"/>
                  </w14:solidFill>
                </w14:textFill>
              </w:rPr>
              <w:t>的</w:t>
            </w:r>
            <w:r>
              <w:rPr>
                <w:rFonts w:hint="default" w:ascii="Times New Roman" w:hAnsi="Times New Roman" w:eastAsia="宋体" w:cs="Times New Roman"/>
                <w:color w:val="000000" w:themeColor="text1"/>
                <w:highlight w:val="none"/>
                <w14:textFill>
                  <w14:solidFill>
                    <w14:schemeClr w14:val="tx1"/>
                  </w14:solidFill>
                </w14:textFill>
              </w:rPr>
              <w:t>化学需氧量、氨氮、总磷三项</w:t>
            </w:r>
            <w:r>
              <w:rPr>
                <w:rFonts w:hint="eastAsia" w:cs="Times New Roman"/>
                <w:color w:val="000000" w:themeColor="text1"/>
                <w:highlight w:val="none"/>
                <w:lang w:eastAsia="zh-CN"/>
                <w14:textFill>
                  <w14:solidFill>
                    <w14:schemeClr w14:val="tx1"/>
                  </w14:solidFill>
                </w14:textFill>
              </w:rPr>
              <w:t>指标在满足</w:t>
            </w:r>
            <w:r>
              <w:rPr>
                <w:rFonts w:hint="default" w:ascii="Times New Roman" w:hAnsi="Times New Roman" w:eastAsia="宋体" w:cs="Times New Roman"/>
                <w:color w:val="000000" w:themeColor="text1"/>
                <w:highlight w:val="none"/>
                <w14:textFill>
                  <w14:solidFill>
                    <w14:schemeClr w14:val="tx1"/>
                  </w14:solidFill>
                </w14:textFill>
              </w:rPr>
              <w:t>地表水环境质量Ⅲ类标准</w:t>
            </w:r>
            <w:r>
              <w:rPr>
                <w:rFonts w:hint="eastAsia" w:cs="Times New Roman"/>
                <w:color w:val="000000" w:themeColor="text1"/>
                <w:highlight w:val="none"/>
                <w:lang w:eastAsia="zh-CN"/>
                <w14:textFill>
                  <w14:solidFill>
                    <w14:schemeClr w14:val="tx1"/>
                  </w14:solidFill>
                </w14:textFill>
              </w:rPr>
              <w:t>后可以外排</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故</w:t>
            </w:r>
            <w:r>
              <w:rPr>
                <w:rFonts w:hint="default" w:ascii="Times New Roman" w:hAnsi="Times New Roman" w:eastAsia="宋体" w:cs="Times New Roman"/>
                <w:color w:val="000000" w:themeColor="text1"/>
                <w:highlight w:val="none"/>
                <w14:textFill>
                  <w14:solidFill>
                    <w14:schemeClr w14:val="tx1"/>
                  </w14:solidFill>
                </w14:textFill>
              </w:rPr>
              <w:t>企业决定对</w:t>
            </w:r>
            <w:r>
              <w:rPr>
                <w:rFonts w:hint="eastAsia" w:cs="Times New Roman"/>
                <w:color w:val="000000" w:themeColor="text1"/>
                <w:highlight w:val="none"/>
                <w:lang w:eastAsia="zh-CN"/>
                <w14:textFill>
                  <w14:solidFill>
                    <w14:schemeClr w14:val="tx1"/>
                  </w14:solidFill>
                </w14:textFill>
              </w:rPr>
              <w:t>现有的</w:t>
            </w:r>
            <w:r>
              <w:rPr>
                <w:rFonts w:hint="default" w:ascii="Times New Roman" w:hAnsi="Times New Roman" w:eastAsia="宋体" w:cs="Times New Roman"/>
                <w:color w:val="000000" w:themeColor="text1"/>
                <w:highlight w:val="none"/>
                <w14:textFill>
                  <w14:solidFill>
                    <w14:schemeClr w14:val="tx1"/>
                  </w14:solidFill>
                </w14:textFill>
              </w:rPr>
              <w:t>矿井水处理站进行提标改造，</w:t>
            </w:r>
            <w:r>
              <w:rPr>
                <w:rFonts w:hint="eastAsia" w:cs="Times New Roman"/>
                <w:color w:val="000000" w:themeColor="text1"/>
                <w:highlight w:val="none"/>
                <w:lang w:eastAsia="zh-CN"/>
                <w14:textFill>
                  <w14:solidFill>
                    <w14:schemeClr w14:val="tx1"/>
                  </w14:solidFill>
                </w14:textFill>
              </w:rPr>
              <w:t>改造后矿井水处理能力大于达产后的矿井涌水量，在满足回用的前提下，部分外排水水质满足</w:t>
            </w:r>
            <w:r>
              <w:rPr>
                <w:rFonts w:hint="default" w:ascii="Times New Roman" w:hAnsi="Times New Roman" w:eastAsia="宋体" w:cs="Times New Roman"/>
                <w:color w:val="000000" w:themeColor="text1"/>
                <w:highlight w:val="none"/>
                <w14:textFill>
                  <w14:solidFill>
                    <w14:schemeClr w14:val="tx1"/>
                  </w14:solidFill>
                </w14:textFill>
              </w:rPr>
              <w:t>地表水环境质量Ⅲ类标准</w:t>
            </w:r>
            <w:r>
              <w:rPr>
                <w:rFonts w:hint="eastAsia" w:cs="Times New Roman"/>
                <w:color w:val="000000" w:themeColor="text1"/>
                <w:highlight w:val="none"/>
                <w:lang w:eastAsia="zh-CN"/>
                <w14:textFill>
                  <w14:solidFill>
                    <w14:schemeClr w14:val="tx1"/>
                  </w14:solidFill>
                </w14:textFill>
              </w:rPr>
              <w:t>要求后排入大沙沟</w:t>
            </w:r>
            <w:r>
              <w:rPr>
                <w:rFonts w:hint="default" w:ascii="Times New Roman" w:hAnsi="Times New Roman" w:eastAsia="宋体" w:cs="Times New Roman"/>
                <w:color w:val="000000" w:themeColor="text1"/>
                <w:highlight w:val="none"/>
                <w14:textFill>
                  <w14:solidFill>
                    <w14:schemeClr w14:val="tx1"/>
                  </w14:solidFill>
                </w14:textFill>
              </w:rPr>
              <w:t>。</w:t>
            </w:r>
          </w:p>
          <w:p>
            <w:pPr>
              <w:spacing w:line="480" w:lineRule="exact"/>
              <w:ind w:firstLine="482" w:firstLineChars="201"/>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中华人民共和国环境保护法》、《中华人民共和国环境影响评价法》和《建设项目环境保护管理条例》的有关规定，本项目应进行环境影响评价，根据《建设项目环境影响评价分类管理名录》，本项目属于三十三、水的生产和供应业、98、海水淡化、其他水处理和利用，应编制环境影响报告表，</w:t>
            </w: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r>
              <w:rPr>
                <w:rFonts w:hint="default" w:ascii="Times New Roman" w:hAnsi="Times New Roman" w:eastAsia="宋体" w:cs="Times New Roman"/>
                <w:color w:val="000000" w:themeColor="text1"/>
                <w:highlight w:val="none"/>
                <w14:textFill>
                  <w14:solidFill>
                    <w14:schemeClr w14:val="tx1"/>
                  </w14:solidFill>
                </w14:textFill>
              </w:rPr>
              <w:t>于2020年</w:t>
            </w:r>
            <w:r>
              <w:rPr>
                <w:rFonts w:hint="default" w:ascii="Times New Roman" w:hAnsi="Times New Roman" w:eastAsia="宋体" w:cs="Times New Roman"/>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highlight w:val="none"/>
                <w14:textFill>
                  <w14:solidFill>
                    <w14:schemeClr w14:val="tx1"/>
                  </w14:solidFill>
                </w14:textFill>
              </w:rPr>
              <w:t>月委托我公司承担本项目环境影响评价工作。接受委托后，我单位立即组织项目参评人员赴现场进行实地踏勘，详细了解工程建设内容和生产工艺，对项目所在自然环境及项目进展情况进行了详细调查，结合项目实际情况，我公司编制完成了《</w:t>
            </w:r>
            <w:bookmarkStart w:id="0" w:name="_Hlk21537356"/>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山西朔州平鲁区兰花永胜煤业有限公司矿井水处理站提标改造项目</w:t>
            </w:r>
            <w:r>
              <w:rPr>
                <w:rFonts w:hint="default" w:ascii="Times New Roman" w:hAnsi="Times New Roman" w:eastAsia="宋体" w:cs="Times New Roman"/>
                <w:color w:val="000000" w:themeColor="text1"/>
                <w:highlight w:val="none"/>
                <w14:textFill>
                  <w14:solidFill>
                    <w14:schemeClr w14:val="tx1"/>
                  </w14:solidFill>
                </w14:textFill>
              </w:rPr>
              <w:t>项目环境影响报告表</w:t>
            </w:r>
            <w:bookmarkEnd w:id="0"/>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送审</w:t>
            </w:r>
            <w:r>
              <w:rPr>
                <w:rFonts w:hint="default" w:ascii="Times New Roman" w:hAnsi="Times New Roman" w:eastAsia="宋体" w:cs="Times New Roman"/>
                <w:color w:val="000000" w:themeColor="text1"/>
                <w:highlight w:val="none"/>
                <w14:textFill>
                  <w14:solidFill>
                    <w14:schemeClr w14:val="tx1"/>
                  </w14:solidFill>
                </w14:textFill>
              </w:rPr>
              <w:t>本）。</w:t>
            </w:r>
          </w:p>
          <w:p>
            <w:pPr>
              <w:pStyle w:val="6"/>
              <w:spacing w:line="480" w:lineRule="exact"/>
              <w:ind w:firstLine="482"/>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朔州市生态环境局平鲁分局于2020年12月19日在朔州市主持召开了“山西朔州平鲁区兰花永胜煤业有限公司矿井水处理站提标改造项目环境影响报告表”技术审查会。会后我单位根据技术审查意见对报告</w:t>
            </w:r>
            <w:r>
              <w:rPr>
                <w:rFonts w:hint="eastAsia" w:cs="Times New Roman"/>
                <w:b w:val="0"/>
                <w:bCs w:val="0"/>
                <w:color w:val="000000" w:themeColor="text1"/>
                <w:highlight w:val="none"/>
                <w:lang w:eastAsia="zh-CN"/>
                <w14:textFill>
                  <w14:solidFill>
                    <w14:schemeClr w14:val="tx1"/>
                  </w14:solidFill>
                </w14:textFill>
              </w:rPr>
              <w:t>表</w:t>
            </w:r>
            <w:r>
              <w:rPr>
                <w:rFonts w:hint="default" w:ascii="Times New Roman" w:hAnsi="Times New Roman" w:eastAsia="宋体" w:cs="Times New Roman"/>
                <w:b w:val="0"/>
                <w:bCs w:val="0"/>
                <w:color w:val="000000" w:themeColor="text1"/>
                <w:highlight w:val="none"/>
                <w14:textFill>
                  <w14:solidFill>
                    <w14:schemeClr w14:val="tx1"/>
                  </w14:solidFill>
                </w14:textFill>
              </w:rPr>
              <w:t>进行了认真补充修改，完成了《山西朔州平鲁区兰花永胜煤业有限公司矿井水处理站提标改造项目项目环境影响报告表》（报批本），现提交建设单位，报请生态环境主管部门进行审批。</w:t>
            </w:r>
          </w:p>
          <w:p>
            <w:pPr>
              <w:pStyle w:val="6"/>
              <w:spacing w:line="480" w:lineRule="exact"/>
              <w:ind w:firstLine="482"/>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根据现场踏勘，本项目尚未开工建设。</w:t>
            </w:r>
          </w:p>
          <w:p>
            <w:pPr>
              <w:pStyle w:val="6"/>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2、三线一单分析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（1）生态保护红线</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平鲁区</w:t>
            </w:r>
            <w:r>
              <w:rPr>
                <w:rFonts w:hint="default" w:ascii="Times New Roman" w:hAnsi="Times New Roman" w:eastAsia="宋体" w:cs="Times New Roman"/>
                <w:color w:val="000000" w:themeColor="text1"/>
                <w:highlight w:val="none"/>
                <w14:textFill>
                  <w14:solidFill>
                    <w14:schemeClr w14:val="tx1"/>
                  </w14:solidFill>
                </w14:textFill>
              </w:rPr>
              <w:t>尚未发布当地生态保护红线，本次环评参考</w:t>
            </w:r>
            <w:r>
              <w:rPr>
                <w:rFonts w:hint="default" w:ascii="Times New Roman" w:hAnsi="Times New Roman" w:eastAsia="宋体" w:cs="Times New Roman"/>
                <w:color w:val="000000" w:themeColor="text1"/>
                <w:highlight w:val="none"/>
                <w:lang w:eastAsia="zh-CN"/>
                <w14:textFill>
                  <w14:solidFill>
                    <w14:schemeClr w14:val="tx1"/>
                  </w14:solidFill>
                </w14:textFill>
              </w:rPr>
              <w:t>平鲁区</w:t>
            </w:r>
            <w:r>
              <w:rPr>
                <w:rFonts w:hint="default" w:ascii="Times New Roman" w:hAnsi="Times New Roman" w:eastAsia="宋体" w:cs="Times New Roman"/>
                <w:color w:val="000000" w:themeColor="text1"/>
                <w:highlight w:val="none"/>
                <w14:textFill>
                  <w14:solidFill>
                    <w14:schemeClr w14:val="tx1"/>
                  </w14:solidFill>
                </w14:textFill>
              </w:rPr>
              <w:t>相关规划及环保正常进行分析。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本项目位于朔州市平鲁区榆岭乡石峰村（</w:t>
            </w:r>
            <w:r>
              <w:rPr>
                <w:rFonts w:hint="default" w:ascii="Times New Roman" w:hAnsi="Times New Roman" w:eastAsia="宋体" w:cs="Times New Roman"/>
                <w:color w:val="000000" w:themeColor="text1"/>
                <w:highlight w:val="none"/>
                <w:lang w:eastAsia="zh-CN"/>
                <w14:textFill>
                  <w14:solidFill>
                    <w14:schemeClr w14:val="tx1"/>
                  </w14:solidFill>
                </w14:textFill>
              </w:rPr>
              <w:t>兰花永胜煤业有限公司生产区工业场地矿井水处理站</w:t>
            </w:r>
            <w:r>
              <w:rPr>
                <w:rFonts w:hint="default" w:ascii="Times New Roman" w:hAnsi="Times New Roman" w:eastAsia="宋体" w:cs="Times New Roman"/>
                <w:color w:val="000000" w:themeColor="text1"/>
                <w:highlight w:val="none"/>
                <w14:textFill>
                  <w14:solidFill>
                    <w14:schemeClr w14:val="tx1"/>
                  </w14:solidFill>
                </w14:textFill>
              </w:rPr>
              <w:t>），项目占地不涉及“自然保护区、风景名胜区、饮用水水源保护区、森林公园、地质公园和重要生态功能区、生态敏感区和脆弱区以及其他要求禁止建设的环境敏感区”，故本项目的建设不违背生态保护红线的要求。</w:t>
            </w:r>
          </w:p>
          <w:p>
            <w:pPr>
              <w:spacing w:line="480" w:lineRule="exact"/>
              <w:ind w:firstLine="480"/>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根据《</w:t>
            </w:r>
            <w:r>
              <w:rPr>
                <w:rFonts w:hint="default" w:ascii="Times New Roman" w:hAnsi="Times New Roman" w:eastAsia="宋体" w:cs="Times New Roman"/>
                <w:bCs/>
                <w:color w:val="000000" w:themeColor="text1"/>
                <w:highlight w:val="none"/>
                <w:lang w:eastAsia="zh-CN"/>
                <w14:textFill>
                  <w14:solidFill>
                    <w14:schemeClr w14:val="tx1"/>
                  </w14:solidFill>
                </w14:textFill>
              </w:rPr>
              <w:t>平鲁区</w:t>
            </w:r>
            <w:r>
              <w:rPr>
                <w:rFonts w:hint="default" w:ascii="Times New Roman" w:hAnsi="Times New Roman" w:eastAsia="宋体" w:cs="Times New Roman"/>
                <w:bCs/>
                <w:color w:val="000000" w:themeColor="text1"/>
                <w:highlight w:val="none"/>
                <w14:textFill>
                  <w14:solidFill>
                    <w14:schemeClr w14:val="tx1"/>
                  </w14:solidFill>
                </w14:textFill>
              </w:rPr>
              <w:t>生态功能区划》，本项目属于“</w:t>
            </w:r>
            <w:r>
              <w:rPr>
                <w:rFonts w:hint="default" w:ascii="Times New Roman" w:hAnsi="Times New Roman" w:eastAsia="宋体" w:cs="Times New Roman"/>
                <w:kern w:val="0"/>
                <w:sz w:val="24"/>
                <w:highlight w:val="none"/>
              </w:rPr>
              <w:t>Ⅳ</w:t>
            </w:r>
            <w:r>
              <w:rPr>
                <w:rFonts w:hint="default" w:ascii="Times New Roman" w:hAnsi="Times New Roman" w:eastAsia="宋体" w:cs="Times New Roman"/>
                <w:kern w:val="0"/>
                <w:sz w:val="24"/>
                <w:highlight w:val="none"/>
                <w:vertAlign w:val="subscript"/>
              </w:rPr>
              <w:t>2</w:t>
            </w:r>
            <w:r>
              <w:rPr>
                <w:rFonts w:hint="default" w:ascii="Times New Roman" w:hAnsi="Times New Roman" w:eastAsia="宋体" w:cs="Times New Roman"/>
                <w:kern w:val="0"/>
                <w:sz w:val="24"/>
                <w:highlight w:val="none"/>
              </w:rPr>
              <w:t>中南部采煤生态工业生态功能亚区</w:t>
            </w:r>
            <w:r>
              <w:rPr>
                <w:rFonts w:hint="default" w:ascii="Times New Roman" w:hAnsi="Times New Roman" w:eastAsia="宋体" w:cs="Times New Roman"/>
                <w:color w:val="000000" w:themeColor="text1"/>
                <w:spacing w:val="4"/>
                <w:highlight w:val="none"/>
                <w14:textFill>
                  <w14:solidFill>
                    <w14:schemeClr w14:val="tx1"/>
                  </w14:solidFill>
                </w14:textFill>
              </w:rPr>
              <w:t>，</w:t>
            </w:r>
            <w:r>
              <w:rPr>
                <w:rFonts w:hint="default" w:ascii="Times New Roman" w:hAnsi="Times New Roman" w:eastAsia="宋体" w:cs="Times New Roman"/>
                <w:bCs/>
                <w:color w:val="000000" w:themeColor="text1"/>
                <w:highlight w:val="none"/>
                <w14:textFill>
                  <w14:solidFill>
                    <w14:schemeClr w14:val="tx1"/>
                  </w14:solidFill>
                </w14:textFill>
              </w:rPr>
              <w:t>本项目为矿井水提标改造项目，外排矿井水可以达到地表水</w:t>
            </w:r>
            <w:r>
              <w:rPr>
                <w:rFonts w:hint="eastAsia" w:cs="Times New Roman"/>
                <w:bCs/>
                <w:color w:val="000000" w:themeColor="text1"/>
                <w:highlight w:val="none"/>
                <w:lang w:eastAsia="zh-CN"/>
                <w14:textFill>
                  <w14:solidFill>
                    <w14:schemeClr w14:val="tx1"/>
                  </w14:solidFill>
                </w14:textFill>
              </w:rPr>
              <w:t>Ⅲ类</w:t>
            </w:r>
            <w:r>
              <w:rPr>
                <w:rFonts w:hint="default" w:ascii="Times New Roman" w:hAnsi="Times New Roman" w:eastAsia="宋体" w:cs="Times New Roman"/>
                <w:bCs/>
                <w:color w:val="000000" w:themeColor="text1"/>
                <w:highlight w:val="none"/>
                <w14:textFill>
                  <w14:solidFill>
                    <w14:schemeClr w14:val="tx1"/>
                  </w14:solidFill>
                </w14:textFill>
              </w:rPr>
              <w:t>标准，可以起到补充收纳水体流量的作用，不会恶化区域内生态环境现状，故项目的建设不违背</w:t>
            </w:r>
            <w:r>
              <w:rPr>
                <w:rFonts w:hint="default" w:ascii="Times New Roman" w:hAnsi="Times New Roman" w:eastAsia="宋体" w:cs="Times New Roman"/>
                <w:bCs/>
                <w:color w:val="000000" w:themeColor="text1"/>
                <w:highlight w:val="none"/>
                <w:lang w:eastAsia="zh-CN"/>
                <w14:textFill>
                  <w14:solidFill>
                    <w14:schemeClr w14:val="tx1"/>
                  </w14:solidFill>
                </w14:textFill>
              </w:rPr>
              <w:t>平鲁区</w:t>
            </w:r>
            <w:r>
              <w:rPr>
                <w:rFonts w:hint="default" w:ascii="Times New Roman" w:hAnsi="Times New Roman" w:eastAsia="宋体" w:cs="Times New Roman"/>
                <w:bCs/>
                <w:color w:val="000000" w:themeColor="text1"/>
                <w:highlight w:val="none"/>
                <w14:textFill>
                  <w14:solidFill>
                    <w14:schemeClr w14:val="tx1"/>
                  </w14:solidFill>
                </w14:textFill>
              </w:rPr>
              <w:t>生态功能区划的要求。</w:t>
            </w:r>
          </w:p>
          <w:p>
            <w:pPr>
              <w:spacing w:line="480" w:lineRule="exact"/>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根据《</w:t>
            </w:r>
            <w:r>
              <w:rPr>
                <w:rFonts w:hint="default" w:ascii="Times New Roman" w:hAnsi="Times New Roman" w:eastAsia="宋体" w:cs="Times New Roman"/>
                <w:bCs/>
                <w:color w:val="000000" w:themeColor="text1"/>
                <w:highlight w:val="none"/>
                <w:lang w:eastAsia="zh-CN"/>
                <w14:textFill>
                  <w14:solidFill>
                    <w14:schemeClr w14:val="tx1"/>
                  </w14:solidFill>
                </w14:textFill>
              </w:rPr>
              <w:t>平鲁区</w:t>
            </w:r>
            <w:r>
              <w:rPr>
                <w:rFonts w:hint="default" w:ascii="Times New Roman" w:hAnsi="Times New Roman" w:eastAsia="宋体" w:cs="Times New Roman"/>
                <w:bCs/>
                <w:color w:val="000000" w:themeColor="text1"/>
                <w:highlight w:val="none"/>
                <w14:textFill>
                  <w14:solidFill>
                    <w14:schemeClr w14:val="tx1"/>
                  </w14:solidFill>
                </w14:textFill>
              </w:rPr>
              <w:t>生态经济区划》，本项目位于“ⅣB东南部煤炭工业基地及其他产业发展生态经济区”。本项目为矿井水提标改造项目，外排矿井水可以达到地表水</w:t>
            </w:r>
            <w:r>
              <w:rPr>
                <w:rFonts w:hint="eastAsia" w:cs="Times New Roman"/>
                <w:bCs/>
                <w:color w:val="000000" w:themeColor="text1"/>
                <w:highlight w:val="none"/>
                <w:lang w:eastAsia="zh-CN"/>
                <w14:textFill>
                  <w14:solidFill>
                    <w14:schemeClr w14:val="tx1"/>
                  </w14:solidFill>
                </w14:textFill>
              </w:rPr>
              <w:t>Ⅲ类</w:t>
            </w:r>
            <w:r>
              <w:rPr>
                <w:rFonts w:hint="default" w:ascii="Times New Roman" w:hAnsi="Times New Roman" w:eastAsia="宋体" w:cs="Times New Roman"/>
                <w:bCs/>
                <w:color w:val="000000" w:themeColor="text1"/>
                <w:highlight w:val="none"/>
                <w14:textFill>
                  <w14:solidFill>
                    <w14:schemeClr w14:val="tx1"/>
                  </w14:solidFill>
                </w14:textFill>
              </w:rPr>
              <w:t>标准，不会对</w:t>
            </w:r>
            <w:r>
              <w:rPr>
                <w:rFonts w:hint="eastAsia" w:cs="Times New Roman"/>
                <w:bCs/>
                <w:color w:val="000000" w:themeColor="text1"/>
                <w:highlight w:val="none"/>
                <w:lang w:eastAsia="zh-CN"/>
                <w14:textFill>
                  <w14:solidFill>
                    <w14:schemeClr w14:val="tx1"/>
                  </w14:solidFill>
                </w14:textFill>
              </w:rPr>
              <w:t>受</w:t>
            </w:r>
            <w:r>
              <w:rPr>
                <w:rFonts w:hint="default" w:ascii="Times New Roman" w:hAnsi="Times New Roman" w:eastAsia="宋体" w:cs="Times New Roman"/>
                <w:bCs/>
                <w:color w:val="000000" w:themeColor="text1"/>
                <w:highlight w:val="none"/>
                <w14:textFill>
                  <w14:solidFill>
                    <w14:schemeClr w14:val="tx1"/>
                  </w14:solidFill>
                </w14:textFill>
              </w:rPr>
              <w:t>纳水体造成污染，不违背该生态经济区划要求。</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（2）环境质量底线</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①大气环境</w:t>
            </w:r>
          </w:p>
          <w:p>
            <w:pPr>
              <w:pStyle w:val="40"/>
              <w:spacing w:line="480" w:lineRule="exact"/>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本次评价收集到了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平鲁区</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2019年年度例行监测数据，根据例行监测数据，评价区域201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年PM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出现超标现象。本项目所在区域为环境空气不达标区。</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②水环境</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本项目直接纳污水体为</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14:textFill>
                  <w14:solidFill>
                    <w14:schemeClr w14:val="tx1"/>
                  </w14:solidFill>
                </w14:textFill>
              </w:rPr>
              <w:t>根据《山西省地表水功能区划》（DB14/67-2019），</w:t>
            </w:r>
            <w:r>
              <w:rPr>
                <w:rFonts w:hint="eastAsia" w:ascii="Times New Roman" w:hAnsi="Times New Roman" w:cs="Times New Roman"/>
                <w:bCs/>
                <w:color w:val="000000" w:themeColor="text1"/>
                <w:kern w:val="0"/>
                <w:highlight w:val="none"/>
                <w:lang w:eastAsia="zh-CN"/>
                <w14:textFill>
                  <w14:solidFill>
                    <w14:schemeClr w14:val="tx1"/>
                  </w14:solidFill>
                </w14:textFill>
              </w:rPr>
              <w:t>本河段</w:t>
            </w:r>
            <w:r>
              <w:rPr>
                <w:rFonts w:hint="default" w:ascii="Times New Roman" w:hAnsi="Times New Roman" w:eastAsia="宋体" w:cs="Times New Roman"/>
                <w:bCs/>
                <w:color w:val="000000" w:themeColor="text1"/>
                <w:kern w:val="0"/>
                <w:highlight w:val="none"/>
                <w14:textFill>
                  <w14:solidFill>
                    <w14:schemeClr w14:val="tx1"/>
                  </w14:solidFill>
                </w14:textFill>
              </w:rPr>
              <w:t>执行《地表水环境质量标准》（GB3838-2002）中Ⅳ类标准。根据</w:t>
            </w:r>
            <w:r>
              <w:rPr>
                <w:rFonts w:hint="eastAsia" w:cs="Times New Roman"/>
                <w:bCs/>
                <w:color w:val="000000" w:themeColor="text1"/>
                <w:kern w:val="0"/>
                <w:highlight w:val="none"/>
                <w:lang w:eastAsia="zh-CN"/>
                <w14:textFill>
                  <w14:solidFill>
                    <w14:schemeClr w14:val="tx1"/>
                  </w14:solidFill>
                </w14:textFill>
              </w:rPr>
              <w:t>朔州市生态环境局于</w:t>
            </w:r>
            <w:r>
              <w:rPr>
                <w:rFonts w:hint="eastAsia" w:cs="Times New Roman"/>
                <w:bCs/>
                <w:color w:val="000000" w:themeColor="text1"/>
                <w:kern w:val="0"/>
                <w:highlight w:val="none"/>
                <w:lang w:val="en-US" w:eastAsia="zh-CN"/>
                <w14:textFill>
                  <w14:solidFill>
                    <w14:schemeClr w14:val="tx1"/>
                  </w14:solidFill>
                </w14:textFill>
              </w:rPr>
              <w:t>2020年11月10日在朔州市生态环境局官网公开的2020年10月朔州市地表水环境质量状况可知，本项目河段隶属的神头桥监测断面结果为</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Ⅳ类</w:t>
            </w:r>
            <w:r>
              <w:rPr>
                <w:rFonts w:hint="eastAsia"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水质能达到《地表水环境质量标准》（GB3838-2002）中Ⅳ类标准要求</w:t>
            </w:r>
            <w:r>
              <w:rPr>
                <w:rFonts w:hint="default" w:ascii="Times New Roman" w:hAnsi="Times New Roman" w:eastAsia="宋体" w:cs="Times New Roman"/>
                <w:bCs/>
                <w:color w:val="000000" w:themeColor="text1"/>
                <w:kern w:val="0"/>
                <w:highlight w:val="none"/>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（3）资源开发利用上限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本工程为矿井水提标改造工程，不存在资源开发利用上限限制。</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（4）环境准入负面清单</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所在地没有环境准入负面清单，本次环评对照国家产业政策及当地规划进行说明。根据《产业结构调整指导目录（2019年本）》，项目生产工艺、生产规模和生产设备均不属于淘汰类、限制类，因此本建设项目符合国家产业政策。</w:t>
            </w:r>
          </w:p>
          <w:p>
            <w:pPr>
              <w:spacing w:line="480" w:lineRule="exact"/>
              <w:ind w:firstLine="482"/>
              <w:rPr>
                <w:rFonts w:hint="eastAsia"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3、</w:t>
            </w:r>
            <w:r>
              <w:rPr>
                <w:rFonts w:hint="eastAsia" w:cs="Times New Roman"/>
                <w:b/>
                <w:bCs/>
                <w:color w:val="000000" w:themeColor="text1"/>
                <w:highlight w:val="none"/>
                <w:lang w:eastAsia="zh-CN"/>
                <w14:textFill>
                  <w14:solidFill>
                    <w14:schemeClr w14:val="tx1"/>
                  </w14:solidFill>
                </w14:textFill>
              </w:rPr>
              <w:t>现有项目基本情况</w:t>
            </w:r>
          </w:p>
          <w:p>
            <w:pPr>
              <w:spacing w:line="480" w:lineRule="exact"/>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（1）</w:t>
            </w:r>
            <w:r>
              <w:rPr>
                <w:rFonts w:hint="default" w:ascii="Times New Roman" w:hAnsi="Times New Roman" w:eastAsia="宋体" w:cs="Times New Roman"/>
                <w:b/>
                <w:bCs/>
                <w:color w:val="000000" w:themeColor="text1"/>
                <w:highlight w:val="none"/>
                <w:lang w:eastAsia="zh-CN"/>
                <w14:textFill>
                  <w14:solidFill>
                    <w14:schemeClr w14:val="tx1"/>
                  </w14:solidFill>
                </w14:textFill>
              </w:rPr>
              <w:t>山西朔州平鲁区兰花永胜煤业有限公司</w:t>
            </w:r>
            <w:r>
              <w:rPr>
                <w:rFonts w:hint="default" w:ascii="Times New Roman" w:hAnsi="Times New Roman" w:eastAsia="宋体" w:cs="Times New Roman"/>
                <w:b/>
                <w:bCs/>
                <w:color w:val="000000" w:themeColor="text1"/>
                <w:highlight w:val="none"/>
                <w14:textFill>
                  <w14:solidFill>
                    <w14:schemeClr w14:val="tx1"/>
                  </w14:solidFill>
                </w14:textFill>
              </w:rPr>
              <w:t>现况</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山西朔州平鲁区兰花永胜煤业有限公司目前建设情况如下：</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表1-1  主要建设内容一览表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2"/>
              <w:gridCol w:w="587"/>
              <w:gridCol w:w="429"/>
              <w:gridCol w:w="1012"/>
              <w:gridCol w:w="5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68" w:type="dxa"/>
                  <w:gridSpan w:val="4"/>
                  <w:noWrap w:val="0"/>
                  <w:vAlign w:val="center"/>
                </w:tcPr>
                <w:p>
                  <w:pPr>
                    <w:pStyle w:val="118"/>
                    <w:spacing w:line="320" w:lineRule="exact"/>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Cs w:val="21"/>
                      <w:highlight w:val="none"/>
                      <w14:textFill>
                        <w14:solidFill>
                          <w14:schemeClr w14:val="tx1"/>
                        </w14:solidFill>
                      </w14:textFill>
                    </w:rPr>
                    <w:t>工程组成</w:t>
                  </w:r>
                </w:p>
              </w:tc>
              <w:tc>
                <w:tcPr>
                  <w:tcW w:w="5852" w:type="dxa"/>
                  <w:noWrap w:val="0"/>
                  <w:vAlign w:val="center"/>
                </w:tcPr>
                <w:p>
                  <w:pPr>
                    <w:pStyle w:val="118"/>
                    <w:spacing w:line="320" w:lineRule="exact"/>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Cs w:val="21"/>
                      <w:highlight w:val="none"/>
                      <w14:textFill>
                        <w14:solidFill>
                          <w14:schemeClr w14:val="tx1"/>
                        </w14:solidFill>
                      </w14:textFill>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68" w:type="dxa"/>
                  <w:gridSpan w:val="4"/>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资源条件</w:t>
                  </w:r>
                </w:p>
              </w:tc>
              <w:tc>
                <w:tcPr>
                  <w:tcW w:w="5852" w:type="dxa"/>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napToGrid w:val="0"/>
                      <w:sz w:val="21"/>
                      <w:szCs w:val="21"/>
                      <w:highlight w:val="none"/>
                    </w:rPr>
                    <w:t>山西省国土资源厅</w:t>
                  </w:r>
                  <w:r>
                    <w:rPr>
                      <w:rFonts w:hint="default" w:ascii="Times New Roman" w:hAnsi="Times New Roman" w:eastAsia="宋体" w:cs="Times New Roman"/>
                      <w:bCs/>
                      <w:snapToGrid w:val="0"/>
                      <w:sz w:val="21"/>
                      <w:szCs w:val="21"/>
                      <w:highlight w:val="none"/>
                    </w:rPr>
                    <w:t>2010年1月10日为兼并重组整合后的</w:t>
                  </w:r>
                  <w:r>
                    <w:rPr>
                      <w:rFonts w:hint="default" w:ascii="Times New Roman" w:hAnsi="Times New Roman" w:eastAsia="宋体" w:cs="Times New Roman"/>
                      <w:bCs/>
                      <w:sz w:val="21"/>
                      <w:szCs w:val="21"/>
                      <w:highlight w:val="none"/>
                    </w:rPr>
                    <w:t>山西朔州平鲁区兰花永胜煤业有限公司</w:t>
                  </w:r>
                  <w:r>
                    <w:rPr>
                      <w:rFonts w:hint="default" w:ascii="Times New Roman" w:hAnsi="Times New Roman" w:eastAsia="宋体" w:cs="Times New Roman"/>
                      <w:snapToGrid w:val="0"/>
                      <w:sz w:val="21"/>
                      <w:szCs w:val="21"/>
                      <w:highlight w:val="none"/>
                    </w:rPr>
                    <w:t>颁发了《采矿许可证》，证号C1400002010011220053239，批准开采4、9、11号煤层，批准的井田范围为一不规则图形，</w:t>
                  </w:r>
                  <w:r>
                    <w:rPr>
                      <w:rFonts w:hint="default" w:ascii="Times New Roman" w:hAnsi="Times New Roman" w:eastAsia="宋体" w:cs="Times New Roman"/>
                      <w:sz w:val="21"/>
                      <w:szCs w:val="21"/>
                      <w:highlight w:val="none"/>
                    </w:rPr>
                    <w:t>东西最长</w:t>
                  </w:r>
                  <w:r>
                    <w:rPr>
                      <w:rFonts w:hint="default" w:ascii="Times New Roman" w:hAnsi="Times New Roman" w:eastAsia="宋体" w:cs="Times New Roman"/>
                      <w:sz w:val="21"/>
                      <w:szCs w:val="21"/>
                      <w:highlight w:val="none"/>
                      <w:lang w:val="es-ES"/>
                    </w:rPr>
                    <w:t>4.500km，</w:t>
                  </w:r>
                  <w:r>
                    <w:rPr>
                      <w:rFonts w:hint="default" w:ascii="Times New Roman" w:hAnsi="Times New Roman" w:eastAsia="宋体" w:cs="Times New Roman"/>
                      <w:sz w:val="21"/>
                      <w:szCs w:val="21"/>
                      <w:highlight w:val="none"/>
                    </w:rPr>
                    <w:t>南北最宽</w:t>
                  </w:r>
                  <w:r>
                    <w:rPr>
                      <w:rFonts w:hint="default" w:ascii="Times New Roman" w:hAnsi="Times New Roman" w:eastAsia="宋体" w:cs="Times New Roman"/>
                      <w:sz w:val="21"/>
                      <w:szCs w:val="21"/>
                      <w:highlight w:val="none"/>
                      <w:lang w:val="es-ES"/>
                    </w:rPr>
                    <w:t>2.718km，</w:t>
                  </w:r>
                  <w:r>
                    <w:rPr>
                      <w:rFonts w:hint="default" w:ascii="Times New Roman" w:hAnsi="Times New Roman" w:eastAsia="宋体" w:cs="Times New Roman"/>
                      <w:sz w:val="21"/>
                      <w:szCs w:val="21"/>
                      <w:highlight w:val="none"/>
                    </w:rPr>
                    <w:t>面积</w:t>
                  </w:r>
                  <w:r>
                    <w:rPr>
                      <w:rFonts w:hint="default" w:ascii="Times New Roman" w:hAnsi="Times New Roman" w:eastAsia="宋体" w:cs="Times New Roman"/>
                      <w:sz w:val="21"/>
                      <w:szCs w:val="21"/>
                      <w:highlight w:val="none"/>
                      <w:lang w:val="es-ES"/>
                    </w:rPr>
                    <w:t>7.3562km</w:t>
                  </w:r>
                  <w:r>
                    <w:rPr>
                      <w:rFonts w:hint="default" w:ascii="Times New Roman" w:hAnsi="Times New Roman" w:eastAsia="宋体" w:cs="Times New Roman"/>
                      <w:sz w:val="21"/>
                      <w:szCs w:val="21"/>
                      <w:highlight w:val="none"/>
                      <w:vertAlign w:val="superscript"/>
                      <w:lang w:val="es-ES"/>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68" w:type="dxa"/>
                  <w:gridSpan w:val="4"/>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highlight w:val="none"/>
                      <w14:textFill>
                        <w14:solidFill>
                          <w14:schemeClr w14:val="tx1"/>
                        </w14:solidFill>
                      </w14:textFill>
                    </w:rPr>
                    <w:t>工程占地</w:t>
                  </w:r>
                </w:p>
              </w:tc>
              <w:tc>
                <w:tcPr>
                  <w:tcW w:w="5852" w:type="dxa"/>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highlight w:val="none"/>
                      <w14:textFill>
                        <w14:solidFill>
                          <w14:schemeClr w14:val="tx1"/>
                        </w14:solidFill>
                      </w14:textFill>
                    </w:rPr>
                    <w:t>占地面积</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10.14</w:t>
                  </w:r>
                  <w:r>
                    <w:rPr>
                      <w:rFonts w:hint="default" w:ascii="Times New Roman" w:hAnsi="Times New Roman" w:eastAsia="宋体" w:cs="Times New Roman"/>
                      <w:color w:val="000000" w:themeColor="text1"/>
                      <w:szCs w:val="21"/>
                      <w:highlight w:val="none"/>
                      <w14:textFill>
                        <w14:solidFill>
                          <w14:schemeClr w14:val="tx1"/>
                        </w14:solidFill>
                      </w14:textFill>
                    </w:rPr>
                    <w:t>hm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noWrap w:val="0"/>
                  <w:vAlign w:val="center"/>
                </w:tcPr>
                <w:p>
                  <w:pPr>
                    <w:pStyle w:val="118"/>
                    <w:keepNext w:val="0"/>
                    <w:keepLines w:val="0"/>
                    <w:pageBreakBefore w:val="0"/>
                    <w:widowControl/>
                    <w:kinsoku/>
                    <w:wordWrap/>
                    <w:overflowPunct/>
                    <w:topLinePunct w:val="0"/>
                    <w:autoSpaceDE/>
                    <w:autoSpaceDN/>
                    <w:bidi w:val="0"/>
                    <w:adjustRightInd w:val="0"/>
                    <w:snapToGrid w:val="0"/>
                    <w:spacing w:line="320" w:lineRule="exact"/>
                    <w:ind w:left="-120" w:leftChars="-50" w:right="-120" w:rightChars="-5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highlight w:val="none"/>
                      <w14:textFill>
                        <w14:solidFill>
                          <w14:schemeClr w14:val="tx1"/>
                        </w14:solidFill>
                      </w14:textFill>
                    </w:rPr>
                    <w:t>生产能力</w:t>
                  </w:r>
                </w:p>
              </w:tc>
              <w:tc>
                <w:tcPr>
                  <w:tcW w:w="1980" w:type="dxa"/>
                  <w:gridSpan w:val="3"/>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highlight w:val="none"/>
                      <w14:textFill>
                        <w14:solidFill>
                          <w14:schemeClr w14:val="tx1"/>
                        </w14:solidFill>
                      </w14:textFill>
                    </w:rPr>
                    <w:t>矿井</w:t>
                  </w:r>
                </w:p>
              </w:tc>
              <w:tc>
                <w:tcPr>
                  <w:tcW w:w="5852" w:type="dxa"/>
                  <w:noWrap w:val="0"/>
                  <w:vAlign w:val="center"/>
                </w:tcPr>
                <w:p>
                  <w:pPr>
                    <w:pStyle w:val="118"/>
                    <w:spacing w:line="32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Cs w:val="21"/>
                      <w:highlight w:val="none"/>
                      <w14:textFill>
                        <w14:solidFill>
                          <w14:schemeClr w14:val="tx1"/>
                        </w14:solidFill>
                      </w14:textFill>
                    </w:rPr>
                    <w:t>0万吨/年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矿井主体工程</w:t>
                  </w:r>
                </w:p>
              </w:tc>
              <w:tc>
                <w:tcPr>
                  <w:tcW w:w="573"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井巷工程</w:t>
                  </w:r>
                </w:p>
              </w:tc>
              <w:tc>
                <w:tcPr>
                  <w:tcW w:w="140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主斜井</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倾角为16°，净宽度B=5000mm，落底到11号煤层。斜长489.8m，内装备1000mm带式输送机提煤，另一侧布置猴车升降人员。兼做进风井筒和矿井安全出口。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573"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40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副斜井</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sz w:val="21"/>
                      <w:szCs w:val="21"/>
                    </w:rPr>
                    <w:t>倾角为18°，净宽度B=3</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00mm，落底到9号煤层，斜长</w:t>
                  </w:r>
                  <w:r>
                    <w:rPr>
                      <w:rFonts w:hint="default" w:ascii="Times New Roman" w:hAnsi="Times New Roman" w:eastAsia="宋体" w:cs="Times New Roman"/>
                      <w:sz w:val="21"/>
                      <w:szCs w:val="21"/>
                      <w:lang w:val="en-US" w:eastAsia="zh-CN"/>
                    </w:rPr>
                    <w:t>313.97</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lang w:eastAsia="zh-CN"/>
                    </w:rPr>
                    <w:t>净断面</w:t>
                  </w:r>
                  <w:r>
                    <w:rPr>
                      <w:rFonts w:hint="default" w:ascii="Times New Roman" w:hAnsi="Times New Roman" w:eastAsia="宋体" w:cs="Times New Roman"/>
                      <w:sz w:val="21"/>
                      <w:szCs w:val="21"/>
                      <w:lang w:val="en-US" w:eastAsia="zh-CN"/>
                    </w:rPr>
                    <w:t>11.57</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lang w:val="en-US" w:eastAsia="zh-CN"/>
                    </w:rPr>
                    <w:t>，用于矿井日常生产的材料和设备的升降任务兼进风。装备单绳缠绕式提升机1套，采用全数字交流变频调速矿井提升机电控装置。敷设消防洒水管路、排水管路、压风管路及通讯电缆，</w:t>
                  </w:r>
                  <w:r>
                    <w:rPr>
                      <w:rFonts w:hint="default" w:ascii="Times New Roman" w:hAnsi="Times New Roman" w:eastAsia="宋体" w:cs="Times New Roman"/>
                      <w:sz w:val="21"/>
                      <w:szCs w:val="21"/>
                    </w:rPr>
                    <w:t>兼安全</w:t>
                  </w:r>
                  <w:r>
                    <w:rPr>
                      <w:rFonts w:hint="default" w:ascii="Times New Roman" w:hAnsi="Times New Roman" w:eastAsia="宋体" w:cs="Times New Roman"/>
                      <w:sz w:val="21"/>
                      <w:szCs w:val="21"/>
                      <w:lang w:eastAsia="zh-CN"/>
                    </w:rPr>
                    <w:t>通道</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573"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40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回风斜井</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主立井表土段及井底连接处段范围为钢筋混凝土支护，厚度为</w:t>
                  </w:r>
                  <w:r>
                    <w:rPr>
                      <w:rFonts w:hint="default" w:ascii="Times New Roman" w:hAnsi="Times New Roman" w:eastAsia="宋体" w:cs="Times New Roman"/>
                      <w:sz w:val="21"/>
                      <w:szCs w:val="21"/>
                      <w:lang w:val="en-US" w:eastAsia="zh-CN"/>
                    </w:rPr>
                    <w:t>500m，垂深107m，净直径4.5m，净断面15.9</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lang w:val="en-US" w:eastAsia="zh-CN"/>
                    </w:rPr>
                    <w:t>，布置黄泥灌浆管路用于井下防灭火，装备梯子间作为矿井一个安全出口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573"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工业场地</w:t>
                  </w:r>
                </w:p>
              </w:tc>
              <w:tc>
                <w:tcPr>
                  <w:tcW w:w="140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主</w:t>
                  </w:r>
                  <w:r>
                    <w:rPr>
                      <w:rFonts w:hint="default" w:ascii="Times New Roman" w:hAnsi="Times New Roman" w:eastAsia="宋体" w:cs="Times New Roman"/>
                      <w:sz w:val="21"/>
                      <w:szCs w:val="21"/>
                    </w:rPr>
                    <w:t>工业场</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91" w:leftChars="-38"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在井田北侧新建一工业场地。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573"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40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生活区</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79" w:leftChars="-33" w:firstLine="0" w:firstLineChars="0"/>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利用原万鑫煤矿工业场地作为整合后的生活区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573"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407" w:type="dxa"/>
                  <w:gridSpan w:val="2"/>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风井场地</w:t>
                  </w:r>
                </w:p>
              </w:tc>
              <w:tc>
                <w:tcPr>
                  <w:tcW w:w="585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79" w:leftChars="-33"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利用</w:t>
                  </w:r>
                  <w:r>
                    <w:rPr>
                      <w:rFonts w:hint="default" w:ascii="Times New Roman" w:hAnsi="Times New Roman" w:eastAsia="宋体" w:cs="Times New Roman"/>
                      <w:snapToGrid w:val="0"/>
                      <w:sz w:val="21"/>
                      <w:szCs w:val="21"/>
                    </w:rPr>
                    <w:t>原永胜煤矿</w:t>
                  </w:r>
                  <w:r>
                    <w:rPr>
                      <w:rFonts w:hint="default" w:ascii="Times New Roman" w:hAnsi="Times New Roman" w:eastAsia="宋体" w:cs="Times New Roman"/>
                      <w:bCs/>
                      <w:sz w:val="21"/>
                      <w:szCs w:val="21"/>
                    </w:rPr>
                    <w:t>工业场地作为整合后的风井场地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矸石场</w:t>
                  </w:r>
                </w:p>
              </w:tc>
              <w:tc>
                <w:tcPr>
                  <w:tcW w:w="585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textAlignment w:val="auto"/>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位于工业场地西南侧，沟长约400m，宽约80m，深10m，占地约3hm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bCs/>
                      <w:sz w:val="21"/>
                      <w:szCs w:val="21"/>
                      <w:highlight w:val="none"/>
                      <w:lang w:val="en-US" w:eastAsia="zh-CN"/>
                    </w:rPr>
                    <w:t>，为荒地，容积约32万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sz w:val="21"/>
                      <w:szCs w:val="21"/>
                      <w:highlight w:val="none"/>
                      <w:lang w:val="en-US" w:eastAsia="zh-CN"/>
                    </w:rPr>
                    <w:t>，可满足本矿30年的矸石堆存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1980" w:type="dxa"/>
                  <w:gridSpan w:val="3"/>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矿井</w:t>
                  </w:r>
                  <w:r>
                    <w:rPr>
                      <w:rFonts w:hint="default" w:ascii="Times New Roman" w:hAnsi="Times New Roman" w:eastAsia="宋体" w:cs="Times New Roman"/>
                      <w:sz w:val="21"/>
                      <w:szCs w:val="21"/>
                      <w:highlight w:val="none"/>
                      <w:lang w:eastAsia="zh-CN"/>
                    </w:rPr>
                    <w:t>联合</w:t>
                  </w:r>
                  <w:r>
                    <w:rPr>
                      <w:rFonts w:hint="default" w:ascii="Times New Roman" w:hAnsi="Times New Roman" w:eastAsia="宋体" w:cs="Times New Roman"/>
                      <w:sz w:val="21"/>
                      <w:szCs w:val="21"/>
                      <w:highlight w:val="none"/>
                    </w:rPr>
                    <w:t>修理车间</w:t>
                  </w:r>
                </w:p>
              </w:tc>
              <w:tc>
                <w:tcPr>
                  <w:tcW w:w="5852"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1382.4</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，负担全矿井机电设备的日常维修和维护任务，轻钢结构，彩板围护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坑木加工房</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162</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空压</w:t>
                  </w:r>
                  <w:r>
                    <w:rPr>
                      <w:rFonts w:hint="default" w:ascii="Times New Roman" w:hAnsi="Times New Roman" w:eastAsia="宋体" w:cs="Times New Roman"/>
                      <w:sz w:val="21"/>
                      <w:szCs w:val="21"/>
                      <w:highlight w:val="none"/>
                      <w:lang w:eastAsia="zh-CN"/>
                    </w:rPr>
                    <w:t>机房</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355.4</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，钢筋硂框排架结构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6"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锅炉房</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两座锅炉房，工业场地锅炉房内设</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2台8t/h燃气蒸汽锅炉和1台2t/h燃气蒸汽锅炉；生活区锅炉房内设1台型号为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HJAT-GDF-1300的</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电锅炉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储罐区</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行政福利区锅炉房东边新建一个储罐区，内设一个120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的储气罐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其他设施</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油脂库、消防材料库、岩粉库、器材库等库房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办公楼</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3932</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，采用钢筋硂框排架结构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联合建筑</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4428</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，采用钢筋硂框排架结构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职工食堂</w:t>
                  </w:r>
                </w:p>
              </w:tc>
              <w:tc>
                <w:tcPr>
                  <w:tcW w:w="5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2943.6</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，采用钢筋硂框排架结构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单身宿舍</w:t>
                  </w:r>
                </w:p>
              </w:tc>
              <w:tc>
                <w:tcPr>
                  <w:tcW w:w="5852"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面积</w:t>
                  </w:r>
                  <w:r>
                    <w:rPr>
                      <w:rFonts w:hint="default" w:ascii="Times New Roman" w:hAnsi="Times New Roman" w:eastAsia="宋体" w:cs="Times New Roman"/>
                      <w:sz w:val="21"/>
                      <w:szCs w:val="21"/>
                      <w:highlight w:val="none"/>
                      <w:lang w:val="en-US" w:eastAsia="zh-CN"/>
                    </w:rPr>
                    <w:t>7417</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，采用钢筋硂框排架结构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980"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 电</w:t>
                  </w:r>
                </w:p>
              </w:tc>
              <w:tc>
                <w:tcPr>
                  <w:tcW w:w="585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两回</w:t>
                  </w:r>
                  <w:r>
                    <w:rPr>
                      <w:rFonts w:hint="default" w:ascii="Times New Roman" w:hAnsi="Times New Roman" w:eastAsia="宋体" w:cs="Times New Roman"/>
                      <w:sz w:val="21"/>
                      <w:szCs w:val="21"/>
                      <w:highlight w:val="none"/>
                      <w:lang w:val="en-US" w:eastAsia="zh-CN"/>
                    </w:rPr>
                    <w:t>35kv电源线一回引自向阳堡220kv变电站；一回引自下石井110kv变电站。两回电源线路分列运行，一备一用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配电</w:t>
                  </w:r>
                </w:p>
              </w:tc>
              <w:tc>
                <w:tcPr>
                  <w:tcW w:w="585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工业场地设</w:t>
                  </w:r>
                  <w:r>
                    <w:rPr>
                      <w:rFonts w:hint="default" w:ascii="Times New Roman" w:hAnsi="Times New Roman" w:eastAsia="宋体" w:cs="Times New Roman"/>
                      <w:sz w:val="21"/>
                      <w:szCs w:val="21"/>
                      <w:highlight w:val="none"/>
                      <w:lang w:val="en-US" w:eastAsia="zh-CN"/>
                    </w:rPr>
                    <w:t>35kv变电所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99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供热</w:t>
                  </w: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锅炉房</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两座锅炉房，</w:t>
                  </w:r>
                  <w:r>
                    <w:rPr>
                      <w:rFonts w:hint="default" w:ascii="Times New Roman" w:hAnsi="Times New Roman" w:eastAsia="宋体" w:cs="Times New Roman"/>
                      <w:sz w:val="21"/>
                      <w:szCs w:val="21"/>
                      <w:highlight w:val="none"/>
                      <w:lang w:eastAsia="zh-CN"/>
                    </w:rPr>
                    <w:t>工业场地锅炉房内设</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2台8t/h燃气蒸汽锅炉和1台2t/h燃气蒸汽锅炉；生活区锅炉房内设1台型号为HJAT-GDF-1300的电锅炉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992"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供水</w:t>
                  </w: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水源</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项目职工生活用水和生产用水水源为由煤矿供水井和深度处理后的矿井水。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992"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排水</w:t>
                  </w: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生活污水处理系统</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工业场地和生活区生活污水均排入各自的</w:t>
                  </w:r>
                  <w:r>
                    <w:rPr>
                      <w:rFonts w:hint="default" w:ascii="Times New Roman" w:hAnsi="Times New Roman" w:eastAsia="宋体" w:cs="Times New Roman"/>
                      <w:sz w:val="21"/>
                      <w:szCs w:val="21"/>
                      <w:highlight w:val="none"/>
                      <w:lang w:eastAsia="zh-CN"/>
                    </w:rPr>
                    <w:t>生活污水处理站处理后用于黄泥灌浆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99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p>
              </w:tc>
              <w:tc>
                <w:tcPr>
                  <w:tcW w:w="98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矿井水处理系统</w:t>
                  </w:r>
                </w:p>
              </w:tc>
              <w:tc>
                <w:tcPr>
                  <w:tcW w:w="585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矿井水从副斜井提升至地面后进入矿井水处理站</w:t>
                  </w:r>
                  <w:r>
                    <w:rPr>
                      <w:rFonts w:hint="default" w:ascii="Times New Roman" w:hAnsi="Times New Roman" w:eastAsia="宋体" w:cs="Times New Roman"/>
                      <w:sz w:val="21"/>
                      <w:szCs w:val="21"/>
                      <w:highlight w:val="none"/>
                      <w:lang w:eastAsia="zh-CN"/>
                    </w:rPr>
                    <w:t>处理后回用于井下洒水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锅炉烟气</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蒸汽锅炉安装低氮燃烧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原煤储存</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全封闭筒仓储存</w:t>
                  </w:r>
                  <w:r>
                    <w:rPr>
                      <w:rFonts w:hint="default" w:ascii="Times New Roman" w:hAnsi="Times New Roman" w:eastAsia="宋体" w:cs="Times New Roman"/>
                      <w:sz w:val="21"/>
                      <w:szCs w:val="21"/>
                      <w:highlight w:val="none"/>
                      <w:lang w:eastAsia="zh-CN"/>
                    </w:rPr>
                    <w:t>，仓顶安装瓦斯监控和机械排放装置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噪声治理</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厂区合理布局，选用低噪声设备，对高噪声设备采用基础减震、隔声消声等措施，通风机选用高效消声器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生活污水</w:t>
                  </w:r>
                  <w:r>
                    <w:rPr>
                      <w:rFonts w:hint="default" w:ascii="Times New Roman" w:hAnsi="Times New Roman" w:eastAsia="宋体" w:cs="Times New Roman"/>
                      <w:sz w:val="21"/>
                      <w:szCs w:val="21"/>
                      <w:highlight w:val="none"/>
                      <w:lang w:eastAsia="zh-CN"/>
                    </w:rPr>
                    <w:t>处理设施</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工业场地和生活区各设1座生活污水处理站，</w:t>
                  </w:r>
                  <w:r>
                    <w:rPr>
                      <w:rFonts w:hint="default" w:ascii="Times New Roman" w:hAnsi="Times New Roman" w:eastAsia="宋体" w:cs="Times New Roman"/>
                      <w:sz w:val="21"/>
                      <w:szCs w:val="21"/>
                      <w:highlight w:val="none"/>
                      <w:lang w:eastAsia="zh-CN"/>
                    </w:rPr>
                    <w:t>各设一套地埋式一体化污水处理装置，</w:t>
                  </w:r>
                  <w:r>
                    <w:rPr>
                      <w:rFonts w:hint="default" w:ascii="Times New Roman" w:hAnsi="Times New Roman" w:eastAsia="宋体" w:cs="Times New Roman"/>
                      <w:sz w:val="21"/>
                      <w:szCs w:val="21"/>
                      <w:highlight w:val="none"/>
                    </w:rPr>
                    <w:t>处理能力分别为10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/h和5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矿井</w:t>
                  </w:r>
                  <w:r>
                    <w:rPr>
                      <w:rFonts w:hint="default" w:ascii="Times New Roman" w:hAnsi="Times New Roman" w:eastAsia="宋体" w:cs="Times New Roman"/>
                      <w:sz w:val="21"/>
                      <w:szCs w:val="21"/>
                      <w:highlight w:val="none"/>
                      <w:lang w:eastAsia="zh-CN"/>
                    </w:rPr>
                    <w:t>水处理站</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1座矿井水处理站，处理能力</w:t>
                  </w:r>
                  <w:r>
                    <w:rPr>
                      <w:rFonts w:hint="eastAsia" w:cs="Times New Roman"/>
                      <w:sz w:val="21"/>
                      <w:szCs w:val="21"/>
                      <w:highlight w:val="none"/>
                      <w:lang w:val="en-US" w:eastAsia="zh-CN"/>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w:t>
                  </w:r>
                  <w:r>
                    <w:rPr>
                      <w:rFonts w:hint="eastAsia" w:cs="Times New Roman"/>
                      <w:sz w:val="21"/>
                      <w:szCs w:val="21"/>
                      <w:highlight w:val="none"/>
                      <w:lang w:val="en-US" w:eastAsia="zh-CN"/>
                    </w:rPr>
                    <w:t>h</w:t>
                  </w:r>
                  <w:r>
                    <w:rPr>
                      <w:rFonts w:hint="default" w:ascii="Times New Roman" w:hAnsi="Times New Roman" w:eastAsia="宋体" w:cs="Times New Roman"/>
                      <w:sz w:val="21"/>
                      <w:szCs w:val="21"/>
                      <w:highlight w:val="none"/>
                      <w:lang w:eastAsia="zh-CN"/>
                    </w:rPr>
                    <w:t>，采用混凝、沉淀、过滤、消毒处理工艺；煤泥采用浓缩、压滤工艺处理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生态</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已对采空区地表采取填充裂缝、土地平整、因地制宜、复垦为耕地、林草地、土壤培育、撒播草种等措施进行治理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rPr>
                  </w:pPr>
                </w:p>
              </w:tc>
              <w:tc>
                <w:tcPr>
                  <w:tcW w:w="19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固废处置</w:t>
                  </w:r>
                </w:p>
              </w:tc>
              <w:tc>
                <w:tcPr>
                  <w:tcW w:w="58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生活垃圾送往环卫部门指定处置场，矸石</w:t>
                  </w:r>
                  <w:r>
                    <w:rPr>
                      <w:rFonts w:hint="default" w:ascii="Times New Roman" w:hAnsi="Times New Roman" w:eastAsia="宋体" w:cs="Times New Roman"/>
                      <w:sz w:val="21"/>
                      <w:szCs w:val="21"/>
                      <w:highlight w:val="none"/>
                      <w:lang w:eastAsia="zh-CN"/>
                    </w:rPr>
                    <w:t>送往矸石沟填埋</w:t>
                  </w:r>
                  <w:r>
                    <w:rPr>
                      <w:rFonts w:hint="default" w:ascii="Times New Roman" w:hAnsi="Times New Roman" w:eastAsia="宋体" w:cs="Times New Roman"/>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9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储运工程</w:t>
                  </w:r>
                </w:p>
              </w:tc>
              <w:tc>
                <w:tcPr>
                  <w:tcW w:w="1980" w:type="dxa"/>
                  <w:gridSpan w:val="3"/>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储煤设施</w:t>
                  </w:r>
                </w:p>
              </w:tc>
              <w:tc>
                <w:tcPr>
                  <w:tcW w:w="5852"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4个Φ18/45.2m原煤缓存筒仓，储量均为5kt。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9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jc w:val="center"/>
                    <w:textAlignment w:val="auto"/>
                    <w:rPr>
                      <w:rFonts w:hint="default" w:ascii="Times New Roman" w:hAnsi="Times New Roman" w:eastAsia="宋体" w:cs="Times New Roman"/>
                      <w:sz w:val="21"/>
                      <w:szCs w:val="21"/>
                      <w:highlight w:val="none"/>
                    </w:rPr>
                  </w:pPr>
                </w:p>
              </w:tc>
              <w:tc>
                <w:tcPr>
                  <w:tcW w:w="1980" w:type="dxa"/>
                  <w:gridSpan w:val="3"/>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进场公路</w:t>
                  </w:r>
                </w:p>
              </w:tc>
              <w:tc>
                <w:tcPr>
                  <w:tcW w:w="585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62" w:leftChars="-26" w:right="-82" w:rightChars="-34"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公路总长度</w:t>
                  </w:r>
                  <w:r>
                    <w:rPr>
                      <w:rFonts w:hint="default" w:ascii="Times New Roman" w:hAnsi="Times New Roman" w:eastAsia="宋体" w:cs="Times New Roman"/>
                      <w:sz w:val="21"/>
                      <w:szCs w:val="21"/>
                      <w:highlight w:val="none"/>
                      <w:lang w:val="en-US" w:eastAsia="zh-CN"/>
                    </w:rPr>
                    <w:t>10.6km，水泥混凝土路面，路面宽6.5m，路基宽7.5m</w:t>
                  </w:r>
                </w:p>
              </w:tc>
            </w:tr>
          </w:tbl>
          <w:p>
            <w:pPr>
              <w:spacing w:line="480" w:lineRule="exact"/>
              <w:ind w:firstLine="480"/>
              <w:jc w:val="left"/>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）矿井水现有工程基本情况</w:t>
            </w:r>
          </w:p>
          <w:p>
            <w:pPr>
              <w:spacing w:line="480" w:lineRule="exact"/>
              <w:ind w:firstLine="480"/>
              <w:jc w:val="left"/>
              <w:rPr>
                <w:rFonts w:hint="default" w:ascii="Times New Roman" w:hAnsi="Times New Roman" w:eastAsia="宋体" w:cs="Times New Roman"/>
                <w:bCs/>
                <w:color w:val="000000" w:themeColor="text1"/>
                <w:szCs w:val="32"/>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工业场地现有矿井水处理站</w:t>
            </w:r>
            <w:r>
              <w:rPr>
                <w:rFonts w:hint="default" w:ascii="Times New Roman" w:hAnsi="Times New Roman" w:eastAsia="宋体" w:cs="Times New Roman"/>
                <w:color w:val="000000" w:themeColor="text1"/>
                <w:highlight w:val="none"/>
                <w:lang w:eastAsia="zh-CN"/>
                <w14:textFill>
                  <w14:solidFill>
                    <w14:schemeClr w14:val="tx1"/>
                  </w14:solidFill>
                </w14:textFill>
              </w:rPr>
              <w:t>预处理</w:t>
            </w:r>
            <w:r>
              <w:rPr>
                <w:rFonts w:hint="default" w:ascii="Times New Roman" w:hAnsi="Times New Roman" w:eastAsia="宋体" w:cs="Times New Roman"/>
                <w:color w:val="000000" w:themeColor="text1"/>
                <w:highlight w:val="none"/>
                <w14:textFill>
                  <w14:solidFill>
                    <w14:schemeClr w14:val="tx1"/>
                  </w14:solidFill>
                </w14:textFill>
              </w:rPr>
              <w:t>设计处理能力</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sz w:val="24"/>
                <w:szCs w:val="24"/>
                <w:highlight w:val="none"/>
                <w:lang w:val="en-US" w:eastAsia="zh-CN"/>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h</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Cs w:val="32"/>
                <w:highlight w:val="none"/>
                <w14:textFill>
                  <w14:solidFill>
                    <w14:schemeClr w14:val="tx1"/>
                  </w14:solidFill>
                </w14:textFill>
              </w:rPr>
              <w:t>处理工艺为“</w:t>
            </w:r>
            <w:r>
              <w:rPr>
                <w:rFonts w:hint="eastAsia" w:cs="Times New Roman"/>
                <w:bCs/>
                <w:color w:val="000000" w:themeColor="text1"/>
                <w:szCs w:val="32"/>
                <w:highlight w:val="none"/>
                <w:lang w:eastAsia="zh-CN"/>
                <w14:textFill>
                  <w14:solidFill>
                    <w14:schemeClr w14:val="tx1"/>
                  </w14:solidFill>
                </w14:textFill>
              </w:rPr>
              <w:t>调节、混凝、沉淀、过滤、消毒</w:t>
            </w:r>
            <w:r>
              <w:rPr>
                <w:rFonts w:hint="default" w:ascii="Times New Roman" w:hAnsi="Times New Roman" w:eastAsia="宋体" w:cs="Times New Roman"/>
                <w:bCs/>
                <w:color w:val="000000" w:themeColor="text1"/>
                <w:szCs w:val="32"/>
                <w:highlight w:val="none"/>
                <w14:textFill>
                  <w14:solidFill>
                    <w14:schemeClr w14:val="tx1"/>
                  </w14:solidFill>
                </w14:textFill>
              </w:rPr>
              <w:t>处理”，处理后水质能够达到《煤矿井下消防、洒水设计规范》</w:t>
            </w:r>
            <w:r>
              <w:rPr>
                <w:rFonts w:hint="eastAsia" w:cs="Times New Roman"/>
                <w:bCs/>
                <w:color w:val="000000" w:themeColor="text1"/>
                <w:szCs w:val="32"/>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32"/>
                <w:highlight w:val="none"/>
                <w14:textFill>
                  <w14:solidFill>
                    <w14:schemeClr w14:val="tx1"/>
                  </w14:solidFill>
                </w14:textFill>
              </w:rPr>
              <w:t>GB50383-2006</w:t>
            </w:r>
            <w:r>
              <w:rPr>
                <w:rFonts w:hint="eastAsia" w:cs="Times New Roman"/>
                <w:bCs/>
                <w:color w:val="000000" w:themeColor="text1"/>
                <w:szCs w:val="32"/>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32"/>
                <w:highlight w:val="none"/>
                <w14:textFill>
                  <w14:solidFill>
                    <w14:schemeClr w14:val="tx1"/>
                  </w14:solidFill>
                </w14:textFill>
              </w:rPr>
              <w:t>中附录B井下消防、洒水水质标准，</w:t>
            </w:r>
            <w:r>
              <w:rPr>
                <w:rFonts w:hint="default" w:ascii="Times New Roman" w:hAnsi="Times New Roman" w:eastAsia="宋体" w:cs="Times New Roman"/>
                <w:bCs/>
                <w:color w:val="000000" w:themeColor="text1"/>
                <w:szCs w:val="32"/>
                <w:highlight w:val="none"/>
                <w:lang w:eastAsia="zh-CN"/>
                <w14:textFill>
                  <w14:solidFill>
                    <w14:schemeClr w14:val="tx1"/>
                  </w14:solidFill>
                </w14:textFill>
              </w:rPr>
              <w:t>回用于井下降尘洒水使用</w:t>
            </w:r>
            <w:r>
              <w:rPr>
                <w:rFonts w:hint="default" w:ascii="Times New Roman" w:hAnsi="Times New Roman" w:eastAsia="宋体" w:cs="Times New Roman"/>
                <w:bCs/>
                <w:color w:val="000000" w:themeColor="text1"/>
                <w:szCs w:val="32"/>
                <w:highlight w:val="none"/>
                <w14:textFill>
                  <w14:solidFill>
                    <w14:schemeClr w14:val="tx1"/>
                  </w14:solidFill>
                </w14:textFill>
              </w:rPr>
              <w:t>，不外排。</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表1-2    现有矿井水处理站主要设备及构建筑物一览表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266"/>
              <w:gridCol w:w="2805"/>
              <w:gridCol w:w="2368"/>
              <w:gridCol w:w="1076"/>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2" w:hRule="atLeast"/>
                <w:jc w:val="center"/>
              </w:trPr>
              <w:tc>
                <w:tcPr>
                  <w:tcW w:w="1236" w:type="dxa"/>
                  <w:tcBorders>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序号</w:t>
                  </w:r>
                </w:p>
              </w:tc>
              <w:tc>
                <w:tcPr>
                  <w:tcW w:w="2738" w:type="dxa"/>
                  <w:tcBorders>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设备名称</w:t>
                  </w:r>
                </w:p>
              </w:tc>
              <w:tc>
                <w:tcPr>
                  <w:tcW w:w="2312" w:type="dxa"/>
                  <w:tcBorders>
                    <w:left w:val="single" w:color="auto" w:sz="4" w:space="0"/>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规格型号</w:t>
                  </w:r>
                </w:p>
              </w:tc>
              <w:tc>
                <w:tcPr>
                  <w:tcW w:w="1050" w:type="dxa"/>
                  <w:tcBorders>
                    <w:left w:val="single" w:color="auto" w:sz="4" w:space="0"/>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数量</w:t>
                  </w:r>
                </w:p>
              </w:tc>
              <w:tc>
                <w:tcPr>
                  <w:tcW w:w="1484" w:type="dxa"/>
                  <w:tcBorders>
                    <w:lef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73"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预沉调节池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150m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99"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一级提升泵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50WQ24-20-4</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反洗提升泵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50WQ27-15-2.2</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污泥提升泵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3m</w:t>
                  </w:r>
                  <w:r>
                    <w:rPr>
                      <w:rFonts w:hint="eastAsia" w:cs="Times New Roman"/>
                      <w:sz w:val="21"/>
                      <w:szCs w:val="21"/>
                      <w:highlight w:val="none"/>
                      <w:vertAlign w:val="superscript"/>
                      <w:lang w:val="en-US" w:eastAsia="zh-CN"/>
                    </w:rPr>
                    <w:t>3</w:t>
                  </w:r>
                  <w:r>
                    <w:rPr>
                      <w:rFonts w:hint="eastAsia" w:cs="Times New Roman"/>
                      <w:sz w:val="21"/>
                      <w:szCs w:val="21"/>
                      <w:highlight w:val="none"/>
                      <w:lang w:val="en-US" w:eastAsia="zh-CN"/>
                    </w:rPr>
                    <w:t>/h</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旋流变速混合器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旋流澄清净水装置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MXC-20</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混凝剂加药装置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YJB-PAC</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助凝剂加药装置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YJB-PAM</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机械过滤器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ZSL-1400</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3套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二氧化氯发生器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eastAsia="zh-CN"/>
                    </w:rPr>
                    <w:t>有效氯产量</w:t>
                  </w:r>
                  <w:r>
                    <w:rPr>
                      <w:rFonts w:hint="eastAsia" w:cs="Times New Roman"/>
                      <w:sz w:val="21"/>
                      <w:szCs w:val="21"/>
                      <w:highlight w:val="none"/>
                      <w:lang w:val="en-US" w:eastAsia="zh-CN"/>
                    </w:rPr>
                    <w:t>100g/h</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11</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eastAsia="zh-CN"/>
                    </w:rPr>
                    <w:t>消毒水池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val="en-US" w:eastAsia="zh-CN"/>
                    </w:rPr>
                    <w:t>100m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12</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eastAsia="zh-CN"/>
                    </w:rPr>
                    <w:t>污泥池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13</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箱式压滤机</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2</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XD-200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14</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空压机</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V0.6</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15</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电缆及附件</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16</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管道及附件</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若干</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防腐</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若干</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bl>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改、扩建</w:t>
            </w:r>
            <w:r>
              <w:rPr>
                <w:rFonts w:hint="default" w:ascii="Times New Roman" w:hAnsi="Times New Roman" w:eastAsia="宋体" w:cs="Times New Roman"/>
                <w:color w:val="000000" w:themeColor="text1"/>
                <w:highlight w:val="none"/>
                <w14:textFill>
                  <w14:solidFill>
                    <w14:schemeClr w14:val="tx1"/>
                  </w14:solidFill>
                </w14:textFill>
              </w:rPr>
              <w:t>项目概况</w:t>
            </w:r>
          </w:p>
          <w:p>
            <w:pPr>
              <w:spacing w:line="480" w:lineRule="exact"/>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3.1项目名称</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山西朔州平鲁区兰花永胜煤业有限公司矿井水处理站提标改造项目</w:t>
            </w:r>
          </w:p>
          <w:p>
            <w:pPr>
              <w:spacing w:line="480" w:lineRule="exact"/>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3.2建设单位</w:t>
            </w:r>
          </w:p>
          <w:p>
            <w:pPr>
              <w:spacing w:line="480" w:lineRule="exact"/>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p>
          <w:p>
            <w:pPr>
              <w:spacing w:line="480" w:lineRule="exact"/>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3.3建设性质</w:t>
            </w:r>
          </w:p>
          <w:p>
            <w:pPr>
              <w:spacing w:line="480" w:lineRule="exact"/>
              <w:ind w:firstLine="480"/>
              <w:rPr>
                <w:rFonts w:hint="eastAsia" w:ascii="Times New Roman" w:hAnsi="Times New Roman" w:eastAsia="宋体" w:cs="Times New Roman"/>
                <w:bCs/>
                <w:color w:val="000000" w:themeColor="text1"/>
                <w:highlight w:val="none"/>
                <w:lang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改、扩建</w:t>
            </w:r>
          </w:p>
          <w:p>
            <w:pPr>
              <w:spacing w:line="480" w:lineRule="exact"/>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3.4建设地点</w:t>
            </w:r>
          </w:p>
          <w:p>
            <w:pPr>
              <w:spacing w:line="480" w:lineRule="exact"/>
              <w:ind w:firstLine="480"/>
              <w:rPr>
                <w:rFonts w:hint="default" w:ascii="Times New Roman" w:hAnsi="Times New Roman" w:eastAsia="宋体" w:cs="Times New Roman"/>
                <w:bCs/>
                <w:color w:val="000000" w:themeColor="text1"/>
                <w:highlight w:val="red"/>
                <w14:textFill>
                  <w14:solidFill>
                    <w14:schemeClr w14:val="tx1"/>
                  </w14:solidFill>
                </w14:textFill>
              </w:rPr>
            </w:pPr>
            <w:bookmarkStart w:id="1" w:name="_Hlk21537311"/>
            <w:r>
              <w:rPr>
                <w:rFonts w:hint="default" w:ascii="Times New Roman" w:hAnsi="Times New Roman" w:eastAsia="宋体" w:cs="Times New Roman"/>
                <w:color w:val="000000" w:themeColor="text1"/>
                <w:highlight w:val="none"/>
                <w:lang w:eastAsia="zh-CN"/>
                <w14:textFill>
                  <w14:solidFill>
                    <w14:schemeClr w14:val="tx1"/>
                  </w14:solidFill>
                </w14:textFill>
              </w:rPr>
              <w:t>矿井水处理站</w:t>
            </w:r>
            <w:r>
              <w:rPr>
                <w:rFonts w:hint="default" w:ascii="Times New Roman" w:hAnsi="Times New Roman" w:eastAsia="宋体" w:cs="Times New Roman"/>
                <w:color w:val="000000" w:themeColor="text1"/>
                <w:highlight w:val="none"/>
                <w14:textFill>
                  <w14:solidFill>
                    <w14:schemeClr w14:val="tx1"/>
                  </w14:solidFill>
                </w14:textFill>
              </w:rPr>
              <w:t>，</w:t>
            </w:r>
            <w:bookmarkEnd w:id="1"/>
            <w:r>
              <w:rPr>
                <w:rFonts w:hint="default" w:ascii="Times New Roman" w:hAnsi="Times New Roman" w:eastAsia="宋体" w:cs="Times New Roman"/>
                <w:color w:val="000000" w:themeColor="text1"/>
                <w:highlight w:val="none"/>
                <w14:textFill>
                  <w14:solidFill>
                    <w14:schemeClr w14:val="tx1"/>
                  </w14:solidFill>
                </w14:textFill>
              </w:rPr>
              <w:t>中心坐标E112.439389156°，N39.605624700°。</w:t>
            </w:r>
          </w:p>
          <w:p>
            <w:pPr>
              <w:spacing w:line="480" w:lineRule="exact"/>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3.5建设规模</w:t>
            </w:r>
          </w:p>
          <w:p>
            <w:pPr>
              <w:spacing w:line="480" w:lineRule="exact"/>
              <w:ind w:firstLine="48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建设单位</w:t>
            </w:r>
            <w:r>
              <w:rPr>
                <w:rFonts w:hint="default" w:ascii="Times New Roman" w:hAnsi="Times New Roman" w:eastAsia="宋体" w:cs="Times New Roman"/>
                <w:bCs/>
                <w:color w:val="000000" w:themeColor="text1"/>
                <w:highlight w:val="none"/>
                <w:lang w:eastAsia="zh-CN"/>
                <w14:textFill>
                  <w14:solidFill>
                    <w14:schemeClr w14:val="tx1"/>
                  </w14:solidFill>
                </w14:textFill>
              </w:rPr>
              <w:t>拟</w:t>
            </w:r>
            <w:r>
              <w:rPr>
                <w:rFonts w:hint="eastAsia" w:cs="Times New Roman"/>
                <w:bCs/>
                <w:color w:val="000000" w:themeColor="text1"/>
                <w:highlight w:val="none"/>
                <w:lang w:eastAsia="zh-CN"/>
                <w14:textFill>
                  <w14:solidFill>
                    <w14:schemeClr w14:val="tx1"/>
                  </w14:solidFill>
                </w14:textFill>
              </w:rPr>
              <w:t>新增一座</w:t>
            </w:r>
            <w:r>
              <w:rPr>
                <w:rFonts w:hint="eastAsia" w:cs="Times New Roman"/>
                <w:bCs/>
                <w:color w:val="000000" w:themeColor="text1"/>
                <w:highlight w:val="none"/>
                <w:lang w:val="en-US" w:eastAsia="zh-CN"/>
                <w14:textFill>
                  <w14:solidFill>
                    <w14:schemeClr w14:val="tx1"/>
                  </w14:solidFill>
                </w14:textFill>
              </w:rPr>
              <w:t>230</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highlight w:val="none"/>
                <w:lang w:eastAsia="zh-CN"/>
                <w14:textFill>
                  <w14:solidFill>
                    <w14:schemeClr w14:val="tx1"/>
                  </w14:solidFill>
                </w14:textFill>
              </w:rPr>
              <w:t>的调节池，并</w:t>
            </w:r>
            <w:r>
              <w:rPr>
                <w:rFonts w:hint="eastAsia" w:cs="Times New Roman"/>
                <w:bCs/>
                <w:color w:val="000000" w:themeColor="text1"/>
                <w:highlight w:val="none"/>
                <w:lang w:eastAsia="zh-CN"/>
                <w14:textFill>
                  <w14:solidFill>
                    <w14:schemeClr w14:val="tx1"/>
                  </w14:solidFill>
                </w14:textFill>
              </w:rPr>
              <w:t>将现有的预处理能力提升至</w:t>
            </w:r>
            <w:r>
              <w:rPr>
                <w:rFonts w:hint="eastAsia" w:cs="Times New Roman"/>
                <w:bCs/>
                <w:color w:val="000000" w:themeColor="text1"/>
                <w:highlight w:val="none"/>
                <w:lang w:val="en-US" w:eastAsia="zh-CN"/>
                <w14:textFill>
                  <w14:solidFill>
                    <w14:schemeClr w14:val="tx1"/>
                  </w14:solidFill>
                </w14:textFill>
              </w:rPr>
              <w:t>40m</w:t>
            </w:r>
            <w:r>
              <w:rPr>
                <w:rFonts w:hint="eastAsia" w:cs="Times New Roman"/>
                <w:bCs/>
                <w:color w:val="000000" w:themeColor="text1"/>
                <w:highlight w:val="none"/>
                <w:vertAlign w:val="superscript"/>
                <w:lang w:val="en-US" w:eastAsia="zh-CN"/>
                <w14:textFill>
                  <w14:solidFill>
                    <w14:schemeClr w14:val="tx1"/>
                  </w14:solidFill>
                </w14:textFill>
              </w:rPr>
              <w:t>3</w:t>
            </w:r>
            <w:r>
              <w:rPr>
                <w:rFonts w:hint="eastAsia" w:cs="Times New Roman"/>
                <w:bCs/>
                <w:color w:val="000000" w:themeColor="text1"/>
                <w:highlight w:val="none"/>
                <w:lang w:val="en-US" w:eastAsia="zh-CN"/>
                <w14:textFill>
                  <w14:solidFill>
                    <w14:schemeClr w14:val="tx1"/>
                  </w14:solidFill>
                </w14:textFill>
              </w:rPr>
              <w:t>/h</w:t>
            </w:r>
            <w:r>
              <w:rPr>
                <w:rFonts w:hint="default" w:ascii="Times New Roman" w:hAnsi="Times New Roman" w:eastAsia="宋体"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新增两套</w:t>
            </w:r>
            <w:r>
              <w:rPr>
                <w:rFonts w:hint="default" w:ascii="Times New Roman" w:hAnsi="Times New Roman" w:eastAsia="宋体" w:cs="Times New Roman"/>
                <w:bCs/>
                <w:color w:val="000000" w:themeColor="text1"/>
                <w:highlight w:val="none"/>
                <w:lang w:eastAsia="zh-CN"/>
                <w14:textFill>
                  <w14:solidFill>
                    <w14:schemeClr w14:val="tx1"/>
                  </w14:solidFill>
                </w14:textFill>
              </w:rPr>
              <w:t>矿井水深度处理</w:t>
            </w:r>
            <w:r>
              <w:rPr>
                <w:rFonts w:hint="eastAsia" w:cs="Times New Roman"/>
                <w:bCs/>
                <w:color w:val="000000" w:themeColor="text1"/>
                <w:highlight w:val="none"/>
                <w:lang w:eastAsia="zh-CN"/>
                <w14:textFill>
                  <w14:solidFill>
                    <w14:schemeClr w14:val="tx1"/>
                  </w14:solidFill>
                </w14:textFill>
              </w:rPr>
              <w:t>设备，采用超滤的深度处理工艺，其中一套处理能力为</w:t>
            </w:r>
            <w:r>
              <w:rPr>
                <w:rFonts w:hint="eastAsia"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另外一套处理能力为</w:t>
            </w:r>
            <w:r>
              <w:rPr>
                <w:rFonts w:hint="eastAsia" w:cs="Times New Roman"/>
                <w:bCs/>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本项目完成后，矿井水处理站的</w:t>
            </w:r>
            <w:r>
              <w:rPr>
                <w:rFonts w:hint="default" w:ascii="Times New Roman" w:hAnsi="Times New Roman" w:eastAsia="宋体" w:cs="Times New Roman"/>
                <w:bCs/>
                <w:color w:val="000000" w:themeColor="text1"/>
                <w:highlight w:val="none"/>
                <w:lang w:eastAsia="zh-CN"/>
                <w14:textFill>
                  <w14:solidFill>
                    <w14:schemeClr w14:val="tx1"/>
                  </w14:solidFill>
                </w14:textFill>
              </w:rPr>
              <w:t>处理工艺</w:t>
            </w:r>
            <w:r>
              <w:rPr>
                <w:rFonts w:hint="eastAsia" w:cs="Times New Roman"/>
                <w:bCs/>
                <w:color w:val="000000" w:themeColor="text1"/>
                <w:highlight w:val="none"/>
                <w:lang w:eastAsia="zh-CN"/>
                <w14:textFill>
                  <w14:solidFill>
                    <w14:schemeClr w14:val="tx1"/>
                  </w14:solidFill>
                </w14:textFill>
              </w:rPr>
              <w:t>变</w:t>
            </w:r>
            <w:r>
              <w:rPr>
                <w:rFonts w:hint="default" w:ascii="Times New Roman" w:hAnsi="Times New Roman" w:eastAsia="宋体" w:cs="Times New Roman"/>
                <w:bCs/>
                <w:color w:val="000000" w:themeColor="text1"/>
                <w:highlight w:val="none"/>
                <w14:textFill>
                  <w14:solidFill>
                    <w14:schemeClr w14:val="tx1"/>
                  </w14:solidFill>
                </w14:textFill>
              </w:rPr>
              <w:t>为“</w:t>
            </w:r>
            <w:r>
              <w:rPr>
                <w:rFonts w:hint="eastAsia" w:cs="Times New Roman"/>
                <w:color w:val="000000" w:themeColor="text1"/>
                <w:highlight w:val="none"/>
                <w:lang w:eastAsia="zh-CN"/>
                <w14:textFill>
                  <w14:solidFill>
                    <w14:schemeClr w14:val="tx1"/>
                  </w14:solidFill>
                </w14:textFill>
              </w:rPr>
              <w:t>调节、混凝、沉淀、过滤、超滤、消毒</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新建排水明渠</w:t>
            </w:r>
            <w:r>
              <w:rPr>
                <w:rFonts w:hint="eastAsia" w:cs="Times New Roman"/>
                <w:bCs/>
                <w:color w:val="000000" w:themeColor="text1"/>
                <w:highlight w:val="none"/>
                <w:lang w:val="en-US" w:eastAsia="zh-CN"/>
                <w14:textFill>
                  <w14:solidFill>
                    <w14:schemeClr w14:val="tx1"/>
                  </w14:solidFill>
                </w14:textFill>
              </w:rPr>
              <w:t>1km。</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3.6主要建设内容</w:t>
            </w:r>
          </w:p>
          <w:p>
            <w:pPr>
              <w:pStyle w:val="8"/>
              <w:spacing w:line="480" w:lineRule="exact"/>
              <w:ind w:firstLine="480"/>
              <w:rPr>
                <w:rFonts w:hint="default" w:ascii="Times New Roman" w:hAnsi="Times New Roman" w:eastAsia="宋体" w:cs="Times New Roman"/>
                <w:color w:val="000000" w:themeColor="text1"/>
                <w:sz w:val="24"/>
                <w:highlight w:val="none"/>
                <w14:textFill>
                  <w14:solidFill>
                    <w14:schemeClr w14:val="tx1"/>
                  </w14:solidFill>
                </w14:textFill>
              </w:rPr>
            </w:pPr>
            <w:bookmarkStart w:id="2" w:name="_Hlk21537121"/>
            <w:r>
              <w:rPr>
                <w:rFonts w:hint="default" w:ascii="Times New Roman" w:hAnsi="Times New Roman" w:eastAsia="宋体" w:cs="Times New Roman"/>
                <w:bCs/>
                <w:color w:val="000000" w:themeColor="text1"/>
                <w:sz w:val="24"/>
                <w:szCs w:val="32"/>
                <w:highlight w:val="none"/>
                <w14:textFill>
                  <w14:solidFill>
                    <w14:schemeClr w14:val="tx1"/>
                  </w14:solidFill>
                </w14:textFill>
              </w:rPr>
              <w:t>本</w:t>
            </w:r>
            <w:r>
              <w:rPr>
                <w:rFonts w:hint="eastAsia" w:cs="Times New Roman"/>
                <w:bCs/>
                <w:color w:val="000000" w:themeColor="text1"/>
                <w:sz w:val="24"/>
                <w:szCs w:val="32"/>
                <w:highlight w:val="none"/>
                <w:lang w:eastAsia="zh-CN"/>
                <w14:textFill>
                  <w14:solidFill>
                    <w14:schemeClr w14:val="tx1"/>
                  </w14:solidFill>
                </w14:textFill>
              </w:rPr>
              <w:t>项目</w:t>
            </w:r>
            <w:r>
              <w:rPr>
                <w:rFonts w:hint="default" w:ascii="Times New Roman" w:hAnsi="Times New Roman" w:eastAsia="宋体" w:cs="Times New Roman"/>
                <w:bCs/>
                <w:color w:val="000000" w:themeColor="text1"/>
                <w:sz w:val="24"/>
                <w:szCs w:val="32"/>
                <w:highlight w:val="none"/>
                <w:lang w:eastAsia="zh-CN"/>
                <w14:textFill>
                  <w14:solidFill>
                    <w14:schemeClr w14:val="tx1"/>
                  </w14:solidFill>
                </w14:textFill>
              </w:rPr>
              <w:t>除外排明渠</w:t>
            </w:r>
            <w:r>
              <w:rPr>
                <w:rFonts w:hint="eastAsia" w:ascii="Times New Roman" w:hAnsi="Times New Roman" w:eastAsia="宋体" w:cs="Times New Roman"/>
                <w:bCs/>
                <w:color w:val="000000" w:themeColor="text1"/>
                <w:sz w:val="24"/>
                <w:szCs w:val="32"/>
                <w:highlight w:val="none"/>
                <w:lang w:eastAsia="zh-CN"/>
                <w14:textFill>
                  <w14:solidFill>
                    <w14:schemeClr w14:val="tx1"/>
                  </w14:solidFill>
                </w14:textFill>
              </w:rPr>
              <w:t>、</w:t>
            </w:r>
            <w:r>
              <w:rPr>
                <w:rFonts w:hint="eastAsia" w:cs="Times New Roman"/>
                <w:bCs/>
                <w:color w:val="000000" w:themeColor="text1"/>
                <w:sz w:val="24"/>
                <w:szCs w:val="32"/>
                <w:highlight w:val="none"/>
                <w:lang w:eastAsia="zh-CN"/>
                <w14:textFill>
                  <w14:solidFill>
                    <w14:schemeClr w14:val="tx1"/>
                  </w14:solidFill>
                </w14:textFill>
              </w:rPr>
              <w:t>调节</w:t>
            </w:r>
            <w:r>
              <w:rPr>
                <w:rFonts w:hint="eastAsia" w:ascii="Times New Roman" w:hAnsi="Times New Roman" w:eastAsia="宋体" w:cs="Times New Roman"/>
                <w:bCs/>
                <w:color w:val="000000" w:themeColor="text1"/>
                <w:sz w:val="24"/>
                <w:szCs w:val="32"/>
                <w:highlight w:val="none"/>
                <w:lang w:eastAsia="zh-CN"/>
                <w14:textFill>
                  <w14:solidFill>
                    <w14:schemeClr w14:val="tx1"/>
                  </w14:solidFill>
                </w14:textFill>
              </w:rPr>
              <w:t>池</w:t>
            </w:r>
            <w:r>
              <w:rPr>
                <w:rFonts w:hint="default" w:ascii="Times New Roman" w:hAnsi="Times New Roman" w:eastAsia="宋体" w:cs="Times New Roman"/>
                <w:bCs/>
                <w:color w:val="000000" w:themeColor="text1"/>
                <w:sz w:val="24"/>
                <w:szCs w:val="32"/>
                <w:highlight w:val="none"/>
                <w:lang w:eastAsia="zh-CN"/>
                <w14:textFill>
                  <w14:solidFill>
                    <w14:schemeClr w14:val="tx1"/>
                  </w14:solidFill>
                </w14:textFill>
              </w:rPr>
              <w:t>的建设外，仅涉及处理设备的增减、改造</w:t>
            </w:r>
            <w:r>
              <w:rPr>
                <w:rFonts w:hint="default" w:ascii="Times New Roman" w:hAnsi="Times New Roman" w:eastAsia="宋体" w:cs="Times New Roman"/>
                <w:bCs/>
                <w:color w:val="000000" w:themeColor="text1"/>
                <w:sz w:val="24"/>
                <w:szCs w:val="32"/>
                <w:highlight w:val="none"/>
                <w14:textFill>
                  <w14:solidFill>
                    <w14:schemeClr w14:val="tx1"/>
                  </w14:solidFill>
                </w14:textFill>
              </w:rPr>
              <w:t>，外排水COD、氨氮、总磷可达到《地表水环境质量标准》（GB 3838—2002）中Ⅲ类水水质标准。</w:t>
            </w:r>
          </w:p>
          <w:bookmarkEnd w:id="2"/>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表1-3  主要建设内容表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20"/>
              <w:gridCol w:w="1960"/>
              <w:gridCol w:w="2110"/>
              <w:gridCol w:w="2473"/>
              <w:gridCol w:w="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shd w:val="clear" w:color="auto" w:fill="auto"/>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类别</w:t>
                  </w: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工程内容</w:t>
                  </w:r>
                </w:p>
              </w:tc>
              <w:tc>
                <w:tcPr>
                  <w:tcW w:w="1084" w:type="pct"/>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t>现有</w:t>
                  </w: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建设</w:t>
                  </w:r>
                  <w: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t>内容</w:t>
                  </w:r>
                </w:p>
              </w:tc>
              <w:tc>
                <w:tcPr>
                  <w:tcW w:w="1167" w:type="pct"/>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t>此次提标改造内容</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lang w:eastAsia="zh-CN"/>
                      <w14:textFill>
                        <w14:solidFill>
                          <w14:schemeClr w14:val="tx1"/>
                        </w14:solidFill>
                      </w14:textFill>
                    </w:rPr>
                    <w:t>提标改造后建设内容</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06" w:type="pct"/>
                  <w:vMerge w:val="restar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主体工程</w:t>
                  </w: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排水</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明渠</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矿井水排水</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明渠</w:t>
                  </w: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1k</w:t>
                  </w:r>
                  <w:r>
                    <w:rPr>
                      <w:rFonts w:hint="default" w:ascii="Times New Roman" w:hAnsi="Times New Roman" w:eastAsia="宋体" w:cs="Times New Roman"/>
                      <w:bCs/>
                      <w:color w:val="000000" w:themeColor="text1"/>
                      <w:kern w:val="0"/>
                      <w:sz w:val="21"/>
                      <w:highlight w:val="none"/>
                      <w14:textFill>
                        <w14:solidFill>
                          <w14:schemeClr w14:val="tx1"/>
                        </w14:solidFill>
                      </w14:textFill>
                    </w:rPr>
                    <w:t>m</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矿井水排水</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明渠</w:t>
                  </w: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1k</w:t>
                  </w:r>
                  <w:r>
                    <w:rPr>
                      <w:rFonts w:hint="default" w:ascii="Times New Roman" w:hAnsi="Times New Roman" w:eastAsia="宋体" w:cs="Times New Roman"/>
                      <w:bCs/>
                      <w:color w:val="000000" w:themeColor="text1"/>
                      <w:kern w:val="0"/>
                      <w:sz w:val="21"/>
                      <w:highlight w:val="none"/>
                      <w14:textFill>
                        <w14:solidFill>
                          <w14:schemeClr w14:val="tx1"/>
                        </w14:solidFill>
                      </w14:textFill>
                    </w:rPr>
                    <w:t>m</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p>
              </w:tc>
              <w:tc>
                <w:tcPr>
                  <w:tcW w:w="73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预沉调节池</w:t>
                  </w:r>
                </w:p>
              </w:tc>
              <w:tc>
                <w:tcPr>
                  <w:tcW w:w="10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150m</w:t>
                  </w:r>
                  <w:r>
                    <w:rPr>
                      <w:rFonts w:hint="eastAsia" w:cs="Times New Roman"/>
                      <w:sz w:val="21"/>
                      <w:szCs w:val="21"/>
                      <w:highlight w:val="none"/>
                      <w:vertAlign w:val="superscript"/>
                      <w:lang w:val="en-US" w:eastAsia="zh-CN"/>
                    </w:rPr>
                    <w:t>3</w:t>
                  </w:r>
                </w:p>
              </w:tc>
              <w:tc>
                <w:tcPr>
                  <w:tcW w:w="1167" w:type="pct"/>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eastAsia" w:cs="Times New Roman"/>
                      <w:sz w:val="21"/>
                      <w:szCs w:val="21"/>
                      <w:highlight w:val="none"/>
                      <w:lang w:val="en-US" w:eastAsia="zh-CN"/>
                    </w:rPr>
                    <w:t>230m</w:t>
                  </w:r>
                  <w:r>
                    <w:rPr>
                      <w:rFonts w:hint="eastAsia" w:cs="Times New Roman"/>
                      <w:sz w:val="21"/>
                      <w:szCs w:val="21"/>
                      <w:highlight w:val="none"/>
                      <w:vertAlign w:val="superscript"/>
                      <w:lang w:val="en-US" w:eastAsia="zh-CN"/>
                    </w:rPr>
                    <w:t>3</w:t>
                  </w:r>
                  <w:r>
                    <w:rPr>
                      <w:rFonts w:hint="eastAsia" w:cs="Times New Roman"/>
                      <w:sz w:val="21"/>
                      <w:szCs w:val="21"/>
                      <w:highlight w:val="none"/>
                      <w:vertAlign w:val="baseline"/>
                      <w:lang w:val="en-US" w:eastAsia="zh-CN"/>
                    </w:rPr>
                    <w:t>（新增一座）</w:t>
                  </w:r>
                </w:p>
              </w:tc>
              <w:tc>
                <w:tcPr>
                  <w:tcW w:w="1368" w:type="pct"/>
                  <w:shd w:val="clear" w:color="auto" w:fill="auto"/>
                  <w:vAlign w:val="center"/>
                </w:tcPr>
                <w:p>
                  <w:pPr>
                    <w:spacing w:line="320" w:lineRule="exact"/>
                    <w:ind w:firstLine="0" w:firstLineChars="0"/>
                    <w:jc w:val="center"/>
                    <w:rPr>
                      <w:rFonts w:hint="eastAsia" w:cs="Times New Roman"/>
                      <w:sz w:val="21"/>
                      <w:szCs w:val="21"/>
                      <w:highlight w:val="none"/>
                      <w:lang w:val="en-US" w:eastAsia="zh-CN"/>
                    </w:rPr>
                  </w:pPr>
                  <w:r>
                    <w:rPr>
                      <w:rFonts w:hint="eastAsia" w:cs="Times New Roman"/>
                      <w:sz w:val="21"/>
                      <w:szCs w:val="21"/>
                      <w:highlight w:val="none"/>
                      <w:lang w:val="en-US" w:eastAsia="zh-CN"/>
                    </w:rPr>
                    <w:t>380m</w:t>
                  </w:r>
                  <w:r>
                    <w:rPr>
                      <w:rFonts w:hint="eastAsia" w:cs="Times New Roman"/>
                      <w:sz w:val="21"/>
                      <w:szCs w:val="21"/>
                      <w:highlight w:val="none"/>
                      <w:vertAlign w:val="superscript"/>
                      <w:lang w:val="en-US" w:eastAsia="zh-CN"/>
                    </w:rPr>
                    <w:t>3</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p>
              </w:tc>
              <w:tc>
                <w:tcPr>
                  <w:tcW w:w="73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消毒水池</w:t>
                  </w:r>
                </w:p>
              </w:tc>
              <w:tc>
                <w:tcPr>
                  <w:tcW w:w="10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100m</w:t>
                  </w:r>
                  <w:r>
                    <w:rPr>
                      <w:rFonts w:hint="eastAsia" w:cs="Times New Roman"/>
                      <w:sz w:val="21"/>
                      <w:szCs w:val="21"/>
                      <w:highlight w:val="none"/>
                      <w:vertAlign w:val="superscript"/>
                      <w:lang w:val="en-US" w:eastAsia="zh-CN"/>
                    </w:rPr>
                    <w:t>3</w:t>
                  </w:r>
                </w:p>
              </w:tc>
              <w:tc>
                <w:tcPr>
                  <w:tcW w:w="1167" w:type="pct"/>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100m</w:t>
                  </w:r>
                  <w:r>
                    <w:rPr>
                      <w:rFonts w:hint="eastAsia" w:cs="Times New Roman"/>
                      <w:sz w:val="21"/>
                      <w:szCs w:val="21"/>
                      <w:highlight w:val="none"/>
                      <w:vertAlign w:val="superscript"/>
                      <w:lang w:val="en-US" w:eastAsia="zh-CN"/>
                    </w:rPr>
                    <w:t>3</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p>
              </w:tc>
              <w:tc>
                <w:tcPr>
                  <w:tcW w:w="73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污泥池</w:t>
                  </w:r>
                </w:p>
              </w:tc>
              <w:tc>
                <w:tcPr>
                  <w:tcW w:w="10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3</w:t>
                  </w:r>
                </w:p>
              </w:tc>
              <w:tc>
                <w:tcPr>
                  <w:tcW w:w="1167" w:type="pct"/>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3</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p>
              </w:tc>
              <w:tc>
                <w:tcPr>
                  <w:tcW w:w="73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eastAsia="zh-CN"/>
                    </w:rPr>
                    <w:t>箱式压滤机</w:t>
                  </w:r>
                </w:p>
              </w:tc>
              <w:tc>
                <w:tcPr>
                  <w:tcW w:w="10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液压式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630型，暗流，</w:t>
                  </w:r>
                  <w:r>
                    <w:rPr>
                      <w:rFonts w:hint="eastAsia" w:cs="Times New Roman"/>
                      <w:bCs/>
                      <w:color w:val="000000" w:themeColor="text1"/>
                      <w:kern w:val="0"/>
                      <w:sz w:val="21"/>
                      <w:szCs w:val="21"/>
                      <w:highlight w:val="none"/>
                      <w:lang w:val="en-US" w:eastAsia="zh-CN"/>
                      <w14:textFill>
                        <w14:solidFill>
                          <w14:schemeClr w14:val="tx1"/>
                        </w14:solidFill>
                      </w14:textFill>
                    </w:rPr>
                    <w:t>过滤</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面积40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1167" w:type="pct"/>
                  <w:vAlign w:val="center"/>
                </w:tcPr>
                <w:p>
                  <w:pPr>
                    <w:spacing w:line="320" w:lineRule="exact"/>
                    <w:ind w:firstLine="0" w:firstLineChars="0"/>
                    <w:jc w:val="center"/>
                    <w:rPr>
                      <w:rFonts w:hint="default" w:cs="Times New Roman"/>
                      <w:bCs/>
                      <w:color w:val="000000" w:themeColor="text1"/>
                      <w:kern w:val="0"/>
                      <w:sz w:val="21"/>
                      <w:highlight w:val="none"/>
                      <w:lang w:val="en-US" w:eastAsia="zh-CN"/>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液压式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630型，暗流，</w:t>
                  </w:r>
                  <w:r>
                    <w:rPr>
                      <w:rFonts w:hint="eastAsia" w:cs="Times New Roman"/>
                      <w:bCs/>
                      <w:color w:val="000000" w:themeColor="text1"/>
                      <w:kern w:val="0"/>
                      <w:sz w:val="21"/>
                      <w:szCs w:val="21"/>
                      <w:highlight w:val="none"/>
                      <w:lang w:val="en-US" w:eastAsia="zh-CN"/>
                      <w14:textFill>
                        <w14:solidFill>
                          <w14:schemeClr w14:val="tx1"/>
                        </w14:solidFill>
                      </w14:textFill>
                    </w:rPr>
                    <w:t>过滤</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面积40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p>
              </w:tc>
              <w:tc>
                <w:tcPr>
                  <w:tcW w:w="73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sz w:val="21"/>
                      <w:szCs w:val="21"/>
                      <w:highlight w:val="none"/>
                      <w:lang w:val="en-US" w:eastAsia="zh-CN"/>
                    </w:rPr>
                  </w:pPr>
                  <w:r>
                    <w:rPr>
                      <w:rFonts w:hint="eastAsia" w:cs="Times New Roman"/>
                      <w:sz w:val="21"/>
                      <w:szCs w:val="21"/>
                      <w:highlight w:val="none"/>
                      <w:lang w:val="en-US" w:eastAsia="zh-CN"/>
                    </w:rPr>
                    <w:t>箱式压滤机</w:t>
                  </w:r>
                </w:p>
              </w:tc>
              <w:tc>
                <w:tcPr>
                  <w:tcW w:w="10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XMY30/870-30U，过滤</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面积</w:t>
                  </w:r>
                  <w:r>
                    <w:rPr>
                      <w:rFonts w:hint="eastAsia" w:cs="Times New Roman"/>
                      <w:b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1167" w:type="pct"/>
                  <w:vAlign w:val="center"/>
                </w:tcPr>
                <w:p>
                  <w:pPr>
                    <w:spacing w:line="320" w:lineRule="exact"/>
                    <w:ind w:firstLine="0" w:firstLineChars="0"/>
                    <w:jc w:val="center"/>
                    <w:rPr>
                      <w:rFonts w:hint="default" w:cs="Times New Roman"/>
                      <w:bCs/>
                      <w:color w:val="000000" w:themeColor="text1"/>
                      <w:kern w:val="0"/>
                      <w:sz w:val="21"/>
                      <w:highlight w:val="none"/>
                      <w:lang w:val="en-US" w:eastAsia="zh-CN"/>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XMY30/870-30U，过滤</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面积</w:t>
                  </w:r>
                  <w:r>
                    <w:rPr>
                      <w:rFonts w:hint="eastAsia" w:cs="Times New Roman"/>
                      <w:b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vMerge w:val="restar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辅助工程</w:t>
                  </w: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食宿设施</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单身公寓、办公楼、食堂、浴室</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利用现有生活区设施</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单身公寓、办公楼、食堂、浴室</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维修车间</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机修车间</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一座</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利用现有机修车间</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机修车间</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一座</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06" w:type="pct"/>
                  <w:vMerge w:val="restar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公用工程</w:t>
                  </w: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供电</w:t>
                  </w:r>
                </w:p>
              </w:tc>
              <w:tc>
                <w:tcPr>
                  <w:tcW w:w="108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一座35KV变电站，双回路供电</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一座35KV变电站，双回路供电</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供水</w:t>
                  </w:r>
                </w:p>
              </w:tc>
              <w:tc>
                <w:tcPr>
                  <w:tcW w:w="108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深井水和处理后的矿井水</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深井水和处理后的矿井水</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供暖</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工业场地2台型号为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WNS8-1.25-Y.Q</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的</w:t>
                  </w:r>
                  <w:r>
                    <w:rPr>
                      <w:rFonts w:hint="eastAsia" w:cs="Times New Roman"/>
                      <w:bCs/>
                      <w:color w:val="000000" w:themeColor="text1"/>
                      <w:kern w:val="0"/>
                      <w:sz w:val="21"/>
                      <w:highlight w:val="none"/>
                      <w:lang w:eastAsia="zh-CN"/>
                      <w14:textFill>
                        <w14:solidFill>
                          <w14:schemeClr w14:val="tx1"/>
                        </w14:solidFill>
                      </w14:textFill>
                    </w:rPr>
                    <w:t>燃气</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蒸汽锅炉和1台型号为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WNS2-1.25-Y.Q</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的</w:t>
                  </w:r>
                  <w:r>
                    <w:rPr>
                      <w:rFonts w:hint="eastAsia" w:cs="Times New Roman"/>
                      <w:bCs/>
                      <w:color w:val="000000" w:themeColor="text1"/>
                      <w:kern w:val="0"/>
                      <w:sz w:val="21"/>
                      <w:highlight w:val="none"/>
                      <w:lang w:eastAsia="zh-CN"/>
                      <w14:textFill>
                        <w14:solidFill>
                          <w14:schemeClr w14:val="tx1"/>
                        </w14:solidFill>
                      </w14:textFill>
                    </w:rPr>
                    <w:t>燃气</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蒸汽锅炉供暖，生活区1台型号为HJAT-GDF-1300的电锅炉供暖</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工业场地2台型号为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WNS8-1.25-Y.Q</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的</w:t>
                  </w:r>
                  <w:r>
                    <w:rPr>
                      <w:rFonts w:hint="eastAsia" w:cs="Times New Roman"/>
                      <w:bCs/>
                      <w:color w:val="000000" w:themeColor="text1"/>
                      <w:kern w:val="0"/>
                      <w:sz w:val="21"/>
                      <w:highlight w:val="none"/>
                      <w:lang w:eastAsia="zh-CN"/>
                      <w14:textFill>
                        <w14:solidFill>
                          <w14:schemeClr w14:val="tx1"/>
                        </w14:solidFill>
                      </w14:textFill>
                    </w:rPr>
                    <w:t>燃气</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蒸汽锅炉和1台型号为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WNS2-1.25-Y.Q</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的</w:t>
                  </w:r>
                  <w:r>
                    <w:rPr>
                      <w:rFonts w:hint="eastAsia" w:cs="Times New Roman"/>
                      <w:bCs/>
                      <w:color w:val="000000" w:themeColor="text1"/>
                      <w:kern w:val="0"/>
                      <w:sz w:val="21"/>
                      <w:highlight w:val="none"/>
                      <w:lang w:eastAsia="zh-CN"/>
                      <w14:textFill>
                        <w14:solidFill>
                          <w14:schemeClr w14:val="tx1"/>
                        </w14:solidFill>
                      </w14:textFill>
                    </w:rPr>
                    <w:t>燃气</w:t>
                  </w: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蒸汽锅炉供暖，生活区1台型号为HJAT-GDF-1300的电锅炉供暖</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vMerge w:val="restart"/>
                  <w:shd w:val="clear" w:color="auto" w:fill="auto"/>
                  <w:vAlign w:val="center"/>
                </w:tcPr>
                <w:p>
                  <w:pPr>
                    <w:spacing w:line="320" w:lineRule="exact"/>
                    <w:ind w:firstLine="0" w:firstLineChars="0"/>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环保工程</w:t>
                  </w: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废水</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在污水排放口安装污水在线监测系统，监测COD</w:t>
                  </w:r>
                  <w:r>
                    <w:rPr>
                      <w:rFonts w:hint="eastAsia" w:cs="Times New Roman"/>
                      <w:bCs/>
                      <w:color w:val="000000" w:themeColor="text1"/>
                      <w:kern w:val="0"/>
                      <w:sz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highlight w:val="none"/>
                      <w14:textFill>
                        <w14:solidFill>
                          <w14:schemeClr w14:val="tx1"/>
                        </w14:solidFill>
                      </w14:textFill>
                    </w:rPr>
                    <w:t>氨氮</w:t>
                  </w:r>
                  <w:r>
                    <w:rPr>
                      <w:rFonts w:hint="eastAsia" w:cs="Times New Roman"/>
                      <w:bCs/>
                      <w:color w:val="000000" w:themeColor="text1"/>
                      <w:kern w:val="0"/>
                      <w:sz w:val="21"/>
                      <w:highlight w:val="none"/>
                      <w:lang w:eastAsia="zh-CN"/>
                      <w14:textFill>
                        <w14:solidFill>
                          <w14:schemeClr w14:val="tx1"/>
                        </w14:solidFill>
                      </w14:textFill>
                    </w:rPr>
                    <w:t>、</w:t>
                  </w:r>
                  <w:r>
                    <w:rPr>
                      <w:rFonts w:hint="eastAsia" w:cs="Times New Roman"/>
                      <w:bCs/>
                      <w:color w:val="000000" w:themeColor="text1"/>
                      <w:kern w:val="0"/>
                      <w:sz w:val="21"/>
                      <w:highlight w:val="none"/>
                      <w:lang w:val="en-US" w:eastAsia="zh-CN"/>
                      <w14:textFill>
                        <w14:solidFill>
                          <w14:schemeClr w14:val="tx1"/>
                        </w14:solidFill>
                      </w14:textFill>
                    </w:rPr>
                    <w:t>TP</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在污水排放口安装污水在线监测系统，监测COD</w:t>
                  </w:r>
                  <w:r>
                    <w:rPr>
                      <w:rFonts w:hint="eastAsia" w:cs="Times New Roman"/>
                      <w:bCs/>
                      <w:color w:val="000000" w:themeColor="text1"/>
                      <w:kern w:val="0"/>
                      <w:sz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highlight w:val="none"/>
                      <w14:textFill>
                        <w14:solidFill>
                          <w14:schemeClr w14:val="tx1"/>
                        </w14:solidFill>
                      </w14:textFill>
                    </w:rPr>
                    <w:t>氨氮</w:t>
                  </w:r>
                  <w:r>
                    <w:rPr>
                      <w:rFonts w:hint="eastAsia" w:cs="Times New Roman"/>
                      <w:bCs/>
                      <w:color w:val="000000" w:themeColor="text1"/>
                      <w:kern w:val="0"/>
                      <w:sz w:val="21"/>
                      <w:highlight w:val="none"/>
                      <w:lang w:eastAsia="zh-CN"/>
                      <w14:textFill>
                        <w14:solidFill>
                          <w14:schemeClr w14:val="tx1"/>
                        </w14:solidFill>
                      </w14:textFill>
                    </w:rPr>
                    <w:t>、</w:t>
                  </w:r>
                  <w:r>
                    <w:rPr>
                      <w:rFonts w:hint="eastAsia" w:cs="Times New Roman"/>
                      <w:bCs/>
                      <w:color w:val="000000" w:themeColor="text1"/>
                      <w:kern w:val="0"/>
                      <w:sz w:val="21"/>
                      <w:highlight w:val="none"/>
                      <w:lang w:val="en-US" w:eastAsia="zh-CN"/>
                      <w14:textFill>
                        <w14:solidFill>
                          <w14:schemeClr w14:val="tx1"/>
                        </w14:solidFill>
                      </w14:textFill>
                    </w:rPr>
                    <w:t>TP</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red"/>
                      <w14:textFill>
                        <w14:solidFill>
                          <w14:schemeClr w14:val="tx1"/>
                        </w14:solidFill>
                      </w14:textFill>
                    </w:rPr>
                  </w:pP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噪声</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选择低噪声设备，并采取消声、隔声、减振等措施</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选择低噪声设备，并采取消声、隔声、减振等措施</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6"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red"/>
                      <w14:textFill>
                        <w14:solidFill>
                          <w14:schemeClr w14:val="tx1"/>
                        </w14:solidFill>
                      </w14:textFill>
                    </w:rPr>
                  </w:pPr>
                </w:p>
              </w:tc>
              <w:tc>
                <w:tcPr>
                  <w:tcW w:w="730"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固废</w:t>
                  </w:r>
                </w:p>
              </w:tc>
              <w:tc>
                <w:tcPr>
                  <w:tcW w:w="108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w:t>
                  </w:r>
                </w:p>
              </w:tc>
              <w:tc>
                <w:tcPr>
                  <w:tcW w:w="1167"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去氯化工序产生的废活性炭，以及药剂废弃包装，暂存于工业场地危废暂存间，定期交由有危废处理资质的单位处理</w:t>
                  </w:r>
                </w:p>
              </w:tc>
              <w:tc>
                <w:tcPr>
                  <w:tcW w:w="1368"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去氯化工序产生的废活性炭，以及药剂废弃包装，暂存于工业场地危废暂存间，定期交由有危废处理资质的单位处理</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306" w:type="pct"/>
                  <w:shd w:val="clear" w:color="auto" w:fill="auto"/>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依托工程</w:t>
                  </w:r>
                </w:p>
              </w:tc>
              <w:tc>
                <w:tcPr>
                  <w:tcW w:w="730" w:type="pct"/>
                  <w:shd w:val="clear" w:color="auto" w:fill="auto"/>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eastAsia" w:cs="Times New Roman"/>
                      <w:bCs/>
                      <w:color w:val="000000" w:themeColor="text1"/>
                      <w:kern w:val="0"/>
                      <w:sz w:val="21"/>
                      <w:highlight w:val="none"/>
                      <w:lang w:eastAsia="zh-CN"/>
                      <w14:textFill>
                        <w14:solidFill>
                          <w14:schemeClr w14:val="tx1"/>
                        </w14:solidFill>
                      </w14:textFill>
                    </w:rPr>
                    <w:t>危废间</w:t>
                  </w:r>
                </w:p>
              </w:tc>
              <w:tc>
                <w:tcPr>
                  <w:tcW w:w="1084" w:type="pct"/>
                  <w:vAlign w:val="center"/>
                </w:tcPr>
                <w:p>
                  <w:pPr>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建有一座</w:t>
                  </w:r>
                  <w:r>
                    <w:rPr>
                      <w:rFonts w:hint="eastAsia" w:cs="Times New Roman"/>
                      <w:color w:val="000000" w:themeColor="text1"/>
                      <w:sz w:val="21"/>
                      <w:szCs w:val="21"/>
                      <w:highlight w:val="none"/>
                      <w:lang w:val="en-US" w:eastAsia="zh-CN"/>
                      <w14:textFill>
                        <w14:solidFill>
                          <w14:schemeClr w14:val="tx1"/>
                        </w14:solidFill>
                      </w14:textFill>
                    </w:rPr>
                    <w:t>30m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的危废暂存间</w:t>
                  </w:r>
                </w:p>
              </w:tc>
              <w:tc>
                <w:tcPr>
                  <w:tcW w:w="1167" w:type="pct"/>
                  <w:vAlign w:val="center"/>
                </w:tcPr>
                <w:p>
                  <w:pPr>
                    <w:spacing w:line="320" w:lineRule="exact"/>
                    <w:ind w:firstLine="0" w:firstLineChars="0"/>
                    <w:jc w:val="center"/>
                    <w:rPr>
                      <w:rFonts w:hint="eastAsia" w:ascii="Times New Roman" w:hAnsi="Times New Roman" w:eastAsia="宋体" w:cs="Times New Roman"/>
                      <w:color w:val="000000" w:themeColor="text1"/>
                      <w:sz w:val="21"/>
                      <w:szCs w:val="18"/>
                      <w:highlight w:val="none"/>
                      <w:lang w:val="en-US" w:eastAsia="zh-CN"/>
                      <w14:textFill>
                        <w14:solidFill>
                          <w14:schemeClr w14:val="tx1"/>
                        </w14:solidFill>
                      </w14:textFill>
                    </w:rPr>
                  </w:pPr>
                </w:p>
              </w:tc>
              <w:tc>
                <w:tcPr>
                  <w:tcW w:w="1368" w:type="pct"/>
                  <w:shd w:val="clear" w:color="auto" w:fill="auto"/>
                  <w:vAlign w:val="center"/>
                </w:tcPr>
                <w:p>
                  <w:pPr>
                    <w:spacing w:line="320" w:lineRule="exact"/>
                    <w:ind w:firstLine="0" w:firstLineChars="0"/>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sz w:val="21"/>
                      <w:szCs w:val="18"/>
                      <w:highlight w:val="none"/>
                      <w:lang w:val="en-US" w:eastAsia="zh-CN"/>
                      <w14:textFill>
                        <w14:solidFill>
                          <w14:schemeClr w14:val="tx1"/>
                        </w14:solidFill>
                      </w14:textFill>
                    </w:rPr>
                    <w:t>/</w:t>
                  </w:r>
                </w:p>
              </w:tc>
              <w:tc>
                <w:tcPr>
                  <w:tcW w:w="3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eastAsia" w:ascii="Times New Roman" w:hAnsi="Times New Roman" w:eastAsia="宋体" w:cs="Times New Roman"/>
                      <w:bCs/>
                      <w:color w:val="000000" w:themeColor="text1"/>
                      <w:kern w:val="0"/>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依托</w:t>
                  </w:r>
                </w:p>
              </w:tc>
            </w:tr>
          </w:tbl>
          <w:p>
            <w:pPr>
              <w:spacing w:line="480" w:lineRule="exact"/>
              <w:ind w:firstLine="482"/>
              <w:rPr>
                <w:rFonts w:hint="eastAsia" w:cs="Times New Roman"/>
                <w:b w:val="0"/>
                <w:bCs/>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Cs w:val="24"/>
                <w:highlight w:val="none"/>
                <w14:textFill>
                  <w14:solidFill>
                    <w14:schemeClr w14:val="tx1"/>
                  </w14:solidFill>
                </w14:textFill>
              </w:rPr>
              <w:t>预沉调节池</w:t>
            </w:r>
            <w:r>
              <w:rPr>
                <w:rFonts w:hint="eastAsia" w:cs="Times New Roman"/>
                <w:b/>
                <w:bCs w:val="0"/>
                <w:color w:val="000000" w:themeColor="text1"/>
                <w:szCs w:val="24"/>
                <w:highlight w:val="none"/>
                <w:lang w:eastAsia="zh-CN"/>
                <w14:textFill>
                  <w14:solidFill>
                    <w14:schemeClr w14:val="tx1"/>
                  </w14:solidFill>
                </w14:textFill>
              </w:rPr>
              <w:t>：</w:t>
            </w:r>
            <w:r>
              <w:rPr>
                <w:rFonts w:hint="eastAsia" w:cs="Times New Roman"/>
                <w:b w:val="0"/>
                <w:bCs/>
                <w:color w:val="000000" w:themeColor="text1"/>
                <w:szCs w:val="24"/>
                <w:highlight w:val="none"/>
                <w:lang w:eastAsia="zh-CN"/>
                <w14:textFill>
                  <w14:solidFill>
                    <w14:schemeClr w14:val="tx1"/>
                  </w14:solidFill>
                </w14:textFill>
              </w:rPr>
              <w:t>本项目原有</w:t>
            </w:r>
            <w:r>
              <w:rPr>
                <w:rFonts w:hint="default" w:ascii="Times New Roman" w:hAnsi="Times New Roman" w:eastAsia="宋体" w:cs="Times New Roman"/>
                <w:b w:val="0"/>
                <w:bCs/>
                <w:color w:val="000000" w:themeColor="text1"/>
                <w:szCs w:val="24"/>
                <w:highlight w:val="none"/>
                <w14:textFill>
                  <w14:solidFill>
                    <w14:schemeClr w14:val="tx1"/>
                  </w14:solidFill>
                </w14:textFill>
              </w:rPr>
              <w:t>预沉调节池</w:t>
            </w:r>
            <w:r>
              <w:rPr>
                <w:rFonts w:hint="eastAsia" w:cs="Times New Roman"/>
                <w:b w:val="0"/>
                <w:bCs/>
                <w:color w:val="000000" w:themeColor="text1"/>
                <w:szCs w:val="24"/>
                <w:highlight w:val="none"/>
                <w:lang w:eastAsia="zh-CN"/>
                <w14:textFill>
                  <w14:solidFill>
                    <w14:schemeClr w14:val="tx1"/>
                  </w14:solidFill>
                </w14:textFill>
              </w:rPr>
              <w:t>为</w:t>
            </w:r>
            <w:r>
              <w:rPr>
                <w:rFonts w:hint="eastAsia" w:cs="Times New Roman"/>
                <w:b w:val="0"/>
                <w:bCs/>
                <w:color w:val="000000" w:themeColor="text1"/>
                <w:szCs w:val="24"/>
                <w:highlight w:val="none"/>
                <w:lang w:val="en-US" w:eastAsia="zh-CN"/>
                <w14:textFill>
                  <w14:solidFill>
                    <w14:schemeClr w14:val="tx1"/>
                  </w14:solidFill>
                </w14:textFill>
              </w:rPr>
              <w:t>150m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，本次新增一座230m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Cs w:val="24"/>
                <w:highlight w:val="none"/>
                <w14:textFill>
                  <w14:solidFill>
                    <w14:schemeClr w14:val="tx1"/>
                  </w14:solidFill>
                </w14:textFill>
              </w:rPr>
              <w:t>预沉调节池</w:t>
            </w:r>
            <w:r>
              <w:rPr>
                <w:rFonts w:hint="eastAsia" w:cs="Times New Roman"/>
                <w:b w:val="0"/>
                <w:bCs/>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Cs w:val="24"/>
                <w:highlight w:val="none"/>
                <w14:textFill>
                  <w14:solidFill>
                    <w14:schemeClr w14:val="tx1"/>
                  </w14:solidFill>
                </w14:textFill>
              </w:rPr>
              <w:t>预沉调节池</w:t>
            </w:r>
            <w:r>
              <w:rPr>
                <w:rFonts w:hint="eastAsia" w:cs="Times New Roman"/>
                <w:b w:val="0"/>
                <w:bCs/>
                <w:color w:val="000000" w:themeColor="text1"/>
                <w:szCs w:val="24"/>
                <w:highlight w:val="none"/>
                <w:lang w:val="en-US" w:eastAsia="zh-CN"/>
                <w14:textFill>
                  <w14:solidFill>
                    <w14:schemeClr w14:val="tx1"/>
                  </w14:solidFill>
                </w14:textFill>
              </w:rPr>
              <w:t>共计380m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vertAlign w:val="baseline"/>
                <w:lang w:val="en-US" w:eastAsia="zh-CN"/>
                <w14:textFill>
                  <w14:solidFill>
                    <w14:schemeClr w14:val="tx1"/>
                  </w14:solidFill>
                </w14:textFill>
              </w:rPr>
              <w:t>。</w:t>
            </w:r>
            <w:r>
              <w:rPr>
                <w:rFonts w:hint="eastAsia" w:cs="Times New Roman"/>
                <w:b w:val="0"/>
                <w:bCs/>
                <w:color w:val="000000" w:themeColor="text1"/>
                <w:szCs w:val="24"/>
                <w:highlight w:val="none"/>
                <w:lang w:val="en-US" w:eastAsia="zh-CN"/>
                <w14:textFill>
                  <w14:solidFill>
                    <w14:schemeClr w14:val="tx1"/>
                  </w14:solidFill>
                </w14:textFill>
              </w:rPr>
              <w:t>本次提标改造项目完成后，预处理能力为40m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/h，停留时间按8h计，故新增容积后可以满足矿井水处理需要</w:t>
            </w:r>
            <w:r>
              <w:rPr>
                <w:rFonts w:hint="eastAsia" w:cs="Times New Roman"/>
                <w:b w:val="0"/>
                <w:bCs/>
                <w:color w:val="000000" w:themeColor="text1"/>
                <w:szCs w:val="24"/>
                <w:highlight w:val="none"/>
                <w:lang w:eastAsia="zh-CN"/>
                <w14:textFill>
                  <w14:solidFill>
                    <w14:schemeClr w14:val="tx1"/>
                  </w14:solidFill>
                </w14:textFill>
              </w:rPr>
              <w:t>。</w:t>
            </w:r>
          </w:p>
          <w:p>
            <w:pPr>
              <w:spacing w:line="480" w:lineRule="exact"/>
              <w:ind w:firstLine="482"/>
              <w:rPr>
                <w:rFonts w:hint="eastAsia" w:cs="Times New Roman"/>
                <w:b w:val="0"/>
                <w:bCs/>
                <w:color w:val="000000" w:themeColor="text1"/>
                <w:szCs w:val="24"/>
                <w:highlight w:val="none"/>
                <w:lang w:eastAsia="zh-CN"/>
                <w14:textFill>
                  <w14:solidFill>
                    <w14:schemeClr w14:val="tx1"/>
                  </w14:solidFill>
                </w14:textFill>
              </w:rPr>
            </w:pPr>
            <w:r>
              <w:rPr>
                <w:rFonts w:hint="eastAsia" w:cs="Times New Roman"/>
                <w:b/>
                <w:bCs w:val="0"/>
                <w:color w:val="000000" w:themeColor="text1"/>
                <w:szCs w:val="24"/>
                <w:highlight w:val="none"/>
                <w:lang w:eastAsia="zh-CN"/>
                <w14:textFill>
                  <w14:solidFill>
                    <w14:schemeClr w14:val="tx1"/>
                  </w14:solidFill>
                </w14:textFill>
              </w:rPr>
              <w:t>消毒水池：</w:t>
            </w:r>
            <w:r>
              <w:rPr>
                <w:rFonts w:hint="eastAsia" w:cs="Times New Roman"/>
                <w:b w:val="0"/>
                <w:bCs/>
                <w:color w:val="000000" w:themeColor="text1"/>
                <w:szCs w:val="24"/>
                <w:highlight w:val="none"/>
                <w:lang w:eastAsia="zh-CN"/>
                <w14:textFill>
                  <w14:solidFill>
                    <w14:schemeClr w14:val="tx1"/>
                  </w14:solidFill>
                </w14:textFill>
              </w:rPr>
              <w:t>本项目原有消毒水池为</w:t>
            </w:r>
            <w:r>
              <w:rPr>
                <w:rFonts w:hint="eastAsia" w:cs="Times New Roman"/>
                <w:b w:val="0"/>
                <w:bCs/>
                <w:color w:val="000000" w:themeColor="text1"/>
                <w:szCs w:val="24"/>
                <w:highlight w:val="none"/>
                <w:lang w:val="en-US" w:eastAsia="zh-CN"/>
                <w14:textFill>
                  <w14:solidFill>
                    <w14:schemeClr w14:val="tx1"/>
                  </w14:solidFill>
                </w14:textFill>
              </w:rPr>
              <w:t>100m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，本次提标改造项目完成后，预处理能力为40m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/h，停留时间大于1h，故</w:t>
            </w:r>
            <w:r>
              <w:rPr>
                <w:rFonts w:hint="eastAsia" w:cs="Times New Roman"/>
                <w:b w:val="0"/>
                <w:bCs/>
                <w:color w:val="000000" w:themeColor="text1"/>
                <w:szCs w:val="24"/>
                <w:highlight w:val="none"/>
                <w:lang w:eastAsia="zh-CN"/>
                <w14:textFill>
                  <w14:solidFill>
                    <w14:schemeClr w14:val="tx1"/>
                  </w14:solidFill>
                </w14:textFill>
              </w:rPr>
              <w:t>本项目原有的消毒水池能够满足需求，可以依托。</w:t>
            </w:r>
          </w:p>
          <w:p>
            <w:pPr>
              <w:spacing w:line="480" w:lineRule="exact"/>
              <w:ind w:firstLine="482"/>
              <w:rPr>
                <w:rFonts w:hint="eastAsia" w:cs="Times New Roman"/>
                <w:b w:val="0"/>
                <w:bCs/>
                <w:color w:val="000000" w:themeColor="text1"/>
                <w:szCs w:val="24"/>
                <w:highlight w:val="none"/>
                <w:lang w:eastAsia="zh-CN"/>
                <w14:textFill>
                  <w14:solidFill>
                    <w14:schemeClr w14:val="tx1"/>
                  </w14:solidFill>
                </w14:textFill>
              </w:rPr>
            </w:pPr>
            <w:r>
              <w:rPr>
                <w:rFonts w:hint="eastAsia" w:cs="Times New Roman"/>
                <w:b/>
                <w:bCs w:val="0"/>
                <w:color w:val="000000" w:themeColor="text1"/>
                <w:szCs w:val="24"/>
                <w:highlight w:val="none"/>
                <w:lang w:eastAsia="zh-CN"/>
                <w14:textFill>
                  <w14:solidFill>
                    <w14:schemeClr w14:val="tx1"/>
                  </w14:solidFill>
                </w14:textFill>
              </w:rPr>
              <w:t>污泥池：</w:t>
            </w:r>
            <w:r>
              <w:rPr>
                <w:rFonts w:hint="eastAsia" w:cs="Times New Roman"/>
                <w:b w:val="0"/>
                <w:bCs/>
                <w:color w:val="000000" w:themeColor="text1"/>
                <w:szCs w:val="24"/>
                <w:highlight w:val="none"/>
                <w:lang w:eastAsia="zh-CN"/>
                <w14:textFill>
                  <w14:solidFill>
                    <w14:schemeClr w14:val="tx1"/>
                  </w14:solidFill>
                </w14:textFill>
              </w:rPr>
              <w:t>本项目原有污泥池为</w:t>
            </w:r>
            <w:r>
              <w:rPr>
                <w:rFonts w:hint="eastAsia" w:cs="Times New Roman"/>
                <w:b w:val="0"/>
                <w:bCs/>
                <w:color w:val="000000" w:themeColor="text1"/>
                <w:szCs w:val="24"/>
                <w:highlight w:val="none"/>
                <w:lang w:val="en-US" w:eastAsia="zh-CN"/>
                <w14:textFill>
                  <w14:solidFill>
                    <w14:schemeClr w14:val="tx1"/>
                  </w14:solidFill>
                </w14:textFill>
              </w:rPr>
              <w:t>40m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，污泥提升泵处理能力为6m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lang w:val="en-US" w:eastAsia="zh-CN"/>
                <w14:textFill>
                  <w14:solidFill>
                    <w14:schemeClr w14:val="tx1"/>
                  </w14:solidFill>
                </w14:textFill>
              </w:rPr>
              <w:t>/h，按提升泵连续工作1h计，故</w:t>
            </w:r>
            <w:r>
              <w:rPr>
                <w:rFonts w:hint="eastAsia" w:cs="Times New Roman"/>
                <w:b w:val="0"/>
                <w:bCs/>
                <w:color w:val="000000" w:themeColor="text1"/>
                <w:szCs w:val="24"/>
                <w:highlight w:val="none"/>
                <w:lang w:eastAsia="zh-CN"/>
                <w14:textFill>
                  <w14:solidFill>
                    <w14:schemeClr w14:val="tx1"/>
                  </w14:solidFill>
                </w14:textFill>
              </w:rPr>
              <w:t>本项目原有的污泥池能够满足要求，可以依托。</w:t>
            </w:r>
          </w:p>
          <w:p>
            <w:pPr>
              <w:spacing w:line="480" w:lineRule="exact"/>
              <w:ind w:firstLine="482"/>
              <w:rPr>
                <w:rFonts w:hint="eastAsia" w:cs="Times New Roman"/>
                <w:b w:val="0"/>
                <w:bCs/>
                <w:color w:val="000000" w:themeColor="text1"/>
                <w:szCs w:val="24"/>
                <w:highlight w:val="red"/>
                <w:lang w:eastAsia="zh-CN"/>
                <w14:textFill>
                  <w14:solidFill>
                    <w14:schemeClr w14:val="tx1"/>
                  </w14:solidFill>
                </w14:textFill>
              </w:rPr>
            </w:pPr>
            <w:r>
              <w:rPr>
                <w:rFonts w:hint="eastAsia" w:hAnsi="宋体"/>
                <w:bCs/>
                <w:sz w:val="24"/>
                <w:highlight w:val="none"/>
              </w:rPr>
              <w:t>压滤机</w:t>
            </w:r>
            <w:r>
              <w:rPr>
                <w:rFonts w:hint="eastAsia" w:hAnsi="宋体"/>
                <w:bCs/>
                <w:sz w:val="24"/>
                <w:highlight w:val="none"/>
                <w:lang w:eastAsia="zh-CN"/>
              </w:rPr>
              <w:t>：</w:t>
            </w:r>
            <w:r>
              <w:rPr>
                <w:rFonts w:hint="eastAsia"/>
                <w:bCs/>
                <w:sz w:val="24"/>
                <w:highlight w:val="none"/>
              </w:rPr>
              <w:t>本项目</w:t>
            </w:r>
            <w:r>
              <w:rPr>
                <w:rFonts w:hint="eastAsia"/>
                <w:bCs/>
                <w:sz w:val="24"/>
                <w:highlight w:val="none"/>
                <w:lang w:eastAsia="zh-CN"/>
              </w:rPr>
              <w:t>原</w:t>
            </w:r>
            <w:r>
              <w:rPr>
                <w:rFonts w:hint="eastAsia" w:hAnsi="宋体"/>
                <w:bCs/>
                <w:sz w:val="24"/>
                <w:highlight w:val="none"/>
                <w:lang w:eastAsia="zh-CN"/>
              </w:rPr>
              <w:t>有的</w:t>
            </w:r>
            <w:r>
              <w:rPr>
                <w:rFonts w:hint="eastAsia" w:hAnsi="宋体"/>
                <w:bCs/>
                <w:sz w:val="24"/>
                <w:highlight w:val="none"/>
                <w:lang w:val="en-US" w:eastAsia="zh-CN"/>
              </w:rPr>
              <w:t>2</w:t>
            </w:r>
            <w:r>
              <w:rPr>
                <w:rFonts w:hint="eastAsia" w:hAnsi="宋体"/>
                <w:bCs/>
                <w:sz w:val="24"/>
                <w:highlight w:val="none"/>
              </w:rPr>
              <w:t>台</w:t>
            </w:r>
            <w:r>
              <w:rPr>
                <w:rFonts w:hint="eastAsia" w:hAnsi="宋体"/>
                <w:bCs/>
                <w:sz w:val="24"/>
                <w:highlight w:val="none"/>
                <w:lang w:eastAsia="zh-CN"/>
              </w:rPr>
              <w:t>箱式</w:t>
            </w:r>
            <w:r>
              <w:rPr>
                <w:rFonts w:hint="eastAsia" w:hAnsi="宋体"/>
                <w:bCs/>
                <w:sz w:val="24"/>
                <w:highlight w:val="none"/>
              </w:rPr>
              <w:t>压滤机</w:t>
            </w:r>
            <w:r>
              <w:rPr>
                <w:rFonts w:hint="eastAsia" w:hAnsi="宋体"/>
                <w:bCs/>
                <w:sz w:val="24"/>
                <w:highlight w:val="none"/>
                <w:lang w:eastAsia="zh-CN"/>
              </w:rPr>
              <w:t>的</w:t>
            </w:r>
            <w:r>
              <w:rPr>
                <w:rFonts w:hint="eastAsia" w:hAnsi="宋体"/>
                <w:bCs/>
                <w:sz w:val="24"/>
                <w:highlight w:val="none"/>
              </w:rPr>
              <w:t>过滤面积为</w:t>
            </w:r>
            <w:r>
              <w:rPr>
                <w:rFonts w:hint="eastAsia" w:hAnsi="宋体"/>
                <w:bCs/>
                <w:sz w:val="24"/>
                <w:highlight w:val="none"/>
                <w:lang w:val="en-US" w:eastAsia="zh-CN"/>
              </w:rPr>
              <w:t>70</w:t>
            </w:r>
            <w:r>
              <w:rPr>
                <w:rFonts w:hint="eastAsia" w:hAnsi="宋体"/>
                <w:bCs/>
                <w:sz w:val="24"/>
                <w:highlight w:val="none"/>
              </w:rPr>
              <w:t>m</w:t>
            </w:r>
            <w:r>
              <w:rPr>
                <w:rFonts w:hint="eastAsia" w:hAnsi="宋体"/>
                <w:bCs/>
                <w:sz w:val="24"/>
                <w:highlight w:val="none"/>
                <w:vertAlign w:val="superscript"/>
              </w:rPr>
              <w:t>2</w:t>
            </w:r>
            <w:r>
              <w:rPr>
                <w:rFonts w:hAnsi="宋体"/>
                <w:bCs/>
                <w:sz w:val="24"/>
                <w:highlight w:val="none"/>
              </w:rPr>
              <w:t>，</w:t>
            </w:r>
            <w:r>
              <w:rPr>
                <w:rFonts w:hint="eastAsia" w:hAnsi="宋体"/>
                <w:bCs/>
                <w:sz w:val="24"/>
                <w:highlight w:val="none"/>
                <w:lang w:eastAsia="zh-CN"/>
              </w:rPr>
              <w:t>参照</w:t>
            </w:r>
            <w:r>
              <w:rPr>
                <w:rFonts w:hAnsi="宋体"/>
                <w:bCs/>
                <w:sz w:val="24"/>
                <w:highlight w:val="none"/>
              </w:rPr>
              <w:t>《煤炭洗选工程设计规范》（</w:t>
            </w:r>
            <w:r>
              <w:rPr>
                <w:bCs/>
                <w:sz w:val="24"/>
                <w:highlight w:val="none"/>
              </w:rPr>
              <w:t>GB50359-2016</w:t>
            </w:r>
            <w:r>
              <w:rPr>
                <w:rFonts w:hAnsi="宋体"/>
                <w:bCs/>
                <w:sz w:val="24"/>
                <w:highlight w:val="none"/>
              </w:rPr>
              <w:t>）要求，处理能力介于</w:t>
            </w:r>
            <w:r>
              <w:rPr>
                <w:bCs/>
                <w:sz w:val="24"/>
                <w:highlight w:val="none"/>
              </w:rPr>
              <w:t>0.0</w:t>
            </w:r>
            <w:r>
              <w:rPr>
                <w:rFonts w:hint="eastAsia"/>
                <w:bCs/>
                <w:sz w:val="24"/>
                <w:highlight w:val="none"/>
                <w:lang w:val="en-US" w:eastAsia="zh-CN"/>
              </w:rPr>
              <w:t>2</w:t>
            </w:r>
            <w:r>
              <w:rPr>
                <w:bCs/>
                <w:sz w:val="24"/>
                <w:highlight w:val="none"/>
              </w:rPr>
              <w:t>-0.0</w:t>
            </w:r>
            <w:r>
              <w:rPr>
                <w:rFonts w:hint="eastAsia"/>
                <w:bCs/>
                <w:sz w:val="24"/>
                <w:highlight w:val="none"/>
                <w:lang w:val="en-US" w:eastAsia="zh-CN"/>
              </w:rPr>
              <w:t>3</w:t>
            </w:r>
            <w:r>
              <w:rPr>
                <w:bCs/>
                <w:sz w:val="24"/>
                <w:highlight w:val="none"/>
              </w:rPr>
              <w:t>t/m</w:t>
            </w:r>
            <w:r>
              <w:rPr>
                <w:bCs/>
                <w:sz w:val="24"/>
                <w:highlight w:val="none"/>
                <w:vertAlign w:val="superscript"/>
              </w:rPr>
              <w:t>2</w:t>
            </w:r>
            <w:r>
              <w:rPr>
                <w:bCs/>
                <w:sz w:val="24"/>
                <w:highlight w:val="none"/>
              </w:rPr>
              <w:t>h</w:t>
            </w:r>
            <w:r>
              <w:rPr>
                <w:rFonts w:hAnsi="宋体"/>
                <w:bCs/>
                <w:sz w:val="24"/>
                <w:highlight w:val="none"/>
              </w:rPr>
              <w:t>之间，</w:t>
            </w:r>
            <w:r>
              <w:rPr>
                <w:rFonts w:hint="eastAsia" w:hAnsi="宋体"/>
                <w:bCs/>
                <w:sz w:val="24"/>
                <w:highlight w:val="none"/>
              </w:rPr>
              <w:t>本次评价</w:t>
            </w:r>
            <w:r>
              <w:rPr>
                <w:rFonts w:hAnsi="宋体"/>
                <w:bCs/>
                <w:sz w:val="24"/>
                <w:highlight w:val="none"/>
              </w:rPr>
              <w:t>选取</w:t>
            </w:r>
            <w:r>
              <w:rPr>
                <w:rFonts w:hint="eastAsia"/>
                <w:bCs/>
                <w:sz w:val="24"/>
                <w:highlight w:val="none"/>
              </w:rPr>
              <w:t>0.0</w:t>
            </w:r>
            <w:r>
              <w:rPr>
                <w:rFonts w:hint="eastAsia"/>
                <w:bCs/>
                <w:sz w:val="24"/>
                <w:highlight w:val="none"/>
                <w:lang w:val="en-US" w:eastAsia="zh-CN"/>
              </w:rPr>
              <w:t>25</w:t>
            </w:r>
            <w:r>
              <w:rPr>
                <w:bCs/>
                <w:sz w:val="24"/>
                <w:highlight w:val="none"/>
              </w:rPr>
              <w:t>t/m</w:t>
            </w:r>
            <w:r>
              <w:rPr>
                <w:bCs/>
                <w:sz w:val="24"/>
                <w:highlight w:val="none"/>
                <w:vertAlign w:val="superscript"/>
              </w:rPr>
              <w:t>2</w:t>
            </w:r>
            <w:r>
              <w:rPr>
                <w:bCs/>
                <w:sz w:val="24"/>
                <w:highlight w:val="none"/>
              </w:rPr>
              <w:t>·h</w:t>
            </w:r>
            <w:r>
              <w:rPr>
                <w:rFonts w:hAnsi="宋体"/>
                <w:bCs/>
                <w:sz w:val="24"/>
                <w:highlight w:val="none"/>
              </w:rPr>
              <w:t>计算</w:t>
            </w:r>
            <w:r>
              <w:rPr>
                <w:rFonts w:hint="eastAsia" w:hAnsi="宋体"/>
                <w:bCs/>
                <w:sz w:val="24"/>
                <w:highlight w:val="none"/>
                <w:lang w:eastAsia="zh-CN"/>
              </w:rPr>
              <w:t>，则原有</w:t>
            </w:r>
            <w:r>
              <w:rPr>
                <w:rFonts w:hAnsi="宋体"/>
                <w:bCs/>
                <w:sz w:val="24"/>
                <w:highlight w:val="none"/>
              </w:rPr>
              <w:t>压滤机的处理能力</w:t>
            </w:r>
            <w:r>
              <w:rPr>
                <w:rFonts w:hint="eastAsia" w:hAnsi="宋体"/>
                <w:bCs/>
                <w:sz w:val="24"/>
                <w:highlight w:val="none"/>
                <w:lang w:eastAsia="zh-CN"/>
              </w:rPr>
              <w:t>可以</w:t>
            </w:r>
            <w:r>
              <w:rPr>
                <w:rFonts w:hAnsi="宋体"/>
                <w:bCs/>
                <w:sz w:val="24"/>
                <w:highlight w:val="none"/>
              </w:rPr>
              <w:t>达到</w:t>
            </w:r>
            <w:r>
              <w:rPr>
                <w:rFonts w:hint="eastAsia"/>
                <w:bCs/>
                <w:sz w:val="24"/>
                <w:highlight w:val="none"/>
                <w:lang w:val="en-US" w:eastAsia="zh-CN"/>
              </w:rPr>
              <w:t>1.75</w:t>
            </w:r>
            <w:r>
              <w:rPr>
                <w:bCs/>
                <w:sz w:val="24"/>
                <w:highlight w:val="none"/>
              </w:rPr>
              <w:t>t/h</w:t>
            </w:r>
            <w:r>
              <w:rPr>
                <w:rFonts w:hAnsi="宋体"/>
                <w:bCs/>
                <w:sz w:val="24"/>
                <w:highlight w:val="none"/>
              </w:rPr>
              <w:t>，</w:t>
            </w:r>
            <w:r>
              <w:rPr>
                <w:rFonts w:hint="eastAsia" w:cs="Times New Roman"/>
                <w:b w:val="0"/>
                <w:bCs/>
                <w:color w:val="000000" w:themeColor="text1"/>
                <w:szCs w:val="24"/>
                <w:highlight w:val="none"/>
                <w:lang w:eastAsia="zh-CN"/>
                <w14:textFill>
                  <w14:solidFill>
                    <w14:schemeClr w14:val="tx1"/>
                  </w14:solidFill>
                </w14:textFill>
              </w:rPr>
              <w:t>根据</w:t>
            </w:r>
            <w:r>
              <w:rPr>
                <w:rFonts w:hint="default" w:ascii="Times New Roman" w:hAnsi="Times New Roman" w:eastAsia="宋体" w:cs="Times New Roman"/>
                <w:bCs/>
                <w:color w:val="000000" w:themeColor="text1"/>
                <w:kern w:val="0"/>
                <w:highlight w:val="none"/>
                <w14:textFill>
                  <w14:solidFill>
                    <w14:schemeClr w14:val="tx1"/>
                  </w14:solidFill>
                </w14:textFill>
              </w:rPr>
              <w:t>山西朔州平鲁区兰花永胜煤业有限公司</w:t>
            </w:r>
            <w:r>
              <w:rPr>
                <w:rFonts w:hint="eastAsia" w:ascii="Times New Roman" w:hAnsi="Times New Roman" w:cs="Times New Roman"/>
                <w:bCs/>
                <w:color w:val="000000" w:themeColor="text1"/>
                <w:kern w:val="0"/>
                <w:highlight w:val="none"/>
                <w:lang w:eastAsia="zh-CN"/>
                <w14:textFill>
                  <w14:solidFill>
                    <w14:schemeClr w14:val="tx1"/>
                  </w14:solidFill>
                </w14:textFill>
              </w:rPr>
              <w:t>设计的进水水质中</w:t>
            </w:r>
            <w:r>
              <w:rPr>
                <w:rFonts w:hint="eastAsia" w:ascii="Times New Roman" w:hAnsi="Times New Roman" w:cs="Times New Roman"/>
                <w:bCs/>
                <w:color w:val="000000" w:themeColor="text1"/>
                <w:kern w:val="0"/>
                <w:highlight w:val="none"/>
                <w:lang w:val="en-US" w:eastAsia="zh-CN"/>
                <w14:textFill>
                  <w14:solidFill>
                    <w14:schemeClr w14:val="tx1"/>
                  </w14:solidFill>
                </w14:textFill>
              </w:rPr>
              <w:t>SS浓度最大为1500mg/L，本次去除效率按99%计，同时考虑加药药剂、COD等其他产生的污泥，本次不确定系数按1.1计，则本项目投产后，污泥产生量约为543.09t/a，1.5t/d，0.062t/h</w:t>
            </w:r>
            <w:r>
              <w:rPr>
                <w:rFonts w:hint="eastAsia" w:cs="Times New Roman"/>
                <w:bCs/>
                <w:color w:val="000000" w:themeColor="text1"/>
                <w:kern w:val="0"/>
                <w:highlight w:val="none"/>
                <w:lang w:val="en-US" w:eastAsia="zh-CN"/>
                <w14:textFill>
                  <w14:solidFill>
                    <w14:schemeClr w14:val="tx1"/>
                  </w14:solidFill>
                </w14:textFill>
              </w:rPr>
              <w:t>，故原</w:t>
            </w:r>
            <w:r>
              <w:rPr>
                <w:rFonts w:hint="eastAsia"/>
                <w:bCs/>
                <w:sz w:val="24"/>
                <w:highlight w:val="none"/>
                <w:lang w:eastAsia="zh-CN"/>
              </w:rPr>
              <w:t>有</w:t>
            </w:r>
            <w:r>
              <w:rPr>
                <w:rFonts w:hint="eastAsia" w:hAnsi="宋体"/>
                <w:bCs/>
                <w:sz w:val="24"/>
                <w:highlight w:val="none"/>
              </w:rPr>
              <w:t>的</w:t>
            </w:r>
            <w:r>
              <w:rPr>
                <w:rFonts w:hint="eastAsia" w:hAnsi="宋体"/>
                <w:bCs/>
                <w:sz w:val="24"/>
                <w:highlight w:val="none"/>
                <w:lang w:val="en-US" w:eastAsia="zh-CN"/>
              </w:rPr>
              <w:t>2</w:t>
            </w:r>
            <w:r>
              <w:rPr>
                <w:rFonts w:hint="eastAsia" w:hAnsi="宋体"/>
                <w:bCs/>
                <w:sz w:val="24"/>
                <w:highlight w:val="none"/>
              </w:rPr>
              <w:t>台压滤机</w:t>
            </w:r>
            <w:r>
              <w:rPr>
                <w:rFonts w:hAnsi="宋体"/>
                <w:bCs/>
                <w:sz w:val="24"/>
                <w:highlight w:val="none"/>
              </w:rPr>
              <w:t>可以满足</w:t>
            </w:r>
            <w:r>
              <w:rPr>
                <w:rFonts w:hint="eastAsia" w:hAnsi="宋体"/>
                <w:bCs/>
                <w:sz w:val="24"/>
                <w:highlight w:val="none"/>
              </w:rPr>
              <w:t>生产线生产时</w:t>
            </w:r>
            <w:r>
              <w:rPr>
                <w:rFonts w:hint="eastAsia" w:hAnsi="宋体"/>
                <w:bCs/>
                <w:sz w:val="24"/>
                <w:highlight w:val="none"/>
                <w:lang w:eastAsia="zh-CN"/>
              </w:rPr>
              <w:t>污泥</w:t>
            </w:r>
            <w:r>
              <w:rPr>
                <w:rFonts w:hAnsi="宋体"/>
                <w:bCs/>
                <w:sz w:val="24"/>
                <w:highlight w:val="none"/>
              </w:rPr>
              <w:t>的处理要求</w:t>
            </w:r>
            <w:r>
              <w:rPr>
                <w:rFonts w:hint="eastAsia" w:cs="Times New Roman"/>
                <w:b w:val="0"/>
                <w:bCs/>
                <w:color w:val="000000" w:themeColor="text1"/>
                <w:szCs w:val="24"/>
                <w:highlight w:val="none"/>
                <w:lang w:eastAsia="zh-CN"/>
                <w14:textFill>
                  <w14:solidFill>
                    <w14:schemeClr w14:val="tx1"/>
                  </w14:solidFill>
                </w14:textFill>
              </w:rPr>
              <w:t>，可以依托。</w:t>
            </w:r>
          </w:p>
          <w:p>
            <w:pPr>
              <w:spacing w:line="480" w:lineRule="exact"/>
              <w:ind w:firstLine="482"/>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pPr>
            <w:r>
              <w:rPr>
                <w:rFonts w:hint="eastAsia" w:cs="Times New Roman"/>
                <w:b/>
                <w:color w:val="000000" w:themeColor="text1"/>
                <w:szCs w:val="24"/>
                <w:highlight w:val="none"/>
                <w:lang w:eastAsia="zh-CN"/>
                <w14:textFill>
                  <w14:solidFill>
                    <w14:schemeClr w14:val="tx1"/>
                  </w14:solidFill>
                </w14:textFill>
              </w:rPr>
              <w:t>危废间：</w:t>
            </w:r>
            <w:r>
              <w:rPr>
                <w:rFonts w:hint="eastAsia" w:cs="Times New Roman"/>
                <w:b w:val="0"/>
                <w:bCs/>
                <w:color w:val="000000" w:themeColor="text1"/>
                <w:szCs w:val="24"/>
                <w:highlight w:val="none"/>
                <w:lang w:eastAsia="zh-CN"/>
                <w14:textFill>
                  <w14:solidFill>
                    <w14:schemeClr w14:val="tx1"/>
                  </w14:solidFill>
                </w14:textFill>
              </w:rPr>
              <w:t>本项目原有危废间为</w:t>
            </w:r>
            <w:r>
              <w:rPr>
                <w:rFonts w:hint="eastAsia" w:cs="Times New Roman"/>
                <w:b w:val="0"/>
                <w:bCs/>
                <w:color w:val="000000" w:themeColor="text1"/>
                <w:szCs w:val="24"/>
                <w:highlight w:val="none"/>
                <w:lang w:val="en-US" w:eastAsia="zh-CN"/>
                <w14:textFill>
                  <w14:solidFill>
                    <w14:schemeClr w14:val="tx1"/>
                  </w14:solidFill>
                </w14:textFill>
              </w:rPr>
              <w:t>3</w:t>
            </w:r>
            <w:r>
              <w:rPr>
                <w:rFonts w:hint="eastAsia" w:hAnsi="宋体"/>
                <w:b w:val="0"/>
                <w:bCs/>
                <w:sz w:val="24"/>
                <w:highlight w:val="none"/>
                <w:lang w:val="en-US" w:eastAsia="zh-CN"/>
              </w:rPr>
              <w:t>0</w:t>
            </w:r>
            <w:r>
              <w:rPr>
                <w:rFonts w:hint="eastAsia" w:hAnsi="宋体"/>
                <w:b w:val="0"/>
                <w:bCs/>
                <w:sz w:val="24"/>
                <w:highlight w:val="none"/>
              </w:rPr>
              <w:t>m</w:t>
            </w:r>
            <w:r>
              <w:rPr>
                <w:rFonts w:hint="eastAsia" w:hAnsi="宋体"/>
                <w:b w:val="0"/>
                <w:bCs/>
                <w:sz w:val="24"/>
                <w:highlight w:val="none"/>
                <w:vertAlign w:val="superscript"/>
              </w:rPr>
              <w:t>2</w:t>
            </w:r>
            <w:r>
              <w:rPr>
                <w:rFonts w:hAnsi="宋体"/>
                <w:b w:val="0"/>
                <w:bCs/>
                <w:sz w:val="24"/>
                <w:highlight w:val="none"/>
              </w:rPr>
              <w:t>，</w:t>
            </w:r>
            <w:r>
              <w:rPr>
                <w:rFonts w:hint="eastAsia" w:hAnsi="宋体"/>
                <w:b w:val="0"/>
                <w:bCs/>
                <w:sz w:val="24"/>
                <w:highlight w:val="none"/>
                <w:lang w:eastAsia="zh-CN"/>
              </w:rPr>
              <w:t>目前只用来暂存维修产生的废油（</w:t>
            </w:r>
            <w:r>
              <w:rPr>
                <w:rFonts w:hint="eastAsia" w:hAnsi="宋体"/>
                <w:b w:val="0"/>
                <w:bCs/>
                <w:sz w:val="24"/>
                <w:highlight w:val="none"/>
                <w:lang w:val="en-US" w:eastAsia="zh-CN"/>
              </w:rPr>
              <w:t>0.5t/a，占地面积4m</w:t>
            </w:r>
            <w:r>
              <w:rPr>
                <w:rFonts w:hint="eastAsia" w:hAnsi="宋体"/>
                <w:b w:val="0"/>
                <w:bCs/>
                <w:sz w:val="24"/>
                <w:highlight w:val="none"/>
                <w:vertAlign w:val="superscript"/>
                <w:lang w:val="en-US" w:eastAsia="zh-CN"/>
              </w:rPr>
              <w:t>2</w:t>
            </w:r>
            <w:r>
              <w:rPr>
                <w:rFonts w:hint="eastAsia" w:hAnsi="宋体"/>
                <w:b w:val="0"/>
                <w:bCs/>
                <w:sz w:val="24"/>
                <w:highlight w:val="none"/>
                <w:lang w:eastAsia="zh-CN"/>
              </w:rPr>
              <w:t>）、废油桶（</w:t>
            </w:r>
            <w:r>
              <w:rPr>
                <w:rFonts w:hint="eastAsia" w:hAnsi="宋体"/>
                <w:b w:val="0"/>
                <w:bCs/>
                <w:sz w:val="24"/>
                <w:highlight w:val="none"/>
                <w:lang w:val="en-US" w:eastAsia="zh-CN"/>
              </w:rPr>
              <w:t>20个/a，占地面积10m</w:t>
            </w:r>
            <w:r>
              <w:rPr>
                <w:rFonts w:hint="eastAsia" w:hAnsi="宋体"/>
                <w:b w:val="0"/>
                <w:bCs/>
                <w:sz w:val="24"/>
                <w:highlight w:val="none"/>
                <w:vertAlign w:val="superscript"/>
                <w:lang w:val="en-US" w:eastAsia="zh-CN"/>
              </w:rPr>
              <w:t>2</w:t>
            </w:r>
            <w:r>
              <w:rPr>
                <w:rFonts w:hint="eastAsia" w:hAnsi="宋体"/>
                <w:b w:val="0"/>
                <w:bCs/>
                <w:sz w:val="24"/>
                <w:highlight w:val="none"/>
                <w:lang w:eastAsia="zh-CN"/>
              </w:rPr>
              <w:t>），本项目新增</w:t>
            </w:r>
            <w:r>
              <w:rPr>
                <w:rFonts w:hint="default" w:ascii="Times New Roman" w:hAnsi="Times New Roman" w:eastAsia="宋体" w:cs="Times New Roman"/>
                <w:color w:val="000000" w:themeColor="text1"/>
                <w:highlight w:val="none"/>
                <w14:textFill>
                  <w14:solidFill>
                    <w14:schemeClr w14:val="tx1"/>
                  </w14:solidFill>
                </w14:textFill>
              </w:rPr>
              <w:t>废活性炭</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1.0t/a</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hAnsi="宋体"/>
                <w:b w:val="0"/>
                <w:bCs/>
                <w:sz w:val="24"/>
                <w:highlight w:val="none"/>
                <w:lang w:val="en-US" w:eastAsia="zh-CN"/>
              </w:rPr>
              <w:t>占地面积5m</w:t>
            </w:r>
            <w:r>
              <w:rPr>
                <w:rFonts w:hint="eastAsia" w:hAnsi="宋体"/>
                <w:b w:val="0"/>
                <w:bCs/>
                <w:sz w:val="24"/>
                <w:highlight w:val="none"/>
                <w:vertAlign w:val="superscript"/>
                <w:lang w:val="en-US" w:eastAsia="zh-CN"/>
              </w:rPr>
              <w:t>2</w:t>
            </w:r>
            <w:r>
              <w:rPr>
                <w:rFonts w:hint="eastAsia" w:ascii="Times New Roman" w:hAnsi="Times New Roman" w:cs="Times New Roman"/>
                <w:color w:val="000000" w:themeColor="text1"/>
                <w:highlight w:val="none"/>
                <w:lang w:eastAsia="zh-CN"/>
                <w14:textFill>
                  <w14:solidFill>
                    <w14:schemeClr w14:val="tx1"/>
                  </w14:solidFill>
                </w14:textFill>
              </w:rPr>
              <w:t>）和</w:t>
            </w:r>
            <w:r>
              <w:rPr>
                <w:rFonts w:hint="default" w:ascii="Times New Roman" w:hAnsi="Times New Roman" w:eastAsia="宋体" w:cs="Times New Roman"/>
                <w:color w:val="000000" w:themeColor="text1"/>
                <w:highlight w:val="none"/>
                <w14:textFill>
                  <w14:solidFill>
                    <w14:schemeClr w14:val="tx1"/>
                  </w14:solidFill>
                </w14:textFill>
              </w:rPr>
              <w:t>药剂废弃包装</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0.005t/a</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hAnsi="宋体"/>
                <w:b w:val="0"/>
                <w:bCs/>
                <w:sz w:val="24"/>
                <w:highlight w:val="none"/>
                <w:lang w:val="en-US" w:eastAsia="zh-CN"/>
              </w:rPr>
              <w:t>占地面积1m</w:t>
            </w:r>
            <w:r>
              <w:rPr>
                <w:rFonts w:hint="eastAsia" w:hAnsi="宋体"/>
                <w:b w:val="0"/>
                <w:bCs/>
                <w:sz w:val="24"/>
                <w:highlight w:val="none"/>
                <w:vertAlign w:val="superscript"/>
                <w:lang w:val="en-US" w:eastAsia="zh-CN"/>
              </w:rPr>
              <w:t>2</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hAnsi="宋体"/>
                <w:b w:val="0"/>
                <w:bCs/>
                <w:sz w:val="24"/>
                <w:highlight w:val="none"/>
                <w:lang w:val="en-US" w:eastAsia="zh-CN"/>
              </w:rPr>
              <w:t>，</w:t>
            </w:r>
            <w:r>
              <w:rPr>
                <w:rFonts w:hint="eastAsia" w:cs="Times New Roman"/>
                <w:bCs/>
                <w:color w:val="000000" w:themeColor="text1"/>
                <w:kern w:val="0"/>
                <w:highlight w:val="none"/>
                <w:lang w:val="en-US" w:eastAsia="zh-CN"/>
                <w14:textFill>
                  <w14:solidFill>
                    <w14:schemeClr w14:val="tx1"/>
                  </w14:solidFill>
                </w14:textFill>
              </w:rPr>
              <w:t>故原</w:t>
            </w:r>
            <w:r>
              <w:rPr>
                <w:rFonts w:hint="eastAsia"/>
                <w:bCs/>
                <w:sz w:val="24"/>
                <w:highlight w:val="none"/>
                <w:lang w:eastAsia="zh-CN"/>
              </w:rPr>
              <w:t>有</w:t>
            </w:r>
            <w:r>
              <w:rPr>
                <w:rFonts w:hint="eastAsia" w:hAnsi="宋体"/>
                <w:bCs/>
                <w:sz w:val="24"/>
                <w:highlight w:val="none"/>
              </w:rPr>
              <w:t>的</w:t>
            </w:r>
            <w:r>
              <w:rPr>
                <w:rFonts w:hint="eastAsia" w:hAnsi="宋体"/>
                <w:bCs/>
                <w:sz w:val="24"/>
                <w:highlight w:val="none"/>
                <w:lang w:val="en-US" w:eastAsia="zh-CN"/>
              </w:rPr>
              <w:t>危废间</w:t>
            </w:r>
            <w:r>
              <w:rPr>
                <w:rFonts w:hAnsi="宋体"/>
                <w:bCs/>
                <w:sz w:val="24"/>
                <w:highlight w:val="none"/>
              </w:rPr>
              <w:t>可以满足</w:t>
            </w:r>
            <w:r>
              <w:rPr>
                <w:rFonts w:hint="eastAsia" w:hAnsi="宋体"/>
                <w:bCs/>
                <w:sz w:val="24"/>
                <w:highlight w:val="none"/>
                <w:lang w:eastAsia="zh-CN"/>
              </w:rPr>
              <w:t>危废暂存需求</w:t>
            </w:r>
            <w:r>
              <w:rPr>
                <w:rFonts w:hint="eastAsia" w:cs="Times New Roman"/>
                <w:b w:val="0"/>
                <w:bCs/>
                <w:color w:val="000000" w:themeColor="text1"/>
                <w:szCs w:val="24"/>
                <w:highlight w:val="none"/>
                <w:lang w:eastAsia="zh-CN"/>
                <w14:textFill>
                  <w14:solidFill>
                    <w14:schemeClr w14:val="tx1"/>
                  </w14:solidFill>
                </w14:textFill>
              </w:rPr>
              <w:t>，可以依托。</w:t>
            </w:r>
          </w:p>
          <w:p>
            <w:pPr>
              <w:spacing w:line="480" w:lineRule="exact"/>
              <w:ind w:firstLine="482"/>
              <w:rPr>
                <w:rFonts w:hint="eastAsia" w:cs="Times New Roman"/>
                <w:b w:val="0"/>
                <w:bCs/>
                <w:color w:val="000000" w:themeColor="text1"/>
                <w:szCs w:val="24"/>
                <w:highlight w:val="none"/>
                <w:lang w:eastAsia="zh-CN"/>
                <w14:textFill>
                  <w14:solidFill>
                    <w14:schemeClr w14:val="tx1"/>
                  </w14:solidFill>
                </w14:textFill>
              </w:rPr>
            </w:pPr>
            <w:r>
              <w:rPr>
                <w:rFonts w:hint="eastAsia" w:cs="Times New Roman"/>
                <w:b/>
                <w:bCs w:val="0"/>
                <w:color w:val="000000" w:themeColor="text1"/>
                <w:szCs w:val="24"/>
                <w:highlight w:val="none"/>
                <w:lang w:eastAsia="zh-CN"/>
                <w14:textFill>
                  <w14:solidFill>
                    <w14:schemeClr w14:val="tx1"/>
                  </w14:solidFill>
                </w14:textFill>
              </w:rPr>
              <w:t>依托可行性：</w:t>
            </w:r>
          </w:p>
          <w:p>
            <w:pPr>
              <w:spacing w:line="480" w:lineRule="exact"/>
              <w:ind w:firstLine="482"/>
              <w:rPr>
                <w:rFonts w:hint="eastAsia" w:ascii="Times New Roman" w:hAnsi="Times New Roman" w:eastAsia="宋体" w:cs="Times New Roman"/>
                <w:b w:val="0"/>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Cs w:val="24"/>
                <w:highlight w:val="none"/>
                <w:lang w:eastAsia="zh-CN"/>
                <w14:textFill>
                  <w14:solidFill>
                    <w14:schemeClr w14:val="tx1"/>
                  </w14:solidFill>
                </w14:textFill>
              </w:rPr>
              <w:t>根据上述分析，本项目的消毒池、污泥池、压滤机、危废间均可以依托原有的建筑物及设备，因本项目投产后调节池需要</w:t>
            </w:r>
            <w:r>
              <w:rPr>
                <w:rFonts w:hint="eastAsia" w:cs="Times New Roman"/>
                <w:b w:val="0"/>
                <w:bCs/>
                <w:color w:val="000000" w:themeColor="text1"/>
                <w:szCs w:val="24"/>
                <w:highlight w:val="none"/>
                <w:lang w:val="en-US" w:eastAsia="zh-CN"/>
                <w14:textFill>
                  <w14:solidFill>
                    <w14:schemeClr w14:val="tx1"/>
                  </w14:solidFill>
                </w14:textFill>
              </w:rPr>
              <w:t>320m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vertAlign w:val="baseline"/>
                <w:lang w:val="en-US" w:eastAsia="zh-CN"/>
                <w14:textFill>
                  <w14:solidFill>
                    <w14:schemeClr w14:val="tx1"/>
                  </w14:solidFill>
                </w14:textFill>
              </w:rPr>
              <w:t>，因此，本项目除新建的</w:t>
            </w:r>
            <w:r>
              <w:rPr>
                <w:rFonts w:hint="eastAsia" w:cs="Times New Roman"/>
                <w:b w:val="0"/>
                <w:bCs/>
                <w:color w:val="000000" w:themeColor="text1"/>
                <w:szCs w:val="24"/>
                <w:highlight w:val="none"/>
                <w:lang w:val="en-US" w:eastAsia="zh-CN"/>
                <w14:textFill>
                  <w14:solidFill>
                    <w14:schemeClr w14:val="tx1"/>
                  </w14:solidFill>
                </w14:textFill>
              </w:rPr>
              <w:t>一座230m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Cs w:val="24"/>
                <w:highlight w:val="none"/>
                <w14:textFill>
                  <w14:solidFill>
                    <w14:schemeClr w14:val="tx1"/>
                  </w14:solidFill>
                </w14:textFill>
              </w:rPr>
              <w:t>预沉调节池</w:t>
            </w:r>
            <w:r>
              <w:rPr>
                <w:rFonts w:hint="eastAsia" w:ascii="Times New Roman" w:hAnsi="Times New Roman" w:cs="Times New Roman"/>
                <w:b w:val="0"/>
                <w:bCs/>
                <w:color w:val="000000" w:themeColor="text1"/>
                <w:szCs w:val="24"/>
                <w:highlight w:val="none"/>
                <w:lang w:eastAsia="zh-CN"/>
                <w14:textFill>
                  <w14:solidFill>
                    <w14:schemeClr w14:val="tx1"/>
                  </w14:solidFill>
                </w14:textFill>
              </w:rPr>
              <w:t>外，原有的</w:t>
            </w:r>
            <w:r>
              <w:rPr>
                <w:rFonts w:hint="eastAsia" w:cs="Times New Roman"/>
                <w:b w:val="0"/>
                <w:bCs/>
                <w:color w:val="000000" w:themeColor="text1"/>
                <w:szCs w:val="24"/>
                <w:highlight w:val="none"/>
                <w:lang w:val="en-US" w:eastAsia="zh-CN"/>
                <w14:textFill>
                  <w14:solidFill>
                    <w14:schemeClr w14:val="tx1"/>
                  </w14:solidFill>
                </w14:textFill>
              </w:rPr>
              <w:t>一座150m</w:t>
            </w:r>
            <w:r>
              <w:rPr>
                <w:rFonts w:hint="eastAsia" w:cs="Times New Roman"/>
                <w:b w:val="0"/>
                <w:bCs/>
                <w:color w:val="000000" w:themeColor="text1"/>
                <w:szCs w:val="24"/>
                <w:highlight w:val="none"/>
                <w:vertAlign w:val="superscript"/>
                <w:lang w:val="en-US" w:eastAsia="zh-CN"/>
                <w14:textFill>
                  <w14:solidFill>
                    <w14:schemeClr w14:val="tx1"/>
                  </w14:solidFill>
                </w14:textFill>
              </w:rPr>
              <w:t>3</w:t>
            </w:r>
            <w:r>
              <w:rPr>
                <w:rFonts w:hint="eastAsia" w:cs="Times New Roman"/>
                <w:b w:val="0"/>
                <w:bCs/>
                <w:color w:val="000000" w:themeColor="text1"/>
                <w:szCs w:val="24"/>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Cs w:val="24"/>
                <w:highlight w:val="none"/>
                <w14:textFill>
                  <w14:solidFill>
                    <w14:schemeClr w14:val="tx1"/>
                  </w14:solidFill>
                </w14:textFill>
              </w:rPr>
              <w:t>预沉调节池</w:t>
            </w:r>
            <w:r>
              <w:rPr>
                <w:rFonts w:hint="eastAsia" w:ascii="Times New Roman" w:hAnsi="Times New Roman" w:cs="Times New Roman"/>
                <w:b w:val="0"/>
                <w:bCs/>
                <w:color w:val="000000" w:themeColor="text1"/>
                <w:szCs w:val="24"/>
                <w:highlight w:val="none"/>
                <w:lang w:eastAsia="zh-CN"/>
                <w14:textFill>
                  <w14:solidFill>
                    <w14:schemeClr w14:val="tx1"/>
                  </w14:solidFill>
                </w14:textFill>
              </w:rPr>
              <w:t>也可以依托。</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3.7平面布置图</w:t>
            </w:r>
          </w:p>
          <w:p>
            <w:pPr>
              <w:spacing w:line="480" w:lineRule="exact"/>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本次矿井水提标改造工程在企业现有矿井水处理站的基础上进行，</w:t>
            </w:r>
            <w:r>
              <w:rPr>
                <w:rFonts w:hint="eastAsia" w:cs="Times New Roman"/>
                <w:bCs/>
                <w:color w:val="000000" w:themeColor="text1"/>
                <w:kern w:val="0"/>
                <w:highlight w:val="none"/>
                <w:lang w:eastAsia="zh-CN"/>
                <w14:textFill>
                  <w14:solidFill>
                    <w14:schemeClr w14:val="tx1"/>
                  </w14:solidFill>
                </w14:textFill>
              </w:rPr>
              <w:t>本项目</w:t>
            </w:r>
            <w:r>
              <w:rPr>
                <w:rFonts w:hint="default" w:ascii="Times New Roman" w:hAnsi="Times New Roman" w:eastAsia="宋体" w:cs="Times New Roman"/>
                <w:bCs/>
                <w:color w:val="000000" w:themeColor="text1"/>
                <w:kern w:val="0"/>
                <w:highlight w:val="none"/>
                <w14:textFill>
                  <w14:solidFill>
                    <w14:schemeClr w14:val="tx1"/>
                  </w14:solidFill>
                </w14:textFill>
              </w:rPr>
              <w:t>平面布置见附图</w:t>
            </w:r>
            <w:r>
              <w:rPr>
                <w:rFonts w:hint="eastAsia" w:cs="Times New Roman"/>
                <w:bCs/>
                <w:color w:val="000000" w:themeColor="text1"/>
                <w:kern w:val="0"/>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highlight w:val="none"/>
                <w14:textFill>
                  <w14:solidFill>
                    <w14:schemeClr w14:val="tx1"/>
                  </w14:solidFill>
                </w14:textFill>
              </w:rPr>
              <w:t>。</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3.8工程设计</w:t>
            </w:r>
            <w:r>
              <w:rPr>
                <w:rFonts w:hint="eastAsia" w:cs="Times New Roman"/>
                <w:b/>
                <w:color w:val="000000" w:themeColor="text1"/>
                <w:szCs w:val="24"/>
                <w:highlight w:val="none"/>
                <w:lang w:eastAsia="zh-CN"/>
                <w14:textFill>
                  <w14:solidFill>
                    <w14:schemeClr w14:val="tx1"/>
                  </w14:solidFill>
                </w14:textFill>
              </w:rPr>
              <w:t>进</w:t>
            </w:r>
            <w:r>
              <w:rPr>
                <w:rFonts w:hint="default" w:ascii="Times New Roman" w:hAnsi="Times New Roman" w:eastAsia="宋体" w:cs="Times New Roman"/>
                <w:b/>
                <w:color w:val="000000" w:themeColor="text1"/>
                <w:szCs w:val="24"/>
                <w:highlight w:val="none"/>
                <w14:textFill>
                  <w14:solidFill>
                    <w14:schemeClr w14:val="tx1"/>
                  </w14:solidFill>
                </w14:textFill>
              </w:rPr>
              <w:t>出水水质</w:t>
            </w:r>
          </w:p>
          <w:p>
            <w:pPr>
              <w:spacing w:line="480" w:lineRule="exact"/>
              <w:ind w:firstLine="480"/>
              <w:rPr>
                <w:rFonts w:hint="default" w:ascii="Times New Roman" w:hAnsi="Times New Roman" w:eastAsia="宋体" w:cs="Times New Roman"/>
                <w:bCs/>
                <w:color w:val="000000" w:themeColor="text1"/>
                <w:kern w:val="0"/>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山西朔州平鲁区兰花永胜煤业有限公司</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矿井水处理提标改造工程的</w:t>
            </w:r>
            <w:r>
              <w:rPr>
                <w:rFonts w:hint="eastAsia" w:cs="Times New Roman"/>
                <w:bCs/>
                <w:color w:val="000000" w:themeColor="text1"/>
                <w:kern w:val="0"/>
                <w:highlight w:val="none"/>
                <w:lang w:val="en-US" w:eastAsia="zh-CN"/>
                <w14:textFill>
                  <w14:solidFill>
                    <w14:schemeClr w14:val="tx1"/>
                  </w14:solidFill>
                </w14:textFill>
              </w:rPr>
              <w:t>进</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出水水质</w:t>
            </w:r>
            <w:r>
              <w:rPr>
                <w:rFonts w:hint="eastAsia" w:cs="Times New Roman"/>
                <w:bCs/>
                <w:color w:val="000000" w:themeColor="text1"/>
                <w:kern w:val="0"/>
                <w:highlight w:val="none"/>
                <w:lang w:val="en-US" w:eastAsia="zh-CN"/>
                <w14:textFill>
                  <w14:solidFill>
                    <w14:schemeClr w14:val="tx1"/>
                  </w14:solidFill>
                </w14:textFill>
              </w:rPr>
              <w:t>的</w:t>
            </w:r>
            <w:r>
              <w:rPr>
                <w:rFonts w:hint="default" w:ascii="Times New Roman" w:hAnsi="Times New Roman" w:eastAsia="宋体" w:cs="Times New Roman"/>
                <w:bCs/>
                <w:color w:val="000000" w:themeColor="text1"/>
                <w:kern w:val="0"/>
                <w:highlight w:val="none"/>
                <w14:textFill>
                  <w14:solidFill>
                    <w14:schemeClr w14:val="tx1"/>
                  </w14:solidFill>
                </w14:textFill>
              </w:rPr>
              <w:t>各项指标具体情况见下表：</w:t>
            </w:r>
          </w:p>
          <w:p>
            <w:pPr>
              <w:spacing w:line="480" w:lineRule="exact"/>
              <w:ind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表1-4  矿井水出水水质情况一览表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3662"/>
              <w:gridCol w:w="2219"/>
              <w:gridCol w:w="2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序号</w:t>
                  </w:r>
                </w:p>
              </w:tc>
              <w:tc>
                <w:tcPr>
                  <w:tcW w:w="2026" w:type="pct"/>
                  <w:vAlign w:val="center"/>
                </w:tcPr>
                <w:p>
                  <w:pPr>
                    <w:pStyle w:val="23"/>
                    <w:spacing w:after="0" w:line="320" w:lineRule="exac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污染物</w:t>
                  </w:r>
                </w:p>
              </w:tc>
              <w:tc>
                <w:tcPr>
                  <w:tcW w:w="1228" w:type="pct"/>
                  <w:vAlign w:val="center"/>
                </w:tcPr>
                <w:p>
                  <w:pPr>
                    <w:pStyle w:val="23"/>
                    <w:spacing w:after="0" w:line="320" w:lineRule="exac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进</w:t>
                  </w:r>
                  <w:r>
                    <w:rPr>
                      <w:rFonts w:hint="default" w:ascii="Times New Roman" w:hAnsi="Times New Roman" w:eastAsia="宋体" w:cs="Times New Roman"/>
                      <w:b/>
                      <w:bCs/>
                      <w:color w:val="000000" w:themeColor="text1"/>
                      <w:szCs w:val="21"/>
                      <w:highlight w:val="none"/>
                      <w14:textFill>
                        <w14:solidFill>
                          <w14:schemeClr w14:val="tx1"/>
                        </w14:solidFill>
                      </w14:textFill>
                    </w:rPr>
                    <w:t>水</w:t>
                  </w:r>
                </w:p>
              </w:tc>
              <w:tc>
                <w:tcPr>
                  <w:tcW w:w="1230" w:type="pct"/>
                  <w:vAlign w:val="center"/>
                </w:tcPr>
                <w:p>
                  <w:pPr>
                    <w:pStyle w:val="23"/>
                    <w:spacing w:after="0" w:line="320" w:lineRule="exact"/>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t>出</w:t>
                  </w:r>
                  <w:r>
                    <w:rPr>
                      <w:rFonts w:hint="default" w:ascii="Times New Roman" w:hAnsi="Times New Roman" w:eastAsia="宋体" w:cs="Times New Roman"/>
                      <w:b/>
                      <w:bCs/>
                      <w:color w:val="000000" w:themeColor="text1"/>
                      <w:szCs w:val="21"/>
                      <w:highlight w:val="none"/>
                      <w14:textFill>
                        <w14:solidFill>
                          <w14:schemeClr w14:val="tx1"/>
                        </w14:solidFill>
                      </w14:textFill>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1</w:t>
                  </w:r>
                </w:p>
              </w:tc>
              <w:tc>
                <w:tcPr>
                  <w:tcW w:w="2026"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PH（无量纲）</w:t>
                  </w:r>
                </w:p>
              </w:tc>
              <w:tc>
                <w:tcPr>
                  <w:tcW w:w="1228"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6~9</w:t>
                  </w:r>
                </w:p>
              </w:tc>
              <w:tc>
                <w:tcPr>
                  <w:tcW w:w="1230"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2</w:t>
                  </w:r>
                </w:p>
              </w:tc>
              <w:tc>
                <w:tcPr>
                  <w:tcW w:w="2026"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10"/>
                      <w:szCs w:val="21"/>
                      <w:highlight w:val="none"/>
                      <w14:textFill>
                        <w14:solidFill>
                          <w14:schemeClr w14:val="tx1"/>
                        </w14:solidFill>
                      </w14:textFill>
                    </w:rPr>
                    <w:t>COD</w:t>
                  </w:r>
                  <w:r>
                    <w:rPr>
                      <w:rFonts w:hint="default" w:ascii="Times New Roman" w:hAnsi="Times New Roman" w:eastAsia="宋体" w:cs="Times New Roman"/>
                      <w:b w:val="0"/>
                      <w:bCs w:val="0"/>
                      <w:color w:val="000000" w:themeColor="text1"/>
                      <w:spacing w:val="10"/>
                      <w:szCs w:val="21"/>
                      <w:highlight w:val="none"/>
                      <w:vertAlign w:val="subscript"/>
                      <w14:textFill>
                        <w14:solidFill>
                          <w14:schemeClr w14:val="tx1"/>
                        </w14:solidFill>
                      </w14:textFill>
                    </w:rPr>
                    <w:t>cr</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（mg/L）</w:t>
                  </w:r>
                </w:p>
              </w:tc>
              <w:tc>
                <w:tcPr>
                  <w:tcW w:w="1228"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≤40</w:t>
                  </w:r>
                </w:p>
              </w:tc>
              <w:tc>
                <w:tcPr>
                  <w:tcW w:w="1230"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3</w:t>
                  </w:r>
                </w:p>
              </w:tc>
              <w:tc>
                <w:tcPr>
                  <w:tcW w:w="2026"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NH</w:t>
                  </w:r>
                  <w:r>
                    <w:rPr>
                      <w:rFonts w:hint="default" w:ascii="Times New Roman" w:hAnsi="Times New Roman" w:eastAsia="宋体" w:cs="Times New Roman"/>
                      <w:b w:val="0"/>
                      <w:bCs w:val="0"/>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-N（mg/L）</w:t>
                  </w:r>
                </w:p>
              </w:tc>
              <w:tc>
                <w:tcPr>
                  <w:tcW w:w="1228"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≤1.14</w:t>
                  </w:r>
                </w:p>
              </w:tc>
              <w:tc>
                <w:tcPr>
                  <w:tcW w:w="1230"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4</w:t>
                  </w:r>
                </w:p>
              </w:tc>
              <w:tc>
                <w:tcPr>
                  <w:tcW w:w="2026"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TP（mg/L）</w:t>
                  </w:r>
                </w:p>
              </w:tc>
              <w:tc>
                <w:tcPr>
                  <w:tcW w:w="1228"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≤0.2</w:t>
                  </w:r>
                </w:p>
              </w:tc>
              <w:tc>
                <w:tcPr>
                  <w:tcW w:w="1230"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5" w:type="pct"/>
                  <w:vAlign w:val="center"/>
                </w:tcPr>
                <w:p>
                  <w:pPr>
                    <w:pStyle w:val="23"/>
                    <w:spacing w:after="0" w:line="320" w:lineRule="exact"/>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5</w:t>
                  </w:r>
                </w:p>
              </w:tc>
              <w:tc>
                <w:tcPr>
                  <w:tcW w:w="2026"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SS</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（mg/L）</w:t>
                  </w:r>
                </w:p>
              </w:tc>
              <w:tc>
                <w:tcPr>
                  <w:tcW w:w="1228" w:type="pct"/>
                  <w:vAlign w:val="center"/>
                </w:tcPr>
                <w:p>
                  <w:pPr>
                    <w:pStyle w:val="23"/>
                    <w:spacing w:after="0" w:line="320" w:lineRule="exact"/>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≤1500</w:t>
                  </w:r>
                </w:p>
              </w:tc>
              <w:tc>
                <w:tcPr>
                  <w:tcW w:w="1230" w:type="pct"/>
                  <w:vAlign w:val="center"/>
                </w:tcPr>
                <w:p>
                  <w:pPr>
                    <w:pStyle w:val="23"/>
                    <w:spacing w:after="0" w:line="320" w:lineRule="exact"/>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w:t>
                  </w:r>
                </w:p>
              </w:tc>
            </w:tr>
          </w:tbl>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szCs w:val="24"/>
                <w:highlight w:val="none"/>
                <w14:textFill>
                  <w14:solidFill>
                    <w14:schemeClr w14:val="tx1"/>
                  </w14:solidFill>
                </w14:textFill>
              </w:rPr>
              <w:t>项目受纳水体概况</w:t>
            </w:r>
          </w:p>
          <w:p>
            <w:pPr>
              <w:spacing w:line="480" w:lineRule="exact"/>
              <w:ind w:firstLine="480"/>
              <w:rPr>
                <w:rFonts w:hint="default" w:ascii="Times New Roman" w:hAnsi="Times New Roman" w:eastAsia="宋体" w:cs="Times New Roman"/>
                <w:bCs/>
                <w:color w:val="000000" w:themeColor="text1"/>
                <w:kern w:val="0"/>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本项目直接纳污水体为</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大沙沟</w:t>
            </w:r>
            <w:r>
              <w:rPr>
                <w:rFonts w:hint="default" w:ascii="Times New Roman" w:hAnsi="Times New Roman" w:eastAsia="宋体" w:cs="Times New Roman"/>
                <w:bCs/>
                <w:color w:val="000000" w:themeColor="text1"/>
                <w:kern w:val="0"/>
                <w:highlight w:val="none"/>
                <w14:textFill>
                  <w14:solidFill>
                    <w14:schemeClr w14:val="tx1"/>
                  </w14:solidFill>
                </w14:textFill>
              </w:rPr>
              <w:t>，然后</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向东排入源子河</w:t>
            </w:r>
            <w:r>
              <w:rPr>
                <w:rFonts w:hint="default" w:ascii="Times New Roman" w:hAnsi="Times New Roman" w:eastAsia="宋体" w:cs="Times New Roman"/>
                <w:bCs/>
                <w:color w:val="000000" w:themeColor="text1"/>
                <w:kern w:val="0"/>
                <w:highlight w:val="none"/>
                <w14:textFill>
                  <w14:solidFill>
                    <w14:schemeClr w14:val="tx1"/>
                  </w14:solidFill>
                </w14:textFill>
              </w:rPr>
              <w:t>，最后进入桑干河。</w:t>
            </w:r>
          </w:p>
          <w:p>
            <w:pPr>
              <w:spacing w:line="480" w:lineRule="exact"/>
              <w:ind w:firstLine="480"/>
              <w:rPr>
                <w:rFonts w:hint="default" w:ascii="Times New Roman" w:hAnsi="Times New Roman" w:eastAsia="宋体" w:cs="Times New Roman"/>
                <w:bCs/>
                <w:color w:val="000000" w:themeColor="text1"/>
                <w:kern w:val="0"/>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根据《山西省地表水功能区划》（DB14/67-2019），本项目所在区域地表水属源子河（北汉井——桑干河入口），环境功能为工业用水保护，执行《地表水环境质量标准》（GB3838-2002）中Ⅳ类标准。</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3.1</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0</w:t>
            </w:r>
            <w:r>
              <w:rPr>
                <w:rFonts w:hint="eastAsia" w:cs="Times New Roman"/>
                <w:b/>
                <w:color w:val="000000" w:themeColor="text1"/>
                <w:szCs w:val="24"/>
                <w:highlight w:val="none"/>
                <w:lang w:val="en-US" w:eastAsia="zh-CN"/>
                <w14:textFill>
                  <w14:solidFill>
                    <w14:schemeClr w14:val="tx1"/>
                  </w14:solidFill>
                </w14:textFill>
              </w:rPr>
              <w:t>本次</w:t>
            </w:r>
            <w:r>
              <w:rPr>
                <w:rFonts w:hint="default" w:ascii="Times New Roman" w:hAnsi="Times New Roman" w:eastAsia="宋体" w:cs="Times New Roman"/>
                <w:b/>
                <w:color w:val="000000" w:themeColor="text1"/>
                <w:szCs w:val="24"/>
                <w:highlight w:val="none"/>
                <w14:textFill>
                  <w14:solidFill>
                    <w14:schemeClr w14:val="tx1"/>
                  </w14:solidFill>
                </w14:textFill>
              </w:rPr>
              <w:t>主要构筑物和设备清单</w:t>
            </w:r>
          </w:p>
          <w:p>
            <w:pPr>
              <w:spacing w:line="48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新增一座170m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的调节池，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default" w:ascii="Times New Roman" w:hAnsi="Times New Roman" w:eastAsia="宋体" w:cs="Times New Roman"/>
                <w:color w:val="000000" w:themeColor="text1"/>
                <w:sz w:val="24"/>
                <w:szCs w:val="24"/>
                <w:highlight w:val="none"/>
                <w14:textFill>
                  <w14:solidFill>
                    <w14:schemeClr w14:val="tx1"/>
                  </w14:solidFill>
                </w14:textFill>
              </w:rPr>
              <w:t>工业场地现有的矿井水处理站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的</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脉冲式旋流澄清净水装置改造为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/h，此外</w:t>
            </w:r>
            <w:r>
              <w:rPr>
                <w:rFonts w:hint="eastAsia" w:cs="Times New Roman"/>
                <w:bCs/>
                <w:color w:val="000000" w:themeColor="text1"/>
                <w:highlight w:val="none"/>
                <w:lang w:eastAsia="zh-CN"/>
                <w14:textFill>
                  <w14:solidFill>
                    <w14:schemeClr w14:val="tx1"/>
                  </w14:solidFill>
                </w14:textFill>
              </w:rPr>
              <w:t>两套</w:t>
            </w:r>
            <w:r>
              <w:rPr>
                <w:rFonts w:hint="default" w:ascii="Times New Roman" w:hAnsi="Times New Roman" w:eastAsia="宋体" w:cs="Times New Roman"/>
                <w:bCs/>
                <w:color w:val="000000" w:themeColor="text1"/>
                <w:highlight w:val="none"/>
                <w:lang w:eastAsia="zh-CN"/>
                <w14:textFill>
                  <w14:solidFill>
                    <w14:schemeClr w14:val="tx1"/>
                  </w14:solidFill>
                </w14:textFill>
              </w:rPr>
              <w:t>矿井水深度处理</w:t>
            </w:r>
            <w:r>
              <w:rPr>
                <w:rFonts w:hint="eastAsia" w:cs="Times New Roman"/>
                <w:bCs/>
                <w:color w:val="000000" w:themeColor="text1"/>
                <w:highlight w:val="none"/>
                <w:lang w:eastAsia="zh-CN"/>
                <w14:textFill>
                  <w14:solidFill>
                    <w14:schemeClr w14:val="tx1"/>
                  </w14:solidFill>
                </w14:textFill>
              </w:rPr>
              <w:t>设备，均采用超滤的深度处理工艺，其中一套处理能力为</w:t>
            </w:r>
            <w:r>
              <w:rPr>
                <w:rFonts w:hint="eastAsia"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另外一套处理能力为</w:t>
            </w:r>
            <w:r>
              <w:rPr>
                <w:rFonts w:hint="eastAsia" w:cs="Times New Roman"/>
                <w:bCs/>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本项目完成后，矿井水处理站的</w:t>
            </w:r>
            <w:r>
              <w:rPr>
                <w:rFonts w:hint="default" w:ascii="Times New Roman" w:hAnsi="Times New Roman" w:eastAsia="宋体" w:cs="Times New Roman"/>
                <w:bCs/>
                <w:color w:val="000000" w:themeColor="text1"/>
                <w:highlight w:val="none"/>
                <w:lang w:eastAsia="zh-CN"/>
                <w14:textFill>
                  <w14:solidFill>
                    <w14:schemeClr w14:val="tx1"/>
                  </w14:solidFill>
                </w14:textFill>
              </w:rPr>
              <w:t>处理工艺</w:t>
            </w:r>
            <w:r>
              <w:rPr>
                <w:rFonts w:hint="eastAsia" w:cs="Times New Roman"/>
                <w:bCs/>
                <w:color w:val="000000" w:themeColor="text1"/>
                <w:highlight w:val="none"/>
                <w:lang w:eastAsia="zh-CN"/>
                <w14:textFill>
                  <w14:solidFill>
                    <w14:schemeClr w14:val="tx1"/>
                  </w14:solidFill>
                </w14:textFill>
              </w:rPr>
              <w:t>变</w:t>
            </w:r>
            <w:r>
              <w:rPr>
                <w:rFonts w:hint="default" w:ascii="Times New Roman" w:hAnsi="Times New Roman" w:eastAsia="宋体" w:cs="Times New Roman"/>
                <w:bCs/>
                <w:color w:val="000000" w:themeColor="text1"/>
                <w:highlight w:val="none"/>
                <w14:textFill>
                  <w14:solidFill>
                    <w14:schemeClr w14:val="tx1"/>
                  </w14:solidFill>
                </w14:textFill>
              </w:rPr>
              <w:t>为“</w:t>
            </w:r>
            <w:r>
              <w:rPr>
                <w:rFonts w:hint="eastAsia" w:cs="Times New Roman"/>
                <w:color w:val="000000" w:themeColor="text1"/>
                <w:highlight w:val="none"/>
                <w:lang w:eastAsia="zh-CN"/>
                <w14:textFill>
                  <w14:solidFill>
                    <w14:schemeClr w14:val="tx1"/>
                  </w14:solidFill>
                </w14:textFill>
              </w:rPr>
              <w:t>调节、混凝、沉淀、过滤、超滤、消毒</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本次建设内容及设备</w:t>
            </w:r>
            <w:r>
              <w:rPr>
                <w:rFonts w:hint="eastAsia" w:cs="Times New Roman"/>
                <w:color w:val="000000" w:themeColor="text1"/>
                <w:sz w:val="24"/>
                <w:szCs w:val="24"/>
                <w:highlight w:val="none"/>
                <w:lang w:val="en-US" w:eastAsia="zh-CN"/>
                <w14:textFill>
                  <w14:solidFill>
                    <w14:schemeClr w14:val="tx1"/>
                  </w14:solidFill>
                </w14:textFill>
              </w:rPr>
              <w:t>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下表。</w:t>
            </w:r>
          </w:p>
          <w:p>
            <w:pPr>
              <w:spacing w:line="480" w:lineRule="atLeast"/>
              <w:ind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表1-5  </w:t>
            </w:r>
            <w:r>
              <w:rPr>
                <w:rFonts w:hint="eastAsia" w:cs="Times New Roman"/>
                <w:b/>
                <w:bCs/>
                <w:kern w:val="2"/>
                <w:sz w:val="24"/>
                <w:szCs w:val="24"/>
                <w:lang w:val="en-US" w:eastAsia="zh-CN" w:bidi="ar-SA"/>
              </w:rPr>
              <w:t>本次</w:t>
            </w:r>
            <w:r>
              <w:rPr>
                <w:rFonts w:hint="default" w:ascii="Times New Roman" w:hAnsi="Times New Roman" w:eastAsia="宋体" w:cs="Times New Roman"/>
                <w:b/>
                <w:bCs/>
                <w:kern w:val="2"/>
                <w:sz w:val="24"/>
                <w:szCs w:val="24"/>
                <w:lang w:val="en-US" w:eastAsia="zh-CN" w:bidi="ar-SA"/>
              </w:rPr>
              <w:t>矿井水处理站</w:t>
            </w:r>
            <w:r>
              <w:rPr>
                <w:rFonts w:hint="eastAsia" w:cs="Times New Roman"/>
                <w:b/>
                <w:bCs/>
                <w:kern w:val="2"/>
                <w:sz w:val="24"/>
                <w:szCs w:val="24"/>
                <w:lang w:val="en-US" w:eastAsia="zh-CN" w:bidi="ar-SA"/>
              </w:rPr>
              <w:t>提标改造工程</w:t>
            </w:r>
            <w:r>
              <w:rPr>
                <w:rFonts w:hint="default" w:ascii="Times New Roman" w:hAnsi="Times New Roman" w:eastAsia="宋体" w:cs="Times New Roman"/>
                <w:b/>
                <w:bCs/>
                <w:kern w:val="2"/>
                <w:sz w:val="24"/>
                <w:szCs w:val="24"/>
                <w:lang w:val="en-US" w:eastAsia="zh-CN" w:bidi="ar-SA"/>
              </w:rPr>
              <w:t>主要设备清单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65"/>
              <w:gridCol w:w="1528"/>
              <w:gridCol w:w="4472"/>
              <w:gridCol w:w="624"/>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序号</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名称</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规格</w:t>
                  </w:r>
                </w:p>
              </w:tc>
              <w:tc>
                <w:tcPr>
                  <w:tcW w:w="345" w:type="pct"/>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数量</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644" w:type="pct"/>
                  <w:vMerge w:val="restart"/>
                  <w:noWrap/>
                  <w:tcMar>
                    <w:top w:w="15" w:type="dxa"/>
                    <w:left w:w="15" w:type="dxa"/>
                    <w:bottom w:w="0" w:type="dxa"/>
                    <w:right w:w="15" w:type="dxa"/>
                  </w:tcMar>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一、</w:t>
                  </w:r>
                </w:p>
              </w:tc>
              <w:tc>
                <w:tcPr>
                  <w:tcW w:w="845" w:type="pct"/>
                  <w:vMerge w:val="restar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调节池</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，碳钢防渗</w:t>
                  </w:r>
                </w:p>
              </w:tc>
              <w:tc>
                <w:tcPr>
                  <w:tcW w:w="3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1座</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44" w:type="pct"/>
                  <w:vMerge w:val="continue"/>
                  <w:noWrap/>
                  <w:tcMar>
                    <w:top w:w="15" w:type="dxa"/>
                    <w:left w:w="15" w:type="dxa"/>
                    <w:bottom w:w="0" w:type="dxa"/>
                    <w:right w:w="15" w:type="dxa"/>
                  </w:tcMar>
                  <w:vAlign w:val="center"/>
                </w:tcPr>
                <w:p>
                  <w:pPr>
                    <w:spacing w:line="320" w:lineRule="exact"/>
                    <w:ind w:firstLine="0" w:firstLineChars="0"/>
                    <w:jc w:val="center"/>
                    <w:rPr>
                      <w:rFonts w:hint="eastAsia" w:cs="Times New Roman"/>
                      <w:bCs/>
                      <w:color w:val="000000" w:themeColor="text1"/>
                      <w:kern w:val="0"/>
                      <w:sz w:val="21"/>
                      <w:szCs w:val="21"/>
                      <w:highlight w:val="none"/>
                      <w:lang w:eastAsia="zh-CN"/>
                      <w14:textFill>
                        <w14:solidFill>
                          <w14:schemeClr w14:val="tx1"/>
                        </w14:solidFill>
                      </w14:textFill>
                    </w:rPr>
                  </w:pPr>
                </w:p>
              </w:tc>
              <w:tc>
                <w:tcPr>
                  <w:tcW w:w="845" w:type="pct"/>
                  <w:vMerge w:val="continue"/>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，碳钢防渗</w:t>
                  </w:r>
                </w:p>
              </w:tc>
              <w:tc>
                <w:tcPr>
                  <w:tcW w:w="3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1座</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一级提升泵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z w:val="21"/>
                      <w:szCs w:val="21"/>
                      <w:highlight w:val="none"/>
                    </w:rPr>
                    <w:t>Q=</w:t>
                  </w:r>
                  <w:r>
                    <w:rPr>
                      <w:rFonts w:hint="eastAsia" w:cs="Times New Roman"/>
                      <w:sz w:val="21"/>
                      <w:szCs w:val="21"/>
                      <w:highlight w:val="none"/>
                      <w:lang w:val="en-US" w:eastAsia="zh-CN"/>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w:t>
                  </w:r>
                  <w:r>
                    <w:rPr>
                      <w:rFonts w:hint="eastAsia" w:cs="Times New Roman"/>
                      <w:sz w:val="21"/>
                      <w:szCs w:val="21"/>
                      <w:highlight w:val="none"/>
                      <w:lang w:val="en-US" w:eastAsia="zh-CN"/>
                    </w:rPr>
                    <w:t>h</w:t>
                  </w:r>
                  <w:r>
                    <w:rPr>
                      <w:rFonts w:hint="default" w:ascii="Times New Roman" w:hAnsi="Times New Roman" w:eastAsia="宋体" w:cs="Times New Roman"/>
                      <w:sz w:val="21"/>
                      <w:szCs w:val="21"/>
                      <w:highlight w:val="none"/>
                    </w:rPr>
                    <w:t>，H=2</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m，N=</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rPr>
                    <w:t>kw</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新增一台库备，</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二、</w:t>
                  </w:r>
                </w:p>
              </w:tc>
              <w:tc>
                <w:tcPr>
                  <w:tcW w:w="4355" w:type="pct"/>
                  <w:gridSpan w:val="4"/>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综合车间（</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19.5*9.3m，轻钢结构</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2.1</w:t>
                  </w:r>
                </w:p>
              </w:tc>
              <w:tc>
                <w:tcPr>
                  <w:tcW w:w="4355" w:type="pct"/>
                  <w:gridSpan w:val="4"/>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预处理（</w:t>
                  </w:r>
                  <w:r>
                    <w:rPr>
                      <w:rFonts w:hint="default" w:ascii="Times New Roman" w:hAnsi="Times New Roman" w:eastAsia="宋体" w:cs="Times New Roman"/>
                      <w:sz w:val="21"/>
                      <w:szCs w:val="21"/>
                      <w:highlight w:val="none"/>
                      <w:lang w:val="en-US" w:eastAsia="zh-CN"/>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eastAsia" w:cs="Times New Roman"/>
                      <w:bCs/>
                      <w:color w:val="000000" w:themeColor="text1"/>
                      <w:kern w:val="0"/>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2.1</w:t>
                  </w:r>
                  <w:r>
                    <w:rPr>
                      <w:rFonts w:hint="eastAsia" w:cs="Times New Roman"/>
                      <w:bCs/>
                      <w:color w:val="000000" w:themeColor="text1"/>
                      <w:kern w:val="0"/>
                      <w:sz w:val="21"/>
                      <w:szCs w:val="21"/>
                      <w:highlight w:val="none"/>
                      <w:lang w:val="en-US" w:eastAsia="zh-CN"/>
                      <w14:textFill>
                        <w14:solidFill>
                          <w14:schemeClr w14:val="tx1"/>
                        </w14:solidFill>
                      </w14:textFill>
                    </w:rPr>
                    <w:t>.1</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脉冲式旋流澄清净水装置</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default" w:ascii="Times New Roman" w:hAnsi="Times New Roman" w:eastAsia="宋体" w:cs="Times New Roman"/>
                      <w:sz w:val="21"/>
                      <w:szCs w:val="21"/>
                      <w:highlight w:val="none"/>
                      <w:lang w:eastAsia="zh-CN"/>
                    </w:rPr>
                    <w:t>直径</w:t>
                  </w:r>
                  <w:r>
                    <w:rPr>
                      <w:rFonts w:hint="default" w:ascii="Times New Roman" w:hAnsi="Times New Roman" w:eastAsia="宋体" w:cs="Times New Roman"/>
                      <w:sz w:val="21"/>
                      <w:szCs w:val="21"/>
                      <w:highlight w:val="none"/>
                      <w:lang w:val="en-US" w:eastAsia="zh-CN"/>
                    </w:rPr>
                    <w:t>5m</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644" w:type="pct"/>
                  <w:vMerge w:val="restar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p>
              </w:tc>
              <w:tc>
                <w:tcPr>
                  <w:tcW w:w="845" w:type="pct"/>
                  <w:vMerge w:val="restar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旋流变数混合器</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highlight w:val="none"/>
                      <w:shd w:val="clear" w:fill="FFFFFF"/>
                    </w:rPr>
                    <w:t>Φ</w:t>
                  </w:r>
                  <w:r>
                    <w:rPr>
                      <w:rFonts w:hint="default" w:ascii="Times New Roman" w:hAnsi="Times New Roman" w:eastAsia="宋体" w:cs="Times New Roman"/>
                      <w:b w:val="0"/>
                      <w:i w:val="0"/>
                      <w:caps w:val="0"/>
                      <w:color w:val="333333"/>
                      <w:spacing w:val="0"/>
                      <w:sz w:val="21"/>
                      <w:szCs w:val="21"/>
                      <w:highlight w:val="none"/>
                      <w:shd w:val="clear" w:fill="FFFFFF"/>
                      <w:lang w:val="en-US" w:eastAsia="zh-CN"/>
                    </w:rPr>
                    <w:t>=600mm，碳钢防腐</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644" w:type="pct"/>
                  <w:vMerge w:val="continue"/>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845" w:type="pct"/>
                  <w:vMerge w:val="continue"/>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val="0"/>
                      <w:i w:val="0"/>
                      <w:caps w:val="0"/>
                      <w:color w:val="333333"/>
                      <w:spacing w:val="0"/>
                      <w:sz w:val="21"/>
                      <w:szCs w:val="21"/>
                      <w:highlight w:val="none"/>
                      <w:shd w:val="clear" w:fill="FFFFFF"/>
                    </w:rPr>
                  </w:pPr>
                  <w:r>
                    <w:rPr>
                      <w:rFonts w:hint="default" w:ascii="Times New Roman" w:hAnsi="Times New Roman" w:eastAsia="宋体" w:cs="Times New Roman"/>
                      <w:b w:val="0"/>
                      <w:i w:val="0"/>
                      <w:caps w:val="0"/>
                      <w:color w:val="333333"/>
                      <w:spacing w:val="0"/>
                      <w:sz w:val="21"/>
                      <w:szCs w:val="21"/>
                      <w:highlight w:val="none"/>
                      <w:shd w:val="clear" w:fill="FFFFFF"/>
                    </w:rPr>
                    <w:t>Φ</w:t>
                  </w:r>
                  <w:r>
                    <w:rPr>
                      <w:rFonts w:hint="default" w:ascii="Times New Roman" w:hAnsi="Times New Roman" w:eastAsia="宋体" w:cs="Times New Roman"/>
                      <w:b w:val="0"/>
                      <w:i w:val="0"/>
                      <w:caps w:val="0"/>
                      <w:color w:val="333333"/>
                      <w:spacing w:val="0"/>
                      <w:sz w:val="21"/>
                      <w:szCs w:val="21"/>
                      <w:highlight w:val="none"/>
                      <w:shd w:val="clear" w:fill="FFFFFF"/>
                      <w:lang w:val="en-US" w:eastAsia="zh-CN"/>
                    </w:rPr>
                    <w:t>=800mm，碳钢防腐</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混凝剂加药设备</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YJB-PAC，160L/H，加药箱1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4</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助凝剂加药设备</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YJB-PAM</w:t>
                  </w:r>
                  <w:r>
                    <w:rPr>
                      <w:rFonts w:hint="default" w:ascii="Times New Roman" w:hAnsi="Times New Roman" w:eastAsia="宋体" w:cs="Times New Roman"/>
                      <w:sz w:val="21"/>
                      <w:szCs w:val="21"/>
                      <w:highlight w:val="none"/>
                      <w:lang w:val="en-US" w:eastAsia="zh-CN"/>
                    </w:rPr>
                    <w:t>，200L/H，加药箱1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2.2</w:t>
                  </w:r>
                </w:p>
              </w:tc>
              <w:tc>
                <w:tcPr>
                  <w:tcW w:w="4355" w:type="pct"/>
                  <w:gridSpan w:val="4"/>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污泥处理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2.2.1</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污泥提升泵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default" w:ascii="Times New Roman" w:hAnsi="Times New Roman" w:eastAsia="宋体" w:cs="Times New Roman"/>
                      <w:sz w:val="21"/>
                      <w:szCs w:val="21"/>
                      <w:highlight w:val="none"/>
                      <w:lang w:eastAsia="zh-CN"/>
                    </w:rPr>
                    <w:t>规格：</w:t>
                  </w:r>
                  <w:r>
                    <w:rPr>
                      <w:rFonts w:hint="default" w:ascii="Times New Roman" w:hAnsi="Times New Roman" w:eastAsia="宋体" w:cs="Times New Roman"/>
                      <w:sz w:val="21"/>
                      <w:szCs w:val="21"/>
                      <w:highlight w:val="none"/>
                      <w:lang w:val="en-US" w:eastAsia="zh-CN"/>
                    </w:rPr>
                    <w:t>DN25</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644" w:type="pct"/>
                  <w:vMerge w:val="restar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2.2.2</w:t>
                  </w:r>
                </w:p>
              </w:tc>
              <w:tc>
                <w:tcPr>
                  <w:tcW w:w="845" w:type="pct"/>
                  <w:vMerge w:val="restar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箱式压滤机</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液压式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630型，暗流，面积40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644" w:type="pct"/>
                  <w:vMerge w:val="continue"/>
                  <w:noWrap/>
                  <w:tcMar>
                    <w:top w:w="15" w:type="dxa"/>
                    <w:left w:w="15" w:type="dxa"/>
                    <w:bottom w:w="0" w:type="dxa"/>
                    <w:right w:w="15" w:type="dxa"/>
                  </w:tcMar>
                  <w:vAlign w:val="center"/>
                </w:tcPr>
                <w:p>
                  <w:pPr>
                    <w:spacing w:line="320" w:lineRule="exact"/>
                    <w:ind w:firstLine="0" w:firstLineChars="0"/>
                    <w:jc w:val="center"/>
                    <w:rPr>
                      <w:rFonts w:hint="eastAsia" w:cs="Times New Roman"/>
                      <w:bCs/>
                      <w:color w:val="000000" w:themeColor="text1"/>
                      <w:kern w:val="0"/>
                      <w:sz w:val="21"/>
                      <w:szCs w:val="21"/>
                      <w:highlight w:val="none"/>
                      <w:lang w:val="en-US" w:eastAsia="zh-CN"/>
                      <w14:textFill>
                        <w14:solidFill>
                          <w14:schemeClr w14:val="tx1"/>
                        </w14:solidFill>
                      </w14:textFill>
                    </w:rPr>
                  </w:pPr>
                </w:p>
              </w:tc>
              <w:tc>
                <w:tcPr>
                  <w:tcW w:w="845" w:type="pct"/>
                  <w:vMerge w:val="continue"/>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XMY30/870-30U，过滤</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面积</w:t>
                  </w:r>
                  <w:r>
                    <w:rPr>
                      <w:rFonts w:hint="eastAsia" w:cs="Times New Roman"/>
                      <w:b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bCs/>
                      <w:sz w:val="21"/>
                      <w:szCs w:val="21"/>
                      <w:highlight w:val="none"/>
                      <w:lang w:val="en-US" w:eastAsia="zh-CN"/>
                    </w:rPr>
                    <w:t>m</w:t>
                  </w:r>
                  <w:r>
                    <w:rPr>
                      <w:rFonts w:hint="default" w:ascii="Times New Roman" w:hAnsi="Times New Roman" w:eastAsia="宋体" w:cs="Times New Roman"/>
                      <w:bCs/>
                      <w:sz w:val="21"/>
                      <w:szCs w:val="21"/>
                      <w:highlight w:val="none"/>
                      <w:vertAlign w:val="superscript"/>
                      <w:lang w:val="en-US" w:eastAsia="zh-CN"/>
                    </w:rPr>
                    <w:t>2</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2.2.3</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空压机</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V-0.6/0.8</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三、</w:t>
                  </w:r>
                </w:p>
              </w:tc>
              <w:tc>
                <w:tcPr>
                  <w:tcW w:w="4355" w:type="pct"/>
                  <w:gridSpan w:val="4"/>
                  <w:noWrap/>
                  <w:tcMar>
                    <w:top w:w="15" w:type="dxa"/>
                    <w:left w:w="15" w:type="dxa"/>
                    <w:bottom w:w="0" w:type="dxa"/>
                    <w:right w:w="15" w:type="dxa"/>
                  </w:tcMar>
                  <w:vAlign w:val="center"/>
                </w:tcPr>
                <w:p>
                  <w:pPr>
                    <w:spacing w:line="320" w:lineRule="exact"/>
                    <w:ind w:firstLine="0" w:firstLineChars="0"/>
                    <w:jc w:val="center"/>
                    <w:rPr>
                      <w:rFonts w:hint="eastAsia"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深度处理（</w:t>
                  </w:r>
                  <w:r>
                    <w:rPr>
                      <w:rFonts w:hint="eastAsia" w:cs="Times New Roman"/>
                      <w:bCs/>
                      <w:color w:val="000000" w:themeColor="text1"/>
                      <w:kern w:val="0"/>
                      <w:sz w:val="2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eastAsia" w:cs="Times New Roman"/>
                      <w:bCs/>
                      <w:color w:val="000000" w:themeColor="text1"/>
                      <w:kern w:val="0"/>
                      <w:sz w:val="2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w:t>
                  </w:r>
                </w:p>
              </w:tc>
              <w:tc>
                <w:tcPr>
                  <w:tcW w:w="3318" w:type="pct"/>
                  <w:gridSpan w:val="2"/>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深度处理（</w:t>
                  </w:r>
                  <w:r>
                    <w:rPr>
                      <w:rFonts w:hint="eastAsia" w:cs="Times New Roman"/>
                      <w:bCs/>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eastAsia" w:cs="Times New Roman"/>
                      <w:bCs/>
                      <w:color w:val="000000" w:themeColor="text1"/>
                      <w:kern w:val="0"/>
                      <w:sz w:val="21"/>
                      <w:szCs w:val="21"/>
                      <w:highlight w:val="none"/>
                      <w:lang w:eastAsia="zh-CN"/>
                      <w14:textFill>
                        <w14:solidFill>
                          <w14:schemeClr w14:val="tx1"/>
                        </w14:solidFill>
                      </w14:textFill>
                    </w:rPr>
                    <w:t>）</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3.1.1</w:t>
                  </w:r>
                </w:p>
              </w:tc>
              <w:tc>
                <w:tcPr>
                  <w:tcW w:w="845" w:type="pct"/>
                  <w:tcMar>
                    <w:top w:w="15" w:type="dxa"/>
                    <w:left w:w="15" w:type="dxa"/>
                    <w:bottom w:w="0" w:type="dxa"/>
                    <w:right w:w="15" w:type="dxa"/>
                  </w:tcMar>
                  <w:vAlign w:val="center"/>
                </w:tcPr>
                <w:p>
                  <w:pPr>
                    <w:spacing w:line="320" w:lineRule="exact"/>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石英砂</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过滤器</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ZSL-1400，处理能力</w:t>
                  </w:r>
                  <w:r>
                    <w:rPr>
                      <w:rFonts w:hint="default" w:ascii="Times New Roman" w:hAnsi="Times New Roman" w:eastAsia="宋体" w:cs="Times New Roman"/>
                      <w:sz w:val="21"/>
                      <w:szCs w:val="21"/>
                      <w:highlight w:val="none"/>
                      <w:lang w:val="en-US" w:eastAsia="zh-CN"/>
                    </w:rPr>
                    <w:t>7.5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default" w:ascii="Times New Roman" w:hAnsi="Times New Roman" w:eastAsia="宋体" w:cs="Times New Roman"/>
                      <w:sz w:val="21"/>
                      <w:szCs w:val="21"/>
                      <w:highlight w:val="none"/>
                      <w:lang w:eastAsia="zh-CN"/>
                    </w:rPr>
                    <w:t>，滤料</w:t>
                  </w:r>
                  <w:r>
                    <w:rPr>
                      <w:rFonts w:hint="default" w:ascii="Times New Roman" w:hAnsi="Times New Roman" w:eastAsia="宋体" w:cs="Times New Roman"/>
                      <w:sz w:val="21"/>
                      <w:szCs w:val="21"/>
                      <w:highlight w:val="none"/>
                      <w:lang w:val="en-US" w:eastAsia="zh-CN"/>
                    </w:rPr>
                    <w:t>4.9m/h，碳钢防腐，石英砂滤料</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3.1.2</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活性炭过滤器</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ZSL-1400，处理能力15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default" w:ascii="Times New Roman" w:hAnsi="Times New Roman" w:eastAsia="宋体" w:cs="Times New Roman"/>
                      <w:sz w:val="21"/>
                      <w:szCs w:val="21"/>
                      <w:highlight w:val="none"/>
                      <w:lang w:eastAsia="zh-CN"/>
                    </w:rPr>
                    <w:t>，滤料</w:t>
                  </w:r>
                  <w:r>
                    <w:rPr>
                      <w:rFonts w:hint="default" w:ascii="Times New Roman" w:hAnsi="Times New Roman" w:eastAsia="宋体" w:cs="Times New Roman"/>
                      <w:sz w:val="21"/>
                      <w:szCs w:val="21"/>
                      <w:highlight w:val="none"/>
                      <w:lang w:val="en-US" w:eastAsia="zh-CN"/>
                    </w:rPr>
                    <w:t>9.7m/h，碳钢防腐</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3.1.3</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过滤器反洗泵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/h，H=2</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rPr>
                    <w:t>m，N=</w:t>
                  </w:r>
                  <w:r>
                    <w:rPr>
                      <w:rFonts w:hint="default" w:ascii="Times New Roman" w:hAnsi="Times New Roman" w:eastAsia="宋体" w:cs="Times New Roman"/>
                      <w:sz w:val="21"/>
                      <w:szCs w:val="21"/>
                      <w:highlight w:val="none"/>
                      <w:lang w:val="en-US" w:eastAsia="zh-CN"/>
                    </w:rPr>
                    <w:t>5.5</w:t>
                  </w:r>
                  <w:r>
                    <w:rPr>
                      <w:rFonts w:hint="default" w:ascii="Times New Roman" w:hAnsi="Times New Roman" w:eastAsia="宋体" w:cs="Times New Roman"/>
                      <w:sz w:val="21"/>
                      <w:szCs w:val="21"/>
                      <w:highlight w:val="none"/>
                    </w:rPr>
                    <w:t>kw</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3.1.4</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消毒装置</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最大加药量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20L/h，加药箱100L，</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将原有的二氧化氯消毒改为次氯酸钠成品投加设备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3.1.5</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中间水箱</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容积</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，规格1*2*5m，不锈钢组合水箱，停留时间0.5h</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1座</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3.1.6</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中间水箱</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容积</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，规格1*2*5m，不锈钢组合水箱，停留时间0.5h</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1座</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3.1.7</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超滤反洗水箱</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容积</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，规格1*2*5m，不锈钢组合水箱，反洗时间8min</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1座</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3.1.8</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过滤器提升泵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m，N=</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kw</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3.1.9</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超滤反洗泵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75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m，N=</w:t>
                  </w:r>
                  <w:r>
                    <w:rPr>
                      <w:rFonts w:hint="default" w:ascii="Times New Roman" w:hAnsi="Times New Roman" w:eastAsia="宋体" w:cs="Times New Roman"/>
                      <w:sz w:val="21"/>
                      <w:szCs w:val="21"/>
                      <w:highlight w:val="none"/>
                      <w:lang w:val="en-US" w:eastAsia="zh-CN"/>
                    </w:rPr>
                    <w:t>7.5</w:t>
                  </w:r>
                  <w:r>
                    <w:rPr>
                      <w:rFonts w:hint="default" w:ascii="Times New Roman" w:hAnsi="Times New Roman" w:eastAsia="宋体" w:cs="Times New Roman"/>
                      <w:sz w:val="21"/>
                      <w:szCs w:val="21"/>
                      <w:highlight w:val="none"/>
                    </w:rPr>
                    <w:t>kw</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3.1.10</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超滤提升泵</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z w:val="21"/>
                      <w:szCs w:val="21"/>
                      <w:highlight w:val="none"/>
                    </w:rPr>
                    <w:t>Q=</w:t>
                  </w:r>
                  <w:r>
                    <w:rPr>
                      <w:rFonts w:hint="default" w:ascii="Times New Roman" w:hAnsi="Times New Roman" w:eastAsia="宋体" w:cs="Times New Roman"/>
                      <w:sz w:val="21"/>
                      <w:szCs w:val="21"/>
                      <w:highlight w:val="none"/>
                      <w:lang w:val="en-US" w:eastAsia="zh-CN"/>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m，N=</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rPr>
                    <w:t>kw</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644" w:type="pct"/>
                  <w:vMerge w:val="restar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3.1</w:t>
                  </w:r>
                  <w:r>
                    <w:rPr>
                      <w:rFonts w:hint="eastAsia" w:cs="Times New Roman"/>
                      <w:bCs/>
                      <w:color w:val="000000" w:themeColor="text1"/>
                      <w:kern w:val="0"/>
                      <w:sz w:val="21"/>
                      <w:szCs w:val="21"/>
                      <w:highlight w:val="none"/>
                      <w:lang w:val="en-US" w:eastAsia="zh-CN"/>
                      <w14:textFill>
                        <w14:solidFill>
                          <w14:schemeClr w14:val="tx1"/>
                        </w14:solidFill>
                      </w14:textFill>
                    </w:rPr>
                    <w:t>.11</w:t>
                  </w:r>
                </w:p>
              </w:tc>
              <w:tc>
                <w:tcPr>
                  <w:tcW w:w="845" w:type="pct"/>
                  <w:vMerge w:val="restar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精密过滤器</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处理能力</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/h，过滤精度100um，不锈钢材质</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644" w:type="pct"/>
                  <w:vMerge w:val="continue"/>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845" w:type="pct"/>
                  <w:vMerge w:val="continue"/>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处理能力</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/h，过滤精度100um，不锈钢材质</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644" w:type="pct"/>
                  <w:vMerge w:val="restar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w:t>
                  </w:r>
                  <w:r>
                    <w:rPr>
                      <w:rFonts w:hint="eastAsia" w:cs="Times New Roman"/>
                      <w:bCs/>
                      <w:color w:val="000000" w:themeColor="text1"/>
                      <w:kern w:val="0"/>
                      <w:sz w:val="21"/>
                      <w:szCs w:val="21"/>
                      <w:highlight w:val="none"/>
                      <w:lang w:val="en-US" w:eastAsia="zh-CN"/>
                      <w14:textFill>
                        <w14:solidFill>
                          <w14:schemeClr w14:val="tx1"/>
                        </w14:solidFill>
                      </w14:textFill>
                    </w:rPr>
                    <w:t>1.12</w:t>
                  </w:r>
                </w:p>
              </w:tc>
              <w:tc>
                <w:tcPr>
                  <w:tcW w:w="845" w:type="pct"/>
                  <w:vMerge w:val="restar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超滤装置</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产水量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/h，内压运行</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44" w:type="pct"/>
                  <w:vMerge w:val="continue"/>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845" w:type="pct"/>
                  <w:vMerge w:val="continue"/>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产水量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/h，内压运行</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w:t>
                  </w:r>
                  <w:r>
                    <w:rPr>
                      <w:rFonts w:hint="eastAsia" w:cs="Times New Roman"/>
                      <w:bCs/>
                      <w:color w:val="000000" w:themeColor="text1"/>
                      <w:kern w:val="0"/>
                      <w:sz w:val="21"/>
                      <w:szCs w:val="21"/>
                      <w:highlight w:val="none"/>
                      <w:lang w:val="en-US" w:eastAsia="zh-CN"/>
                      <w14:textFill>
                        <w14:solidFill>
                          <w14:schemeClr w14:val="tx1"/>
                        </w14:solidFill>
                      </w14:textFill>
                    </w:rPr>
                    <w:t>1.13</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化学清洗装置</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3.1.14</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杀菌剂加药装置</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w:t>
                  </w:r>
                  <w:r>
                    <w:rPr>
                      <w:rFonts w:hint="eastAsia" w:cs="Times New Roman"/>
                      <w:bCs/>
                      <w:color w:val="000000" w:themeColor="text1"/>
                      <w:kern w:val="0"/>
                      <w:sz w:val="21"/>
                      <w:szCs w:val="21"/>
                      <w:highlight w:val="none"/>
                      <w:lang w:val="en-US" w:eastAsia="zh-CN"/>
                      <w14:textFill>
                        <w14:solidFill>
                          <w14:schemeClr w14:val="tx1"/>
                        </w14:solidFill>
                      </w14:textFill>
                    </w:rPr>
                    <w:t>1.15</w:t>
                  </w:r>
                </w:p>
              </w:tc>
              <w:tc>
                <w:tcPr>
                  <w:tcW w:w="84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反洗过滤器</w:t>
                  </w:r>
                </w:p>
              </w:tc>
              <w:tc>
                <w:tcPr>
                  <w:tcW w:w="2473"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处理水量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/h，过滤精度100um，不锈钢材质</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3.2</w:t>
                  </w:r>
                </w:p>
              </w:tc>
              <w:tc>
                <w:tcPr>
                  <w:tcW w:w="3318" w:type="pct"/>
                  <w:gridSpan w:val="2"/>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eastAsia="zh-CN"/>
                      <w14:textFill>
                        <w14:solidFill>
                          <w14:schemeClr w14:val="tx1"/>
                        </w14:solidFill>
                      </w14:textFill>
                    </w:rPr>
                    <w:t>深度处理（</w:t>
                  </w:r>
                  <w:r>
                    <w:rPr>
                      <w:rFonts w:hint="eastAsia" w:cs="Times New Roman"/>
                      <w:bCs/>
                      <w:color w:val="000000" w:themeColor="text1"/>
                      <w:kern w:val="0"/>
                      <w:sz w:val="21"/>
                      <w:szCs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r>
                    <w:rPr>
                      <w:rFonts w:hint="eastAsia" w:cs="Times New Roman"/>
                      <w:bCs/>
                      <w:color w:val="000000" w:themeColor="text1"/>
                      <w:kern w:val="0"/>
                      <w:sz w:val="21"/>
                      <w:szCs w:val="21"/>
                      <w:highlight w:val="none"/>
                      <w:lang w:eastAsia="zh-CN"/>
                      <w14:textFill>
                        <w14:solidFill>
                          <w14:schemeClr w14:val="tx1"/>
                        </w14:solidFill>
                      </w14:textFill>
                    </w:rPr>
                    <w:t>）</w:t>
                  </w:r>
                </w:p>
              </w:tc>
              <w:tc>
                <w:tcPr>
                  <w:tcW w:w="345"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超滤增压泵</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50WQ25-35-7.5</w:t>
                  </w:r>
                </w:p>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Q=50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/h，H=35m，N=7.5kw</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3.2.2</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投入式液位计</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0~5m，4-20mA</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3.2.3</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石英砂过滤器</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MR-SGL-1600，Q=21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/h，Φ=1600mm，H=3300mm</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3.2.4</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活性炭过滤器</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MR-SGL-1600，Q=21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/h，Φ=1600mm，H=3300mm</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3.2.5</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UF超滤装置</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MR-UF-500，Q=</w:t>
                  </w:r>
                  <w:r>
                    <w:rPr>
                      <w:rFonts w:hint="default" w:ascii="Times New Roman" w:hAnsi="Times New Roman" w:eastAsia="宋体" w:cs="Times New Roman"/>
                      <w:sz w:val="21"/>
                      <w:szCs w:val="21"/>
                      <w:highlight w:val="none"/>
                      <w:lang w:val="en-US" w:eastAsia="zh-CN"/>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3.2.6</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精密过滤器</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MR-JM-25，处理能力Q=25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/h，过滤精度50μm</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3.2.7</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UF产水电磁流量计</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LGD型电磁流量计，DN80，4-20mA</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3.2.8</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UF产水电磁流量计</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LGD型电磁流量计，DN125，4-20mA</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3.2.9</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UF进/产水压力变送器</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插入式压力变送器，0-1Mpa，4-20mA</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3.2.10</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UF进水加药装置</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MR-UF-JS-100，储药箱V=100L，材质：PE，数量：1台，计量泵；Q=0-9L/h，P=7bar，N=25W，液力端材质：PVC</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3.2.11</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UF反洗加酸装置</w:t>
                  </w:r>
                </w:p>
              </w:tc>
              <w:tc>
                <w:tcPr>
                  <w:tcW w:w="2473" w:type="pct"/>
                  <w:tcMar>
                    <w:top w:w="15" w:type="dxa"/>
                    <w:left w:w="15" w:type="dxa"/>
                    <w:bottom w:w="0" w:type="dxa"/>
                    <w:right w:w="15" w:type="dxa"/>
                  </w:tcMar>
                  <w:vAlign w:val="center"/>
                </w:tcPr>
                <w:p>
                  <w:pPr>
                    <w:pStyle w:val="42"/>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0"/>
                      <w:sz w:val="21"/>
                      <w:szCs w:val="21"/>
                      <w:highlight w:val="none"/>
                    </w:rPr>
                    <w:t>MR-UF-H-100，储药箱V=100L，材质：PE，数量=1台，计量泵；Q=0-25L/h,P=7bar,N=0.18KW, 液力端材质：PVC,数量：1台，溶药搅拌机：N=0.55KW，数量：1台</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3.2.12</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UF反洗加碱装置</w:t>
                  </w:r>
                </w:p>
              </w:tc>
              <w:tc>
                <w:tcPr>
                  <w:tcW w:w="2473" w:type="pct"/>
                  <w:tcMar>
                    <w:top w:w="15" w:type="dxa"/>
                    <w:left w:w="15" w:type="dxa"/>
                    <w:bottom w:w="0" w:type="dxa"/>
                    <w:right w:w="15" w:type="dxa"/>
                  </w:tcMar>
                  <w:vAlign w:val="center"/>
                </w:tcPr>
                <w:p>
                  <w:pPr>
                    <w:pStyle w:val="42"/>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0"/>
                      <w:sz w:val="21"/>
                      <w:szCs w:val="21"/>
                      <w:highlight w:val="none"/>
                    </w:rPr>
                    <w:t>MR-UF-OH-100，储药箱V=100L，材质：PE，数量=1台，计量泵；Q=0-25L/h,P=7bar,N=0.18KW, 液力端材质：PVC,数量：1台</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3.2.13</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UF反洗袋式过滤器</w:t>
                  </w:r>
                </w:p>
              </w:tc>
              <w:tc>
                <w:tcPr>
                  <w:tcW w:w="2473" w:type="pct"/>
                  <w:tcMar>
                    <w:top w:w="15" w:type="dxa"/>
                    <w:left w:w="15" w:type="dxa"/>
                    <w:bottom w:w="0" w:type="dxa"/>
                    <w:right w:w="15" w:type="dxa"/>
                  </w:tcMar>
                  <w:vAlign w:val="top"/>
                </w:tcPr>
                <w:p>
                  <w:pPr>
                    <w:pStyle w:val="42"/>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0"/>
                      <w:sz w:val="21"/>
                      <w:szCs w:val="21"/>
                      <w:highlight w:val="none"/>
                    </w:rPr>
                    <w:t>MR-DGL-80，处理能力Q=80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kern w:val="0"/>
                      <w:sz w:val="21"/>
                      <w:szCs w:val="21"/>
                      <w:highlight w:val="none"/>
                    </w:rPr>
                    <w:t>/h，过滤精度50μm</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3.2.14</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化学清洗装置</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MR-HQX-2000，储药箱V=2000L，材质：PE，数量：1台，清洗泵:Q=50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/h,H=18m,N=5.5KW，1台</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3.2.15</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工艺用气系统</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MR-UF-GQ-500，配移动空压机1台，储气罐1个 、减压稳压系统、空气油水分离器、气动三联件</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3.2.16</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仪表用气系统</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MR-UF-YQ-500，配移动空压机1台，空气油水分离器、气动三联件</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3.2.17</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反洗泵</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100WQ80-25-11</w:t>
                  </w:r>
                </w:p>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Q=80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1"/>
                      <w:szCs w:val="21"/>
                      <w:highlight w:val="none"/>
                    </w:rPr>
                    <w:t>/h，H=25m，N=11kw</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3.2.18</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投入式液位计</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0~5m，4-20mA</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1台</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4"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3.2.19</w:t>
                  </w:r>
                </w:p>
              </w:tc>
              <w:tc>
                <w:tcPr>
                  <w:tcW w:w="845"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次氯酸钠加药装置</w:t>
                  </w:r>
                </w:p>
              </w:tc>
              <w:tc>
                <w:tcPr>
                  <w:tcW w:w="2473" w:type="pc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MR-JL-1000，储药箱V=500L，材质：PE，数量：1台，计量泵：Q=0-9L/h,P=0-12bar,N=12W； 液力端材质：PVC,数量：1台</w:t>
                  </w:r>
                </w:p>
              </w:tc>
              <w:tc>
                <w:tcPr>
                  <w:tcW w:w="345" w:type="pct"/>
                  <w:vAlign w:val="center"/>
                </w:tcPr>
                <w:p>
                  <w:pPr>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2套</w:t>
                  </w:r>
                </w:p>
              </w:tc>
              <w:tc>
                <w:tcPr>
                  <w:tcW w:w="691"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p>
              </w:tc>
            </w:tr>
          </w:tbl>
          <w:p>
            <w:pPr>
              <w:spacing w:line="480" w:lineRule="exact"/>
              <w:ind w:firstLine="482"/>
              <w:rPr>
                <w:rFonts w:hint="default" w:ascii="Times New Roman" w:hAnsi="Times New Roman" w:eastAsia="宋体" w:cs="Times New Roman"/>
                <w:b/>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3.1</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Cs w:val="24"/>
                <w:highlight w:val="none"/>
                <w:lang w:eastAsia="zh-CN"/>
                <w14:textFill>
                  <w14:solidFill>
                    <w14:schemeClr w14:val="tx1"/>
                  </w14:solidFill>
                </w14:textFill>
              </w:rPr>
              <w:t>原辅用料</w:t>
            </w:r>
          </w:p>
          <w:p>
            <w:pPr>
              <w:spacing w:line="480" w:lineRule="atLeast"/>
              <w:ind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表1-6    矿井水处理间物料消耗情况</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27"/>
              <w:gridCol w:w="1650"/>
              <w:gridCol w:w="2704"/>
              <w:gridCol w:w="2621"/>
              <w:gridCol w:w="13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02"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序号</w:t>
                  </w:r>
                </w:p>
              </w:tc>
              <w:tc>
                <w:tcPr>
                  <w:tcW w:w="912"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名称</w:t>
                  </w:r>
                </w:p>
              </w:tc>
              <w:tc>
                <w:tcPr>
                  <w:tcW w:w="149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单位</w:t>
                  </w:r>
                </w:p>
              </w:tc>
              <w:tc>
                <w:tcPr>
                  <w:tcW w:w="1449" w:type="pct"/>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数量</w:t>
                  </w:r>
                </w:p>
              </w:tc>
              <w:tc>
                <w:tcPr>
                  <w:tcW w:w="739"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02"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1</w:t>
                  </w:r>
                </w:p>
              </w:tc>
              <w:tc>
                <w:tcPr>
                  <w:tcW w:w="912"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highlight w:val="none"/>
                      <w14:textFill>
                        <w14:solidFill>
                          <w14:schemeClr w14:val="tx1"/>
                        </w14:solidFill>
                      </w14:textFill>
                    </w:rPr>
                  </w:pPr>
                  <w:r>
                    <w:rPr>
                      <w:rFonts w:hint="default" w:ascii="Times New Roman" w:hAnsi="Times New Roman" w:eastAsia="宋体" w:cs="Times New Roman"/>
                      <w:bCs/>
                      <w:color w:val="000000" w:themeColor="text1"/>
                      <w:sz w:val="21"/>
                      <w:highlight w:val="none"/>
                      <w14:textFill>
                        <w14:solidFill>
                          <w14:schemeClr w14:val="tx1"/>
                        </w14:solidFill>
                      </w14:textFill>
                    </w:rPr>
                    <w:t>次氯酸钠</w:t>
                  </w:r>
                </w:p>
              </w:tc>
              <w:tc>
                <w:tcPr>
                  <w:tcW w:w="149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t/a</w:t>
                  </w:r>
                </w:p>
              </w:tc>
              <w:tc>
                <w:tcPr>
                  <w:tcW w:w="1449"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1.0</w:t>
                  </w:r>
                </w:p>
              </w:tc>
              <w:tc>
                <w:tcPr>
                  <w:tcW w:w="739"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02"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2</w:t>
                  </w:r>
                </w:p>
              </w:tc>
              <w:tc>
                <w:tcPr>
                  <w:tcW w:w="912"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highlight w:val="none"/>
                      <w:lang w:val="en-US" w:eastAsia="zh-CN"/>
                      <w14:textFill>
                        <w14:solidFill>
                          <w14:schemeClr w14:val="tx1"/>
                        </w14:solidFill>
                      </w14:textFill>
                    </w:rPr>
                    <w:t>PAC</w:t>
                  </w:r>
                </w:p>
              </w:tc>
              <w:tc>
                <w:tcPr>
                  <w:tcW w:w="149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t/a</w:t>
                  </w:r>
                </w:p>
              </w:tc>
              <w:tc>
                <w:tcPr>
                  <w:tcW w:w="1449"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3.2</w:t>
                  </w:r>
                </w:p>
              </w:tc>
              <w:tc>
                <w:tcPr>
                  <w:tcW w:w="739"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02" w:type="pct"/>
                  <w:noWrap/>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3</w:t>
                  </w:r>
                </w:p>
              </w:tc>
              <w:tc>
                <w:tcPr>
                  <w:tcW w:w="912"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highlight w:val="none"/>
                      <w:lang w:val="en-US" w:eastAsia="zh-CN"/>
                      <w14:textFill>
                        <w14:solidFill>
                          <w14:schemeClr w14:val="tx1"/>
                        </w14:solidFill>
                      </w14:textFill>
                    </w:rPr>
                    <w:t>PAM</w:t>
                  </w:r>
                </w:p>
              </w:tc>
              <w:tc>
                <w:tcPr>
                  <w:tcW w:w="1495"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t/a</w:t>
                  </w:r>
                </w:p>
              </w:tc>
              <w:tc>
                <w:tcPr>
                  <w:tcW w:w="1449"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3.2</w:t>
                  </w:r>
                </w:p>
              </w:tc>
              <w:tc>
                <w:tcPr>
                  <w:tcW w:w="739" w:type="pct"/>
                  <w:tcMar>
                    <w:top w:w="15" w:type="dxa"/>
                    <w:left w:w="15" w:type="dxa"/>
                    <w:bottom w:w="0" w:type="dxa"/>
                    <w:right w:w="15" w:type="dxa"/>
                  </w:tcMar>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bl>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3.13劳动定员及生产制度</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bCs/>
                <w:color w:val="000000" w:themeColor="text1"/>
                <w:szCs w:val="24"/>
                <w:highlight w:val="none"/>
                <w14:textFill>
                  <w14:solidFill>
                    <w14:schemeClr w14:val="tx1"/>
                  </w14:solidFill>
                </w14:textFill>
              </w:rPr>
            </w:pPr>
            <w:r>
              <w:rPr>
                <w:rFonts w:hint="default" w:ascii="Times New Roman" w:hAnsi="Times New Roman" w:eastAsia="宋体" w:cs="Times New Roman"/>
                <w:bCs/>
                <w:color w:val="000000" w:themeColor="text1"/>
                <w:szCs w:val="24"/>
                <w:highlight w:val="none"/>
                <w14:textFill>
                  <w14:solidFill>
                    <w14:schemeClr w14:val="tx1"/>
                  </w14:solidFill>
                </w14:textFill>
              </w:rPr>
              <w:t>本项目</w:t>
            </w:r>
            <w:r>
              <w:rPr>
                <w:rFonts w:hint="default" w:ascii="Times New Roman" w:hAnsi="Times New Roman" w:eastAsia="宋体" w:cs="Times New Roman"/>
                <w:bCs/>
                <w:color w:val="000000" w:themeColor="text1"/>
                <w:szCs w:val="24"/>
                <w:highlight w:val="none"/>
                <w:lang w:eastAsia="zh-CN"/>
                <w14:textFill>
                  <w14:solidFill>
                    <w14:schemeClr w14:val="tx1"/>
                  </w14:solidFill>
                </w14:textFill>
              </w:rPr>
              <w:t>矿井水处理站</w:t>
            </w:r>
            <w:r>
              <w:rPr>
                <w:rFonts w:hint="default" w:ascii="Times New Roman" w:hAnsi="Times New Roman" w:eastAsia="宋体" w:cs="Times New Roman"/>
                <w:bCs/>
                <w:color w:val="000000" w:themeColor="text1"/>
                <w:szCs w:val="24"/>
                <w:highlight w:val="none"/>
                <w14:textFill>
                  <w14:solidFill>
                    <w14:schemeClr w14:val="tx1"/>
                  </w14:solidFill>
                </w14:textFill>
              </w:rPr>
              <w:t>不新增工作人员，利用现有职工，定员6人，工作制度为年运行365天</w:t>
            </w:r>
            <w:r>
              <w:rPr>
                <w:rFonts w:hint="default" w:ascii="Times New Roman" w:hAnsi="Times New Roman" w:eastAsia="宋体" w:cs="Times New Roman"/>
                <w:bCs/>
                <w:color w:val="000000" w:themeColor="text1"/>
                <w:szCs w:val="24"/>
                <w:highlight w:val="none"/>
                <w:lang w:eastAsia="zh-CN"/>
                <w14:textFill>
                  <w14:solidFill>
                    <w14:schemeClr w14:val="tx1"/>
                  </w14:solidFill>
                </w14:textFill>
              </w:rPr>
              <w:t>，每天</w:t>
            </w:r>
            <w:r>
              <w:rPr>
                <w:rFonts w:hint="default" w:ascii="Times New Roman" w:hAnsi="Times New Roman" w:eastAsia="宋体" w:cs="Times New Roman"/>
                <w:bCs/>
                <w:color w:val="000000" w:themeColor="text1"/>
                <w:szCs w:val="24"/>
                <w:highlight w:val="none"/>
                <w:lang w:val="en-US" w:eastAsia="zh-CN"/>
                <w14:textFill>
                  <w14:solidFill>
                    <w14:schemeClr w14:val="tx1"/>
                  </w14:solidFill>
                </w14:textFill>
              </w:rPr>
              <w:t>24h</w:t>
            </w:r>
            <w:r>
              <w:rPr>
                <w:rFonts w:hint="default" w:ascii="Times New Roman" w:hAnsi="Times New Roman" w:eastAsia="宋体" w:cs="Times New Roman"/>
                <w:bCs/>
                <w:color w:val="000000" w:themeColor="text1"/>
                <w:szCs w:val="24"/>
                <w:highlight w:val="none"/>
                <w14:textFill>
                  <w14:solidFill>
                    <w14:schemeClr w14:val="tx1"/>
                  </w14:solidFill>
                </w14:textFill>
              </w:rPr>
              <w:t>。</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4、公用工程</w:t>
            </w:r>
          </w:p>
          <w:p>
            <w:pPr>
              <w:spacing w:line="480" w:lineRule="exact"/>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4.1给排水</w:t>
            </w:r>
          </w:p>
          <w:p>
            <w:pPr>
              <w:spacing w:line="480" w:lineRule="exact"/>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3" w:name="_Hlk21537238"/>
            <w:r>
              <w:rPr>
                <w:rFonts w:hint="default" w:ascii="Times New Roman" w:hAnsi="Times New Roman" w:eastAsia="宋体" w:cs="Times New Roman"/>
                <w:color w:val="000000" w:themeColor="text1"/>
                <w:highlight w:val="none"/>
                <w:lang w:eastAsia="zh-CN"/>
                <w14:textFill>
                  <w14:solidFill>
                    <w14:schemeClr w14:val="tx1"/>
                  </w14:solidFill>
                </w14:textFill>
              </w:rPr>
              <w:t>本项目项目职工生活用水和生产用水水源为由煤矿供水井和深度处理后的矿井水。根据《山西朔州平鲁区兰花永胜煤业有限公司1.20Mt/a矿井兼并重组整合项目水资源论证报告书》中用水环节</w:t>
            </w:r>
            <w:r>
              <w:rPr>
                <w:rFonts w:hint="eastAsia" w:cs="Times New Roman"/>
                <w:color w:val="000000" w:themeColor="text1"/>
                <w:highlight w:val="none"/>
                <w:lang w:eastAsia="zh-CN"/>
                <w14:textFill>
                  <w14:solidFill>
                    <w14:schemeClr w14:val="tx1"/>
                  </w14:solidFill>
                </w14:textFill>
              </w:rPr>
              <w:t>和水量</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同时结合</w:t>
            </w:r>
            <w:r>
              <w:rPr>
                <w:rFonts w:hint="default" w:ascii="Times New Roman" w:hAnsi="Times New Roman" w:eastAsia="宋体" w:cs="Times New Roman"/>
                <w:color w:val="000000" w:themeColor="text1"/>
                <w:highlight w:val="none"/>
                <w:lang w:eastAsia="zh-CN"/>
                <w14:textFill>
                  <w14:solidFill>
                    <w14:schemeClr w14:val="tx1"/>
                  </w14:solidFill>
                </w14:textFill>
              </w:rPr>
              <w:t>矿区实际</w:t>
            </w:r>
            <w:r>
              <w:rPr>
                <w:rFonts w:hint="eastAsia" w:cs="Times New Roman"/>
                <w:color w:val="000000" w:themeColor="text1"/>
                <w:highlight w:val="none"/>
                <w:lang w:eastAsia="zh-CN"/>
                <w14:textFill>
                  <w14:solidFill>
                    <w14:schemeClr w14:val="tx1"/>
                  </w14:solidFill>
                </w14:textFill>
              </w:rPr>
              <w:t>用水情况，矿区</w:t>
            </w:r>
            <w:r>
              <w:rPr>
                <w:rFonts w:hint="default" w:ascii="Times New Roman" w:hAnsi="Times New Roman" w:eastAsia="宋体" w:cs="Times New Roman"/>
                <w:color w:val="000000" w:themeColor="text1"/>
                <w:highlight w:val="none"/>
                <w:lang w:eastAsia="zh-CN"/>
                <w14:textFill>
                  <w14:solidFill>
                    <w14:schemeClr w14:val="tx1"/>
                  </w14:solidFill>
                </w14:textFill>
              </w:rPr>
              <w:t>达产后</w:t>
            </w:r>
            <w:r>
              <w:rPr>
                <w:rFonts w:hint="eastAsia" w:cs="Times New Roman"/>
                <w:color w:val="000000" w:themeColor="text1"/>
                <w:highlight w:val="none"/>
                <w:lang w:eastAsia="zh-CN"/>
                <w14:textFill>
                  <w14:solidFill>
                    <w14:schemeClr w14:val="tx1"/>
                  </w14:solidFill>
                </w14:textFill>
              </w:rPr>
              <w:t>的</w:t>
            </w:r>
            <w:r>
              <w:rPr>
                <w:rFonts w:hint="default" w:ascii="Times New Roman" w:hAnsi="Times New Roman" w:eastAsia="宋体" w:cs="Times New Roman"/>
                <w:color w:val="000000" w:themeColor="text1"/>
                <w:highlight w:val="none"/>
                <w:lang w:eastAsia="zh-CN"/>
                <w14:textFill>
                  <w14:solidFill>
                    <w14:schemeClr w14:val="tx1"/>
                  </w14:solidFill>
                </w14:textFill>
              </w:rPr>
              <w:t>给排水情况见下表。</w:t>
            </w:r>
          </w:p>
          <w:p>
            <w:pPr>
              <w:pStyle w:val="127"/>
              <w:keepNext w:val="0"/>
              <w:keepLines w:val="0"/>
              <w:pageBreakBefore w:val="0"/>
              <w:widowControl/>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宋体" w:cs="Times New Roman"/>
                <w:color w:val="auto"/>
              </w:rPr>
            </w:pPr>
          </w:p>
          <w:p>
            <w:pPr>
              <w:pStyle w:val="127"/>
              <w:keepNext w:val="0"/>
              <w:keepLines w:val="0"/>
              <w:pageBreakBefore w:val="0"/>
              <w:widowControl/>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1-7</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兰花永胜煤矿</w:t>
            </w:r>
            <w:r>
              <w:rPr>
                <w:rFonts w:hint="default" w:ascii="Times New Roman" w:hAnsi="Times New Roman" w:eastAsia="宋体" w:cs="Times New Roman"/>
                <w:color w:val="auto"/>
              </w:rPr>
              <w:t>核定后用水水平衡表（采暖期）             单位：</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rPr>
              <w:t>/d</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autofit"/>
              <w:tblCellMar>
                <w:top w:w="0" w:type="dxa"/>
                <w:left w:w="0" w:type="dxa"/>
                <w:bottom w:w="0" w:type="dxa"/>
                <w:right w:w="0" w:type="dxa"/>
              </w:tblCellMar>
            </w:tblPr>
            <w:tblGrid>
              <w:gridCol w:w="1382"/>
              <w:gridCol w:w="1175"/>
              <w:gridCol w:w="1694"/>
              <w:gridCol w:w="705"/>
              <w:gridCol w:w="1694"/>
              <w:gridCol w:w="1192"/>
              <w:gridCol w:w="11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用水项</w:t>
                  </w:r>
                </w:p>
              </w:tc>
              <w:tc>
                <w:tcPr>
                  <w:tcW w:w="650" w:type="pct"/>
                  <w:tcBorders>
                    <w:left w:val="single" w:color="auto" w:sz="4" w:space="0"/>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s="Times New Roman"/>
                      <w:b/>
                      <w:bCs/>
                      <w:i w:val="0"/>
                      <w:color w:val="auto"/>
                      <w:kern w:val="0"/>
                      <w:sz w:val="21"/>
                      <w:szCs w:val="21"/>
                      <w:u w:val="none"/>
                      <w:lang w:val="en-US" w:eastAsia="zh-CN" w:bidi="ar"/>
                    </w:rPr>
                    <w:t>用水定额</w:t>
                  </w:r>
                </w:p>
              </w:tc>
              <w:tc>
                <w:tcPr>
                  <w:tcW w:w="93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s="Times New Roman"/>
                      <w:b/>
                      <w:bCs/>
                      <w:i w:val="0"/>
                      <w:color w:val="auto"/>
                      <w:kern w:val="0"/>
                      <w:sz w:val="21"/>
                      <w:szCs w:val="21"/>
                      <w:u w:val="none"/>
                      <w:lang w:val="en-US" w:eastAsia="zh-CN" w:bidi="ar"/>
                    </w:rPr>
                    <w:t>规模</w:t>
                  </w:r>
                </w:p>
              </w:tc>
              <w:tc>
                <w:tcPr>
                  <w:tcW w:w="39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2"/>
                      <w:sz w:val="21"/>
                      <w:szCs w:val="21"/>
                      <w:u w:val="none"/>
                      <w:lang w:val="en-US" w:eastAsia="zh-CN" w:bidi="ar-SA"/>
                    </w:rPr>
                  </w:pPr>
                  <w:r>
                    <w:rPr>
                      <w:rFonts w:hint="default" w:ascii="Times New Roman" w:hAnsi="Times New Roman" w:eastAsia="宋体" w:cs="Times New Roman"/>
                      <w:b/>
                      <w:bCs/>
                      <w:i w:val="0"/>
                      <w:color w:val="auto"/>
                      <w:kern w:val="0"/>
                      <w:sz w:val="21"/>
                      <w:szCs w:val="21"/>
                      <w:u w:val="none"/>
                      <w:lang w:val="en-US" w:eastAsia="zh-CN" w:bidi="ar"/>
                    </w:rPr>
                    <w:t>用水量</w:t>
                  </w:r>
                </w:p>
              </w:tc>
              <w:tc>
                <w:tcPr>
                  <w:tcW w:w="93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耗水量</w:t>
                  </w:r>
                </w:p>
              </w:tc>
              <w:tc>
                <w:tcPr>
                  <w:tcW w:w="65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排水量</w:t>
                  </w:r>
                </w:p>
              </w:tc>
              <w:tc>
                <w:tcPr>
                  <w:tcW w:w="65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排水去向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职工生活用水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30L/人·d</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00人</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8</w:t>
                  </w:r>
                  <w:r>
                    <w:rPr>
                      <w:rFonts w:hint="default" w:ascii="Times New Roman" w:hAnsi="Times New Roman" w:eastAsia="宋体" w:cs="Times New Roman"/>
                      <w:i w:val="0"/>
                      <w:color w:val="auto"/>
                      <w:kern w:val="0"/>
                      <w:sz w:val="21"/>
                      <w:szCs w:val="21"/>
                      <w:highlight w:val="none"/>
                      <w:u w:val="none"/>
                      <w:lang w:val="en-US" w:eastAsia="zh-CN" w:bidi="ar"/>
                    </w:rPr>
                    <w:t>.00</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r>
                    <w:rPr>
                      <w:rFonts w:hint="eastAsia"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14.4</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59" w:type="pct"/>
                  <w:vMerge w:val="restar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进入污水</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处理站处</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理后回用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单身宿舍用水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30L/人·d</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284</w:t>
                  </w:r>
                  <w:r>
                    <w:rPr>
                      <w:rFonts w:hint="default" w:ascii="Times New Roman" w:hAnsi="Times New Roman" w:eastAsia="宋体" w:cs="Times New Roman"/>
                      <w:i w:val="0"/>
                      <w:color w:val="auto"/>
                      <w:kern w:val="0"/>
                      <w:sz w:val="21"/>
                      <w:szCs w:val="21"/>
                      <w:u w:val="none"/>
                      <w:lang w:val="en-US" w:eastAsia="zh-CN" w:bidi="ar"/>
                    </w:rPr>
                    <w:t>人</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8.52</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1.70</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6.82</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食堂用水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20L/人·班</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2班，6</w:t>
                  </w:r>
                  <w:r>
                    <w:rPr>
                      <w:rFonts w:hint="default" w:ascii="Times New Roman" w:hAnsi="Times New Roman" w:eastAsia="宋体" w:cs="Times New Roman"/>
                      <w:i w:val="0"/>
                      <w:color w:val="auto"/>
                      <w:kern w:val="0"/>
                      <w:sz w:val="21"/>
                      <w:szCs w:val="21"/>
                      <w:highlight w:val="none"/>
                      <w:u w:val="none"/>
                      <w:lang w:val="en-US" w:eastAsia="zh-CN" w:bidi="ar"/>
                    </w:rPr>
                    <w:t>00人</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4.80</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19.20</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池浴用水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每天一次</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auto"/>
                      <w:kern w:val="0"/>
                      <w:sz w:val="21"/>
                      <w:szCs w:val="21"/>
                      <w:highlight w:val="none"/>
                      <w:lang w:val="en-US" w:eastAsia="zh-CN"/>
                    </w:rPr>
                    <w:t>11.2</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11.20</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2.24</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8.96</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淋浴用水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auto"/>
                      <w:kern w:val="0"/>
                      <w:sz w:val="21"/>
                      <w:szCs w:val="21"/>
                      <w:highlight w:val="none"/>
                    </w:rPr>
                    <w:t>300L/只</w:t>
                  </w:r>
                  <w:r>
                    <w:rPr>
                      <w:rFonts w:hint="eastAsia" w:ascii="Times New Roman" w:hAnsi="Times New Roman" w:eastAsia="宋体" w:cs="Times New Roman"/>
                      <w:color w:val="auto"/>
                      <w:kern w:val="0"/>
                      <w:sz w:val="21"/>
                      <w:szCs w:val="21"/>
                      <w:highlight w:val="none"/>
                      <w:lang w:val="en-US" w:eastAsia="zh-CN"/>
                    </w:rPr>
                    <w:t>/次</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auto"/>
                      <w:kern w:val="0"/>
                      <w:sz w:val="21"/>
                      <w:szCs w:val="21"/>
                      <w:highlight w:val="none"/>
                      <w:lang w:val="en-US" w:eastAsia="zh-CN"/>
                    </w:rPr>
                    <w:t>25只，3次</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2.5</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r>
                    <w:rPr>
                      <w:rFonts w:hint="eastAsia"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8.0</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锅炉用水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328</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248</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80</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洗衣房用水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auto"/>
                      <w:sz w:val="21"/>
                      <w:szCs w:val="21"/>
                      <w:highlight w:val="none"/>
                    </w:rPr>
                    <w:t>80L/kg.干衣</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260人，1.5kg/人</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31.20</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6.24</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24.96</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井下洒水</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rPr>
                    <w:t>0.10m</w:t>
                  </w:r>
                  <w:r>
                    <w:rPr>
                      <w:rFonts w:hint="default" w:ascii="Times New Roman" w:hAnsi="Times New Roman" w:eastAsia="宋体" w:cs="Times New Roman"/>
                      <w:color w:val="auto"/>
                      <w:sz w:val="21"/>
                      <w:szCs w:val="21"/>
                      <w:highlight w:val="none"/>
                      <w:vertAlign w:val="superscript"/>
                      <w:lang w:val="en-US"/>
                    </w:rPr>
                    <w:t>3</w:t>
                  </w:r>
                  <w:r>
                    <w:rPr>
                      <w:rFonts w:hint="default" w:ascii="Times New Roman" w:hAnsi="Times New Roman" w:eastAsia="宋体" w:cs="Times New Roman"/>
                      <w:color w:val="auto"/>
                      <w:sz w:val="21"/>
                      <w:szCs w:val="21"/>
                      <w:highlight w:val="none"/>
                      <w:lang w:val="en-US"/>
                    </w:rPr>
                    <w:t>/t</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1.2Mt</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328.77</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328.77</w:t>
                  </w:r>
                </w:p>
              </w:tc>
              <w:tc>
                <w:tcPr>
                  <w:tcW w:w="65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0</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黄泥灌浆</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K</w:t>
                  </w:r>
                  <w:r>
                    <w:rPr>
                      <w:rFonts w:hint="eastAsia" w:cs="Times New Roman"/>
                      <w:i w:val="0"/>
                      <w:color w:val="auto"/>
                      <w:sz w:val="21"/>
                      <w:szCs w:val="21"/>
                      <w:highlight w:val="none"/>
                      <w:u w:val="none"/>
                      <w:lang w:val="en-US" w:eastAsia="zh-CN"/>
                    </w:rPr>
                    <w:t>=</w:t>
                  </w:r>
                  <w:r>
                    <w:rPr>
                      <w:rFonts w:hint="default" w:ascii="Times New Roman" w:hAnsi="Times New Roman" w:eastAsia="宋体" w:cs="Times New Roman"/>
                      <w:i w:val="0"/>
                      <w:color w:val="auto"/>
                      <w:sz w:val="21"/>
                      <w:szCs w:val="21"/>
                      <w:highlight w:val="none"/>
                      <w:u w:val="none"/>
                      <w:lang w:val="en-US" w:eastAsia="zh-CN"/>
                    </w:rPr>
                    <w:t>0.067</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泥</w:t>
                  </w:r>
                  <w:r>
                    <w:rPr>
                      <w:rFonts w:hint="default" w:ascii="Times New Roman" w:hAnsi="Times New Roman" w:eastAsia="宋体" w:cs="Times New Roman"/>
                      <w:i w:val="0"/>
                      <w:color w:val="auto"/>
                      <w:sz w:val="21"/>
                      <w:szCs w:val="21"/>
                      <w:highlight w:val="none"/>
                      <w:u w:val="none"/>
                      <w:lang w:val="en-US" w:eastAsia="zh-CN"/>
                    </w:rPr>
                    <w:t>水比为1：2</w:t>
                  </w: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3</w:t>
                  </w:r>
                  <w:r>
                    <w:rPr>
                      <w:rFonts w:hint="eastAsia" w:cs="Times New Roman"/>
                      <w:i w:val="0"/>
                      <w:color w:val="auto"/>
                      <w:sz w:val="21"/>
                      <w:szCs w:val="21"/>
                      <w:highlight w:val="none"/>
                      <w:u w:val="none"/>
                      <w:lang w:val="en-US" w:eastAsia="zh-CN"/>
                    </w:rPr>
                    <w:t>94.12</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cs="Times New Roman"/>
                      <w:i w:val="0"/>
                      <w:color w:val="auto"/>
                      <w:sz w:val="21"/>
                      <w:szCs w:val="21"/>
                      <w:highlight w:val="none"/>
                      <w:u w:val="none"/>
                      <w:lang w:val="en-US" w:eastAsia="zh-CN"/>
                    </w:rPr>
                    <w:t>345.46</w:t>
                  </w:r>
                </w:p>
              </w:tc>
              <w:tc>
                <w:tcPr>
                  <w:tcW w:w="65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48.66</w:t>
                  </w:r>
                </w:p>
              </w:tc>
              <w:tc>
                <w:tcPr>
                  <w:tcW w:w="659" w:type="pct"/>
                  <w:vMerge w:val="continue"/>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外排水量</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p>
              </w:tc>
              <w:tc>
                <w:tcPr>
                  <w:tcW w:w="65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278.96</w:t>
                  </w:r>
                </w:p>
              </w:tc>
              <w:tc>
                <w:tcPr>
                  <w:tcW w:w="65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排入大沙沟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0" w:type="dxa"/>
                  <w:bottom w:w="0" w:type="dxa"/>
                  <w:right w:w="0" w:type="dxa"/>
                </w:tblCellMar>
              </w:tblPrEx>
              <w:trPr>
                <w:trHeight w:val="397" w:hRule="atLeast"/>
              </w:trPr>
              <w:tc>
                <w:tcPr>
                  <w:tcW w:w="764"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合计</w:t>
                  </w:r>
                </w:p>
              </w:tc>
              <w:tc>
                <w:tcPr>
                  <w:tcW w:w="650"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p>
              </w:tc>
              <w:tc>
                <w:tcPr>
                  <w:tcW w:w="390"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sz w:val="21"/>
                      <w:szCs w:val="21"/>
                      <w:u w:val="none"/>
                      <w:lang w:val="en-US" w:eastAsia="zh-CN"/>
                    </w:rPr>
                    <w:t>11</w:t>
                  </w:r>
                  <w:r>
                    <w:rPr>
                      <w:rFonts w:hint="eastAsia" w:cs="Times New Roman"/>
                      <w:i w:val="0"/>
                      <w:color w:val="auto"/>
                      <w:sz w:val="21"/>
                      <w:szCs w:val="21"/>
                      <w:u w:val="none"/>
                      <w:lang w:val="en-US" w:eastAsia="zh-CN"/>
                    </w:rPr>
                    <w:t>66.31</w:t>
                  </w:r>
                </w:p>
              </w:tc>
              <w:tc>
                <w:tcPr>
                  <w:tcW w:w="937"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94</w:t>
                  </w:r>
                  <w:r>
                    <w:rPr>
                      <w:rFonts w:hint="eastAsia" w:cs="Times New Roman"/>
                      <w:i w:val="0"/>
                      <w:color w:val="auto"/>
                      <w:sz w:val="21"/>
                      <w:szCs w:val="21"/>
                      <w:u w:val="none"/>
                      <w:lang w:val="en-US" w:eastAsia="zh-CN"/>
                    </w:rPr>
                    <w:t>5.31</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eastAsia="zh-CN"/>
                    </w:rPr>
                  </w:pPr>
                  <w:r>
                    <w:rPr>
                      <w:rFonts w:hint="eastAsia" w:cs="Times New Roman"/>
                      <w:i w:val="0"/>
                      <w:color w:val="auto"/>
                      <w:sz w:val="21"/>
                      <w:szCs w:val="21"/>
                      <w:u w:val="none"/>
                      <w:lang w:val="en-US" w:eastAsia="zh-CN"/>
                    </w:rPr>
                    <w:t>499.96</w:t>
                  </w:r>
                </w:p>
              </w:tc>
              <w:tc>
                <w:tcPr>
                  <w:tcW w:w="65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bl>
          <w:p>
            <w:pPr>
              <w:pStyle w:val="127"/>
              <w:keepNext w:val="0"/>
              <w:keepLines w:val="0"/>
              <w:pageBreakBefore w:val="0"/>
              <w:widowControl/>
              <w:kinsoku/>
              <w:wordWrap/>
              <w:overflowPunct/>
              <w:topLinePunct w:val="0"/>
              <w:autoSpaceDE/>
              <w:autoSpaceDN/>
              <w:bidi w:val="0"/>
              <w:adjustRightInd w:val="0"/>
              <w:snapToGrid w:val="0"/>
              <w:spacing w:before="120" w:before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兰花永胜煤矿</w:t>
            </w:r>
            <w:r>
              <w:rPr>
                <w:rFonts w:hint="default" w:ascii="Times New Roman" w:hAnsi="Times New Roman" w:eastAsia="宋体" w:cs="Times New Roman"/>
                <w:color w:val="auto"/>
              </w:rPr>
              <w:t>核定后用水水平衡表（非采暖期）      单位</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rPr>
              <w:t>/d</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26"/>
              <w:gridCol w:w="1264"/>
              <w:gridCol w:w="1777"/>
              <w:gridCol w:w="1258"/>
              <w:gridCol w:w="1063"/>
              <w:gridCol w:w="1065"/>
              <w:gridCol w:w="10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用水项</w:t>
                  </w:r>
                </w:p>
              </w:tc>
              <w:tc>
                <w:tcPr>
                  <w:tcW w:w="6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s="Times New Roman"/>
                      <w:b/>
                      <w:bCs/>
                      <w:i w:val="0"/>
                      <w:color w:val="auto"/>
                      <w:kern w:val="0"/>
                      <w:sz w:val="21"/>
                      <w:szCs w:val="21"/>
                      <w:u w:val="none"/>
                      <w:lang w:val="en-US" w:eastAsia="zh-CN" w:bidi="ar"/>
                    </w:rPr>
                    <w:t>用水定额</w:t>
                  </w:r>
                </w:p>
              </w:tc>
              <w:tc>
                <w:tcPr>
                  <w:tcW w:w="98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s="Times New Roman"/>
                      <w:b/>
                      <w:bCs/>
                      <w:i w:val="0"/>
                      <w:color w:val="auto"/>
                      <w:kern w:val="0"/>
                      <w:sz w:val="21"/>
                      <w:szCs w:val="21"/>
                      <w:u w:val="none"/>
                      <w:lang w:val="en-US" w:eastAsia="zh-CN" w:bidi="ar"/>
                    </w:rPr>
                    <w:t>规模</w:t>
                  </w:r>
                </w:p>
              </w:tc>
              <w:tc>
                <w:tcPr>
                  <w:tcW w:w="69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用水量</w:t>
                  </w:r>
                </w:p>
              </w:tc>
              <w:tc>
                <w:tcPr>
                  <w:tcW w:w="58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耗水量</w:t>
                  </w:r>
                </w:p>
              </w:tc>
              <w:tc>
                <w:tcPr>
                  <w:tcW w:w="58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排水量</w:t>
                  </w:r>
                </w:p>
              </w:tc>
              <w:tc>
                <w:tcPr>
                  <w:tcW w:w="59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排水去向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职工生活用水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30L/人·d</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00人</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cs="Times New Roman"/>
                      <w:i w:val="0"/>
                      <w:color w:val="auto"/>
                      <w:kern w:val="0"/>
                      <w:sz w:val="21"/>
                      <w:szCs w:val="21"/>
                      <w:highlight w:val="none"/>
                      <w:u w:val="none"/>
                      <w:lang w:val="en-US" w:eastAsia="zh-CN" w:bidi="ar"/>
                    </w:rPr>
                    <w:t>8</w:t>
                  </w:r>
                  <w:r>
                    <w:rPr>
                      <w:rFonts w:hint="default" w:ascii="Times New Roman" w:hAnsi="Times New Roman" w:eastAsia="宋体" w:cs="Times New Roman"/>
                      <w:i w:val="0"/>
                      <w:color w:val="auto"/>
                      <w:kern w:val="0"/>
                      <w:sz w:val="21"/>
                      <w:szCs w:val="21"/>
                      <w:highlight w:val="none"/>
                      <w:u w:val="none"/>
                      <w:lang w:val="en-US" w:eastAsia="zh-CN" w:bidi="ar"/>
                    </w:rPr>
                    <w:t>.00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r>
                    <w:rPr>
                      <w:rFonts w:hint="eastAsia" w:cs="Times New Roman"/>
                      <w:i w:val="0"/>
                      <w:color w:val="000000" w:themeColor="text1"/>
                      <w:kern w:val="0"/>
                      <w:sz w:val="21"/>
                      <w:szCs w:val="21"/>
                      <w:u w:val="none"/>
                      <w:lang w:val="en-US" w:eastAsia="zh-CN" w:bidi="ar"/>
                      <w14:textFill>
                        <w14:solidFill>
                          <w14:schemeClr w14:val="tx1"/>
                        </w14:solidFill>
                      </w14:textFill>
                    </w:rPr>
                    <w:t>6</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r>
                    <w:rPr>
                      <w:rFonts w:hint="eastAsia" w:cs="Times New Roman"/>
                      <w:i w:val="0"/>
                      <w:color w:val="000000" w:themeColor="text1"/>
                      <w:kern w:val="0"/>
                      <w:sz w:val="21"/>
                      <w:szCs w:val="21"/>
                      <w:u w:val="none"/>
                      <w:lang w:val="en-US" w:eastAsia="zh-CN" w:bidi="ar"/>
                      <w14:textFill>
                        <w14:solidFill>
                          <w14:schemeClr w14:val="tx1"/>
                        </w14:solidFill>
                      </w14:textFill>
                    </w:rPr>
                    <w:t>4.4</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98" w:type="pct"/>
                  <w:vMerge w:val="restar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进入污水</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处理站处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理后回用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食堂用水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20L/人·班</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2班，6</w:t>
                  </w:r>
                  <w:r>
                    <w:rPr>
                      <w:rFonts w:hint="default" w:ascii="Times New Roman" w:hAnsi="Times New Roman" w:eastAsia="宋体" w:cs="Times New Roman"/>
                      <w:i w:val="0"/>
                      <w:color w:val="auto"/>
                      <w:kern w:val="0"/>
                      <w:sz w:val="21"/>
                      <w:szCs w:val="21"/>
                      <w:highlight w:val="none"/>
                      <w:u w:val="none"/>
                      <w:lang w:val="en-US" w:eastAsia="zh-CN" w:bidi="ar"/>
                    </w:rPr>
                    <w:t>00人</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24.00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4.80</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19.20</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单身宿舍用水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30L/人·d</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284</w:t>
                  </w:r>
                  <w:r>
                    <w:rPr>
                      <w:rFonts w:hint="default" w:ascii="Times New Roman" w:hAnsi="Times New Roman" w:eastAsia="宋体" w:cs="Times New Roman"/>
                      <w:i w:val="0"/>
                      <w:color w:val="auto"/>
                      <w:kern w:val="0"/>
                      <w:sz w:val="21"/>
                      <w:szCs w:val="21"/>
                      <w:u w:val="none"/>
                      <w:lang w:val="en-US" w:eastAsia="zh-CN" w:bidi="ar"/>
                    </w:rPr>
                    <w:t>人</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8.52</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1.70</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6.82</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淋浴用水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auto"/>
                      <w:kern w:val="0"/>
                      <w:sz w:val="21"/>
                      <w:szCs w:val="21"/>
                    </w:rPr>
                    <w:t>300L/只</w:t>
                  </w:r>
                  <w:r>
                    <w:rPr>
                      <w:rFonts w:hint="eastAsia" w:ascii="Times New Roman" w:hAnsi="Times New Roman" w:eastAsia="宋体" w:cs="Times New Roman"/>
                      <w:color w:val="auto"/>
                      <w:kern w:val="0"/>
                      <w:sz w:val="21"/>
                      <w:szCs w:val="21"/>
                      <w:lang w:val="en-US" w:eastAsia="zh-CN"/>
                    </w:rPr>
                    <w:t>/次</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25只，3次</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r>
                    <w:rPr>
                      <w:rFonts w:hint="eastAsia" w:cs="Times New Roman"/>
                      <w:i w:val="0"/>
                      <w:color w:val="000000" w:themeColor="text1"/>
                      <w:kern w:val="0"/>
                      <w:sz w:val="21"/>
                      <w:szCs w:val="21"/>
                      <w:u w:val="none"/>
                      <w:lang w:val="en-US" w:eastAsia="zh-CN" w:bidi="ar"/>
                      <w14:textFill>
                        <w14:solidFill>
                          <w14:schemeClr w14:val="tx1"/>
                        </w14:solidFill>
                      </w14:textFill>
                    </w:rPr>
                    <w:t>2.5</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r>
                    <w:rPr>
                      <w:rFonts w:hint="eastAsia" w:cs="Times New Roman"/>
                      <w:i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r>
                    <w:rPr>
                      <w:rFonts w:hint="eastAsia" w:cs="Times New Roman"/>
                      <w:i w:val="0"/>
                      <w:color w:val="000000" w:themeColor="text1"/>
                      <w:kern w:val="0"/>
                      <w:sz w:val="21"/>
                      <w:szCs w:val="21"/>
                      <w:u w:val="none"/>
                      <w:lang w:val="en-US" w:eastAsia="zh-CN" w:bidi="ar"/>
                      <w14:textFill>
                        <w14:solidFill>
                          <w14:schemeClr w14:val="tx1"/>
                        </w14:solidFill>
                      </w14:textFill>
                    </w:rPr>
                    <w:t>8.0</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池浴用水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每天一次</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11.2</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2.24</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8.96</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洗衣房用水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auto"/>
                      <w:sz w:val="21"/>
                      <w:szCs w:val="21"/>
                    </w:rPr>
                    <w:t>80L/kg.干衣</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auto"/>
                      <w:sz w:val="21"/>
                      <w:szCs w:val="21"/>
                      <w:lang w:val="en-US" w:eastAsia="zh-CN"/>
                    </w:rPr>
                    <w:t>260人，1.5kg/人</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31.20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6.24</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24.96</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井下洒水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rPr>
                    <w:t>0.10m</w:t>
                  </w:r>
                  <w:r>
                    <w:rPr>
                      <w:rFonts w:hint="default" w:ascii="Times New Roman" w:hAnsi="Times New Roman" w:eastAsia="宋体" w:cs="Times New Roman"/>
                      <w:color w:val="auto"/>
                      <w:sz w:val="21"/>
                      <w:szCs w:val="21"/>
                      <w:highlight w:val="none"/>
                      <w:vertAlign w:val="superscript"/>
                      <w:lang w:val="en-US"/>
                    </w:rPr>
                    <w:t>3</w:t>
                  </w:r>
                  <w:r>
                    <w:rPr>
                      <w:rFonts w:hint="default" w:ascii="Times New Roman" w:hAnsi="Times New Roman" w:eastAsia="宋体" w:cs="Times New Roman"/>
                      <w:color w:val="auto"/>
                      <w:sz w:val="21"/>
                      <w:szCs w:val="21"/>
                      <w:highlight w:val="none"/>
                      <w:lang w:val="en-US"/>
                    </w:rPr>
                    <w:t>/t</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1.2Mt</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328.77</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eastAsia" w:cs="Times New Roman"/>
                      <w:i w:val="0"/>
                      <w:color w:val="000000" w:themeColor="text1"/>
                      <w:kern w:val="2"/>
                      <w:sz w:val="21"/>
                      <w:szCs w:val="21"/>
                      <w:u w:val="none"/>
                      <w:lang w:val="en-US" w:eastAsia="zh-CN" w:bidi="ar-SA"/>
                      <w14:textFill>
                        <w14:solidFill>
                          <w14:schemeClr w14:val="tx1"/>
                        </w14:solidFill>
                      </w14:textFill>
                    </w:rPr>
                    <w:t>328.77</w:t>
                  </w:r>
                </w:p>
              </w:tc>
              <w:tc>
                <w:tcPr>
                  <w:tcW w:w="58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t>0</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黄泥灌浆</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K</w:t>
                  </w:r>
                  <w:r>
                    <w:rPr>
                      <w:rFonts w:hint="eastAsia" w:cs="Times New Roman"/>
                      <w:i w:val="0"/>
                      <w:color w:val="auto"/>
                      <w:sz w:val="21"/>
                      <w:szCs w:val="21"/>
                      <w:highlight w:val="none"/>
                      <w:u w:val="none"/>
                      <w:lang w:val="en-US" w:eastAsia="zh-CN"/>
                    </w:rPr>
                    <w:t>=</w:t>
                  </w:r>
                  <w:r>
                    <w:rPr>
                      <w:rFonts w:hint="default" w:ascii="Times New Roman" w:hAnsi="Times New Roman" w:eastAsia="宋体" w:cs="Times New Roman"/>
                      <w:i w:val="0"/>
                      <w:color w:val="auto"/>
                      <w:sz w:val="21"/>
                      <w:szCs w:val="21"/>
                      <w:highlight w:val="none"/>
                      <w:u w:val="none"/>
                      <w:lang w:val="en-US" w:eastAsia="zh-CN"/>
                    </w:rPr>
                    <w:t>0.067</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泥</w:t>
                  </w:r>
                  <w:r>
                    <w:rPr>
                      <w:rFonts w:hint="default" w:ascii="Times New Roman" w:hAnsi="Times New Roman" w:eastAsia="宋体" w:cs="Times New Roman"/>
                      <w:i w:val="0"/>
                      <w:color w:val="auto"/>
                      <w:sz w:val="21"/>
                      <w:szCs w:val="21"/>
                      <w:highlight w:val="none"/>
                      <w:u w:val="none"/>
                      <w:lang w:val="en-US" w:eastAsia="zh-CN"/>
                    </w:rPr>
                    <w:t>水比为1：2</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3</w:t>
                  </w:r>
                  <w:r>
                    <w:rPr>
                      <w:rFonts w:hint="eastAsia" w:cs="Times New Roman"/>
                      <w:i w:val="0"/>
                      <w:color w:val="auto"/>
                      <w:sz w:val="21"/>
                      <w:szCs w:val="21"/>
                      <w:highlight w:val="none"/>
                      <w:u w:val="none"/>
                      <w:lang w:val="en-US" w:eastAsia="zh-CN"/>
                    </w:rPr>
                    <w:t>94.12</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eastAsia" w:cs="Times New Roman"/>
                      <w:i w:val="0"/>
                      <w:color w:val="000000" w:themeColor="text1"/>
                      <w:kern w:val="2"/>
                      <w:sz w:val="21"/>
                      <w:szCs w:val="21"/>
                      <w:u w:val="none"/>
                      <w:lang w:val="en-US" w:eastAsia="zh-CN" w:bidi="ar-SA"/>
                      <w14:textFill>
                        <w14:solidFill>
                          <w14:schemeClr w14:val="tx1"/>
                        </w14:solidFill>
                      </w14:textFill>
                    </w:rPr>
                    <w:t>345.46</w:t>
                  </w:r>
                </w:p>
              </w:tc>
              <w:tc>
                <w:tcPr>
                  <w:tcW w:w="58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48.66</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锅炉用水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绿化用水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auto"/>
                      <w:sz w:val="21"/>
                      <w:szCs w:val="21"/>
                    </w:rPr>
                    <w:t>1.5L/m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·次</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auto"/>
                      <w:sz w:val="21"/>
                      <w:szCs w:val="21"/>
                      <w:lang w:val="en-US" w:eastAsia="zh-CN"/>
                    </w:rPr>
                    <w:t>2次，</w:t>
                  </w:r>
                  <w:r>
                    <w:rPr>
                      <w:rFonts w:hint="default" w:ascii="Times New Roman" w:hAnsi="Times New Roman" w:eastAsia="宋体" w:cs="Times New Roman"/>
                      <w:color w:val="auto"/>
                      <w:sz w:val="21"/>
                      <w:szCs w:val="21"/>
                      <w:lang w:eastAsia="zh-CN"/>
                    </w:rPr>
                    <w:t>0.95h</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28.50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28.50</w:t>
                  </w:r>
                </w:p>
              </w:tc>
              <w:tc>
                <w:tcPr>
                  <w:tcW w:w="58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t>0</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道路降尘洒水</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auto"/>
                      <w:sz w:val="21"/>
                      <w:szCs w:val="21"/>
                    </w:rPr>
                    <w:t>1.0L/m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·次</w:t>
                  </w: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color w:val="auto"/>
                      <w:sz w:val="21"/>
                      <w:szCs w:val="21"/>
                      <w:lang w:val="en-US" w:eastAsia="zh-CN"/>
                    </w:rPr>
                    <w:t>2次，</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21</w:t>
                  </w:r>
                  <w:r>
                    <w:rPr>
                      <w:rFonts w:hint="default" w:ascii="Times New Roman" w:hAnsi="Times New Roman" w:eastAsia="宋体" w:cs="Times New Roman"/>
                      <w:color w:val="auto"/>
                      <w:sz w:val="21"/>
                      <w:szCs w:val="21"/>
                      <w:lang w:eastAsia="zh-CN"/>
                    </w:rPr>
                    <w:t>h</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24.20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24.20</w:t>
                  </w:r>
                </w:p>
              </w:tc>
              <w:tc>
                <w:tcPr>
                  <w:tcW w:w="58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t>0</w:t>
                  </w:r>
                </w:p>
              </w:tc>
              <w:tc>
                <w:tcPr>
                  <w:tcW w:w="598" w:type="pct"/>
                  <w:vMerge w:val="continue"/>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外排水量</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p>
              </w:tc>
              <w:tc>
                <w:tcPr>
                  <w:tcW w:w="58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154.26</w:t>
                  </w:r>
                </w:p>
              </w:tc>
              <w:tc>
                <w:tcPr>
                  <w:tcW w:w="598"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t>排入大沙沟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4"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合计</w:t>
                  </w:r>
                </w:p>
              </w:tc>
              <w:tc>
                <w:tcPr>
                  <w:tcW w:w="69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983"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914.97</w:t>
                  </w:r>
                </w:p>
              </w:tc>
              <w:tc>
                <w:tcPr>
                  <w:tcW w:w="58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760.51</w:t>
                  </w:r>
                </w:p>
              </w:tc>
              <w:tc>
                <w:tcPr>
                  <w:tcW w:w="58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437.9</w:t>
                  </w:r>
                </w:p>
              </w:tc>
              <w:tc>
                <w:tcPr>
                  <w:tcW w:w="59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r>
          </w:tbl>
          <w:p>
            <w:pPr>
              <w:ind w:firstLine="560"/>
              <w:rPr>
                <w:rFonts w:hint="default" w:ascii="Times New Roman" w:hAnsi="Times New Roman" w:eastAsia="宋体" w:cs="Times New Roman"/>
              </w:rPr>
            </w:pPr>
            <w:r>
              <w:rPr>
                <w:rFonts w:hint="default" w:ascii="Times New Roman" w:hAnsi="Times New Roman" w:eastAsia="宋体" w:cs="Times New Roman"/>
              </w:rPr>
              <w:t>③水平衡</w:t>
            </w: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r>
              <w:rPr>
                <w:rFonts w:hint="default" w:ascii="Times New Roman" w:hAnsi="Times New Roman" w:eastAsia="宋体" w:cs="Times New Roman"/>
                <w:lang w:eastAsia="zh-CN"/>
              </w:rPr>
              <w:object>
                <v:shape id="_x0000_i1025" o:spt="75" type="#_x0000_t75" style="height:484.45pt;width:455.8pt;" o:ole="t" filled="f" o:preferrelative="t" stroked="f" coordsize="21600,21600">
                  <v:path/>
                  <v:fill on="f" focussize="0,0"/>
                  <v:stroke on="f"/>
                  <v:imagedata r:id="rId10" o:title=""/>
                  <o:lock v:ext="edit" aspectratio="t"/>
                  <w10:wrap type="none"/>
                  <w10:anchorlock/>
                </v:shape>
                <o:OLEObject Type="Embed" ProgID="Visio.Drawing.11" ShapeID="_x0000_i1025" DrawAspect="Content" ObjectID="_1468075725" r:id="rId9">
                  <o:LockedField>false</o:LockedField>
                </o:OLEObject>
              </w:object>
            </w: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 xml:space="preserve">1-1   </w:t>
            </w:r>
            <w:r>
              <w:rPr>
                <w:rFonts w:hint="default" w:ascii="Times New Roman" w:hAnsi="Times New Roman" w:eastAsia="宋体" w:cs="Times New Roman"/>
                <w:b/>
                <w:bCs/>
              </w:rPr>
              <w:t>永胜煤业非采暖季水平衡图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lang w:eastAsia="zh-CN"/>
              </w:rPr>
            </w:pP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p>
          <w:p>
            <w:pPr>
              <w:rPr>
                <w:rFonts w:hint="default"/>
              </w:rPr>
            </w:pP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p>
          <w:p>
            <w:pPr>
              <w:pStyle w:val="9"/>
              <w:keepNext w:val="0"/>
              <w:keepLines w:val="0"/>
              <w:pageBreakBefore w:val="0"/>
              <w:widowControl w:val="0"/>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eastAsia="宋体" w:cs="Times New Roman"/>
                <w:b/>
                <w:bC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object>
                <v:shape id="_x0000_i1026" o:spt="75" type="#_x0000_t75" style="height:400.45pt;width:460.3pt;" o:ole="t" filled="f" o:preferrelative="t" stroked="f" coordsize="21600,21600">
                  <v:path/>
                  <v:fill on="f" focussize="0,0"/>
                  <v:stroke on="f"/>
                  <v:imagedata r:id="rId12" o:title=""/>
                  <o:lock v:ext="edit" aspectratio="t"/>
                  <w10:wrap type="none"/>
                  <w10:anchorlock/>
                </v:shape>
                <o:OLEObject Type="Embed" ProgID="Visio.Drawing.11" ShapeID="_x0000_i1026" DrawAspect="Content" ObjectID="_1468075726" r:id="rId11">
                  <o:LockedField>false</o:LockedField>
                </o:OLEObject>
              </w:object>
            </w:r>
          </w:p>
          <w:p>
            <w:pPr>
              <w:spacing w:line="480" w:lineRule="exact"/>
              <w:ind w:firstLine="480"/>
              <w:jc w:val="center"/>
              <w:rPr>
                <w:rFonts w:hint="default" w:ascii="Times New Roman" w:hAnsi="Times New Roman" w:eastAsia="宋体" w:cs="Times New Roman"/>
                <w:b/>
                <w:bCs/>
                <w:kern w:val="2"/>
                <w:sz w:val="24"/>
                <w:szCs w:val="20"/>
                <w:lang w:val="en-US" w:eastAsia="zh-CN" w:bidi="ar-SA"/>
              </w:rPr>
            </w:pP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 xml:space="preserve">1-2   </w:t>
            </w:r>
            <w:r>
              <w:rPr>
                <w:rFonts w:hint="default" w:ascii="Times New Roman" w:hAnsi="Times New Roman" w:eastAsia="宋体" w:cs="Times New Roman"/>
                <w:b/>
                <w:bCs/>
              </w:rPr>
              <w:t>永胜煤业采暖季水平衡图</w:t>
            </w:r>
          </w:p>
          <w:p>
            <w:pPr>
              <w:spacing w:line="480" w:lineRule="exact"/>
              <w:ind w:firstLine="480"/>
              <w:rPr>
                <w:rFonts w:hint="default" w:ascii="Times New Roman" w:hAnsi="Times New Roman" w:eastAsia="宋体" w:cs="Times New Roman"/>
                <w:highlight w:val="none"/>
              </w:rPr>
            </w:pPr>
            <w:r>
              <w:rPr>
                <w:rFonts w:hint="default" w:ascii="Times New Roman" w:hAnsi="Times New Roman" w:eastAsia="宋体" w:cs="Times New Roman"/>
                <w:lang w:eastAsia="zh-CN"/>
              </w:rPr>
              <w:t>由用水情况可知，</w:t>
            </w:r>
            <w:r>
              <w:rPr>
                <w:rFonts w:hint="default" w:ascii="Times New Roman" w:hAnsi="Times New Roman" w:eastAsia="宋体" w:cs="Times New Roman"/>
                <w:highlight w:val="none"/>
              </w:rPr>
              <w:t>采暖季日</w:t>
            </w:r>
            <w:r>
              <w:rPr>
                <w:rFonts w:hint="eastAsia" w:cs="Times New Roman"/>
                <w:highlight w:val="none"/>
                <w:lang w:eastAsia="zh-CN"/>
              </w:rPr>
              <w:t>回用水量为</w:t>
            </w:r>
            <w:r>
              <w:rPr>
                <w:rFonts w:hint="eastAsia" w:cs="Times New Roman"/>
                <w:highlight w:val="none"/>
                <w:lang w:val="en-US" w:eastAsia="zh-CN"/>
              </w:rPr>
              <w:t>661.75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highlight w:val="none"/>
              </w:rPr>
              <w:t>/d，</w:t>
            </w:r>
            <w:r>
              <w:rPr>
                <w:rFonts w:hint="default" w:ascii="Times New Roman" w:hAnsi="Times New Roman" w:eastAsia="宋体" w:cs="Times New Roman"/>
                <w:highlight w:val="none"/>
                <w:lang w:eastAsia="zh-CN"/>
              </w:rPr>
              <w:t>外</w:t>
            </w:r>
            <w:r>
              <w:rPr>
                <w:rFonts w:hint="default" w:ascii="Times New Roman" w:hAnsi="Times New Roman" w:eastAsia="宋体" w:cs="Times New Roman"/>
                <w:highlight w:val="none"/>
              </w:rPr>
              <w:t>排水量为</w:t>
            </w:r>
            <w:r>
              <w:rPr>
                <w:rFonts w:hint="default" w:ascii="Times New Roman" w:hAnsi="Times New Roman" w:eastAsia="宋体" w:cs="Times New Roman"/>
                <w:highlight w:val="none"/>
                <w:lang w:val="en-US" w:eastAsia="zh-CN"/>
              </w:rPr>
              <w:t>278.96</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highlight w:val="none"/>
              </w:rPr>
              <w:t>/d，非采暖季日</w:t>
            </w:r>
            <w:r>
              <w:rPr>
                <w:rFonts w:hint="eastAsia" w:cs="Times New Roman"/>
                <w:highlight w:val="none"/>
                <w:lang w:eastAsia="zh-CN"/>
              </w:rPr>
              <w:t>回用水量为</w:t>
            </w:r>
            <w:r>
              <w:rPr>
                <w:rFonts w:hint="eastAsia" w:cs="Times New Roman"/>
                <w:highlight w:val="none"/>
                <w:lang w:val="en-US" w:eastAsia="zh-CN"/>
              </w:rPr>
              <w:t>714.45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highlight w:val="none"/>
              </w:rPr>
              <w:t>/d，</w:t>
            </w:r>
            <w:r>
              <w:rPr>
                <w:rFonts w:hint="default" w:ascii="Times New Roman" w:hAnsi="Times New Roman" w:eastAsia="宋体" w:cs="Times New Roman"/>
                <w:highlight w:val="none"/>
                <w:lang w:eastAsia="zh-CN"/>
              </w:rPr>
              <w:t>外</w:t>
            </w:r>
            <w:r>
              <w:rPr>
                <w:rFonts w:hint="default" w:ascii="Times New Roman" w:hAnsi="Times New Roman" w:eastAsia="宋体" w:cs="Times New Roman"/>
                <w:highlight w:val="none"/>
              </w:rPr>
              <w:t>排水量为</w:t>
            </w:r>
            <w:r>
              <w:rPr>
                <w:rFonts w:hint="default" w:ascii="Times New Roman" w:hAnsi="Times New Roman" w:eastAsia="宋体" w:cs="Times New Roman"/>
                <w:highlight w:val="none"/>
                <w:lang w:val="en-US" w:eastAsia="zh-CN"/>
              </w:rPr>
              <w:t>154.26</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highlight w:val="none"/>
              </w:rPr>
              <w:t>/d，年排水量为</w:t>
            </w:r>
            <w:r>
              <w:rPr>
                <w:rFonts w:hint="default" w:ascii="Times New Roman" w:hAnsi="Times New Roman" w:eastAsia="宋体" w:cs="Times New Roman"/>
                <w:highlight w:val="none"/>
                <w:lang w:val="en-US" w:eastAsia="zh-CN"/>
              </w:rPr>
              <w:t>7.88</w:t>
            </w:r>
            <w:r>
              <w:rPr>
                <w:rFonts w:hint="default" w:ascii="Times New Roman" w:hAnsi="Times New Roman" w:eastAsia="宋体" w:cs="Times New Roman"/>
                <w:highlight w:val="none"/>
              </w:rPr>
              <w:t>万</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highlight w:val="none"/>
              </w:rPr>
              <w:t>/a。</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highlight w:val="none"/>
                <w:lang w:eastAsia="zh-CN"/>
              </w:rPr>
              <w:t>此外，</w:t>
            </w:r>
            <w:r>
              <w:rPr>
                <w:rFonts w:hint="default" w:ascii="Times New Roman" w:hAnsi="Times New Roman" w:eastAsia="宋体" w:cs="Times New Roman"/>
              </w:rPr>
              <w:t>矿井水</w:t>
            </w:r>
            <w:r>
              <w:rPr>
                <w:rFonts w:hint="default" w:ascii="Times New Roman" w:hAnsi="Times New Roman" w:eastAsia="宋体" w:cs="Times New Roman"/>
                <w:lang w:eastAsia="zh-CN"/>
              </w:rPr>
              <w:t>经矿井水处理站处理</w:t>
            </w:r>
            <w:r>
              <w:rPr>
                <w:rFonts w:hint="eastAsia" w:ascii="Times New Roman" w:hAnsi="Times New Roman" w:eastAsia="宋体" w:cs="Times New Roman"/>
                <w:lang w:eastAsia="zh-CN"/>
              </w:rPr>
              <w:t>后能够</w:t>
            </w:r>
            <w:r>
              <w:rPr>
                <w:rFonts w:hint="default" w:ascii="Times New Roman" w:hAnsi="Times New Roman" w:eastAsia="宋体" w:cs="Times New Roman"/>
                <w:lang w:eastAsia="zh-CN"/>
              </w:rPr>
              <w:t>达</w:t>
            </w:r>
            <w:r>
              <w:rPr>
                <w:rFonts w:hint="default" w:ascii="Times New Roman" w:hAnsi="Times New Roman" w:eastAsia="宋体" w:cs="Times New Roman"/>
                <w:highlight w:val="none"/>
                <w:lang w:eastAsia="zh-CN"/>
              </w:rPr>
              <w:t>到</w:t>
            </w:r>
            <w:r>
              <w:rPr>
                <w:rFonts w:hint="default" w:ascii="Times New Roman" w:hAnsi="Times New Roman" w:eastAsia="宋体" w:cs="Times New Roman"/>
                <w:bCs/>
                <w:color w:val="000000" w:themeColor="text1"/>
                <w:kern w:val="0"/>
                <w:highlight w:val="none"/>
                <w14:textFill>
                  <w14:solidFill>
                    <w14:schemeClr w14:val="tx1"/>
                  </w14:solidFill>
                </w14:textFill>
              </w:rPr>
              <w:t>《地表水环境质量标准》（GB 3838-2002）中Ⅲ类水水质标准</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highlight w:val="none"/>
                <w:lang w:eastAsia="zh-CN"/>
                <w14:textFill>
                  <w14:solidFill>
                    <w14:schemeClr w14:val="tx1"/>
                  </w14:solidFill>
                </w14:textFill>
              </w:rPr>
              <w:t>能够满足外排要求，因此，本项目不能回用部分的水外排是合理可行的。</w:t>
            </w:r>
          </w:p>
          <w:bookmarkEnd w:id="3"/>
          <w:p>
            <w:pPr>
              <w:spacing w:line="480" w:lineRule="exact"/>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4.2供热</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bookmarkStart w:id="4" w:name="_Hlk21537249"/>
            <w:r>
              <w:rPr>
                <w:rFonts w:hint="default" w:ascii="Times New Roman" w:hAnsi="Times New Roman" w:eastAsia="宋体" w:cs="Times New Roman"/>
                <w:color w:val="000000" w:themeColor="text1"/>
                <w:highlight w:val="none"/>
                <w14:textFill>
                  <w14:solidFill>
                    <w14:schemeClr w14:val="tx1"/>
                  </w14:solidFill>
                </w14:textFill>
              </w:rPr>
              <w:t>本项目</w:t>
            </w:r>
            <w:r>
              <w:rPr>
                <w:rFonts w:hint="default" w:ascii="Times New Roman" w:hAnsi="Times New Roman" w:eastAsia="宋体" w:cs="Times New Roman"/>
                <w:color w:val="000000" w:themeColor="text1"/>
                <w:highlight w:val="none"/>
                <w:lang w:eastAsia="zh-CN"/>
                <w14:textFill>
                  <w14:solidFill>
                    <w14:schemeClr w14:val="tx1"/>
                  </w14:solidFill>
                </w14:textFill>
              </w:rPr>
              <w:t>矿井水处理站</w:t>
            </w:r>
            <w:r>
              <w:rPr>
                <w:rFonts w:hint="default" w:ascii="Times New Roman" w:hAnsi="Times New Roman" w:eastAsia="宋体" w:cs="Times New Roman"/>
                <w:color w:val="000000" w:themeColor="text1"/>
                <w:highlight w:val="none"/>
                <w14:textFill>
                  <w14:solidFill>
                    <w14:schemeClr w14:val="tx1"/>
                  </w14:solidFill>
                </w14:textFill>
              </w:rPr>
              <w:t>供热由</w:t>
            </w:r>
            <w:r>
              <w:rPr>
                <w:rFonts w:hint="eastAsia" w:cs="Times New Roman"/>
                <w:bCs/>
                <w:color w:val="000000" w:themeColor="text1"/>
                <w:kern w:val="0"/>
                <w:highlight w:val="none"/>
                <w:lang w:eastAsia="zh-CN"/>
                <w14:textFill>
                  <w14:solidFill>
                    <w14:schemeClr w14:val="tx1"/>
                  </w14:solidFill>
                </w14:textFill>
              </w:rPr>
              <w:t>蒸汽锅炉</w:t>
            </w:r>
            <w:r>
              <w:rPr>
                <w:rFonts w:hint="default" w:ascii="Times New Roman" w:hAnsi="Times New Roman" w:eastAsia="宋体" w:cs="Times New Roman"/>
                <w:color w:val="000000" w:themeColor="text1"/>
                <w:highlight w:val="none"/>
                <w14:textFill>
                  <w14:solidFill>
                    <w14:schemeClr w14:val="tx1"/>
                  </w14:solidFill>
                </w14:textFill>
              </w:rPr>
              <w:t>提供。</w:t>
            </w:r>
          </w:p>
          <w:bookmarkEnd w:id="4"/>
          <w:p>
            <w:pPr>
              <w:spacing w:line="480" w:lineRule="exact"/>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4.3供电</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本项目为三班制连续工作，由</w:t>
            </w:r>
            <w:r>
              <w:rPr>
                <w:rFonts w:hint="default" w:ascii="Times New Roman" w:hAnsi="Times New Roman" w:eastAsia="宋体" w:cs="Times New Roman"/>
                <w:bCs/>
                <w:color w:val="000000" w:themeColor="text1"/>
                <w:kern w:val="0"/>
                <w:highlight w:val="none"/>
                <w14:textFill>
                  <w14:solidFill>
                    <w14:schemeClr w14:val="tx1"/>
                  </w14:solidFill>
                </w14:textFill>
              </w:rPr>
              <w:t>工业场地</w:t>
            </w:r>
            <w:r>
              <w:rPr>
                <w:rFonts w:hint="default" w:ascii="Times New Roman" w:hAnsi="Times New Roman" w:eastAsia="宋体" w:cs="Times New Roman"/>
                <w:color w:val="000000" w:themeColor="text1"/>
                <w:highlight w:val="none"/>
                <w14:textFill>
                  <w14:solidFill>
                    <w14:schemeClr w14:val="tx1"/>
                  </w14:solidFill>
                </w14:textFill>
              </w:rPr>
              <w:t>内低压配电室直接提供380V电源两路进行供电。</w:t>
            </w:r>
          </w:p>
          <w:p>
            <w:pPr>
              <w:spacing w:line="480" w:lineRule="exact"/>
              <w:ind w:firstLine="48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5、主要经济技术指标</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本项目主要经济技术指标见表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highlight w:val="none"/>
                <w14:textFill>
                  <w14:solidFill>
                    <w14:schemeClr w14:val="tx1"/>
                  </w14:solidFill>
                </w14:textFill>
              </w:rPr>
              <w:t>。</w:t>
            </w:r>
          </w:p>
          <w:p>
            <w:pPr>
              <w:spacing w:line="480" w:lineRule="exact"/>
              <w:ind w:firstLine="422"/>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表1-9    主要经济技术指标表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019"/>
              <w:gridCol w:w="3019"/>
              <w:gridCol w:w="1033"/>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序号</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产品名称</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单位</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数量</w:t>
                  </w:r>
                </w:p>
              </w:tc>
              <w:tc>
                <w:tcPr>
                  <w:tcW w:w="571" w:type="pct"/>
                </w:tcPr>
                <w:p>
                  <w:pPr>
                    <w:spacing w:line="240" w:lineRule="auto"/>
                    <w:ind w:firstLine="0" w:firstLineChars="0"/>
                    <w:jc w:val="center"/>
                    <w:rPr>
                      <w:rFonts w:hint="default" w:ascii="Times New Roman" w:hAnsi="Times New Roman" w:eastAsia="宋体" w:cs="Times New Roman"/>
                      <w:b/>
                      <w:bCs w:val="0"/>
                      <w:color w:val="000000" w:themeColor="text1"/>
                      <w:kern w:val="0"/>
                      <w:sz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1</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处理水量</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highlight w:val="none"/>
                      <w14:textFill>
                        <w14:solidFill>
                          <w14:schemeClr w14:val="tx1"/>
                        </w14:solidFill>
                      </w14:textFill>
                    </w:rPr>
                    <w:t>/</w:t>
                  </w: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d</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lang w:val="en-US" w:eastAsia="zh-CN"/>
                      <w14:textFill>
                        <w14:solidFill>
                          <w14:schemeClr w14:val="tx1"/>
                        </w14:solidFill>
                      </w14:textFill>
                    </w:rPr>
                    <w:t>800</w:t>
                  </w:r>
                </w:p>
              </w:tc>
              <w:tc>
                <w:tcPr>
                  <w:tcW w:w="571" w:type="pct"/>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2</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劳动定员</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人</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6</w:t>
                  </w:r>
                </w:p>
              </w:tc>
              <w:tc>
                <w:tcPr>
                  <w:tcW w:w="571" w:type="pct"/>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3</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年工作天数</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天</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365</w:t>
                  </w:r>
                </w:p>
              </w:tc>
              <w:tc>
                <w:tcPr>
                  <w:tcW w:w="571" w:type="pct"/>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不新增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4</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工程总投资</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万元</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highlight w:val="none"/>
                      <w:lang w:val="en-US" w:eastAsia="zh-CN"/>
                      <w14:textFill>
                        <w14:solidFill>
                          <w14:schemeClr w14:val="tx1"/>
                        </w14:solidFill>
                      </w14:textFill>
                    </w:rPr>
                    <w:t>309</w:t>
                  </w:r>
                </w:p>
              </w:tc>
              <w:tc>
                <w:tcPr>
                  <w:tcW w:w="571" w:type="pct"/>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5</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施工周期</w:t>
                  </w:r>
                </w:p>
              </w:tc>
              <w:tc>
                <w:tcPr>
                  <w:tcW w:w="1669"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月</w:t>
                  </w:r>
                </w:p>
              </w:tc>
              <w:tc>
                <w:tcPr>
                  <w:tcW w:w="571" w:type="pct"/>
                  <w:shd w:val="clear" w:color="auto" w:fill="auto"/>
                  <w:vAlign w:val="center"/>
                </w:tcPr>
                <w:p>
                  <w:pPr>
                    <w:spacing w:line="240" w:lineRule="auto"/>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highlight w:val="none"/>
                      <w14:textFill>
                        <w14:solidFill>
                          <w14:schemeClr w14:val="tx1"/>
                        </w14:solidFill>
                      </w14:textFill>
                    </w:rPr>
                    <w:t>5</w:t>
                  </w:r>
                </w:p>
              </w:tc>
              <w:tc>
                <w:tcPr>
                  <w:tcW w:w="571" w:type="pct"/>
                </w:tcPr>
                <w:p>
                  <w:pPr>
                    <w:spacing w:line="240" w:lineRule="auto"/>
                    <w:ind w:firstLine="0" w:firstLineChars="0"/>
                    <w:jc w:val="center"/>
                    <w:rPr>
                      <w:rFonts w:hint="default" w:ascii="Times New Roman" w:hAnsi="Times New Roman" w:eastAsia="宋体" w:cs="Times New Roman"/>
                      <w:bCs/>
                      <w:color w:val="000000" w:themeColor="text1"/>
                      <w:kern w:val="0"/>
                      <w:sz w:val="21"/>
                      <w:highlight w:val="none"/>
                      <w14:textFill>
                        <w14:solidFill>
                          <w14:schemeClr w14:val="tx1"/>
                        </w14:solidFill>
                      </w14:textFill>
                    </w:rPr>
                  </w:pPr>
                </w:p>
              </w:tc>
            </w:tr>
          </w:tbl>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bl>
    <w:p>
      <w:pPr>
        <w:ind w:firstLine="480"/>
        <w:rPr>
          <w:rFonts w:hint="default" w:ascii="Times New Roman" w:hAnsi="Times New Roman" w:eastAsia="宋体" w:cs="Times New Roman"/>
          <w:color w:val="000000" w:themeColor="text1"/>
          <w:highlight w:val="red"/>
          <w14:textFill>
            <w14:solidFill>
              <w14:schemeClr w14:val="tx1"/>
            </w14:solidFill>
          </w14:textFill>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与本项目有关的原有污染情况及主要环境问题</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1" w:hRule="atLeast"/>
          <w:jc w:val="center"/>
        </w:trPr>
        <w:tc>
          <w:tcPr>
            <w:tcW w:w="5000" w:type="pct"/>
          </w:tcPr>
          <w:p>
            <w:pPr>
              <w:spacing w:line="480" w:lineRule="exact"/>
              <w:ind w:firstLine="480"/>
              <w:jc w:val="left"/>
              <w:rPr>
                <w:rFonts w:hint="default" w:ascii="Times New Roman" w:hAnsi="Times New Roman" w:eastAsia="宋体"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一、</w:t>
            </w:r>
            <w:r>
              <w:rPr>
                <w:rFonts w:hint="default" w:ascii="Times New Roman" w:hAnsi="Times New Roman" w:eastAsia="宋体" w:cs="Times New Roman"/>
                <w:b/>
                <w:bCs/>
                <w:color w:val="000000" w:themeColor="text1"/>
                <w:highlight w:val="none"/>
                <w14:textFill>
                  <w14:solidFill>
                    <w14:schemeClr w14:val="tx1"/>
                  </w14:solidFill>
                </w14:textFill>
              </w:rPr>
              <w:t>矿井水现有工程基本情况</w:t>
            </w:r>
          </w:p>
          <w:p>
            <w:pPr>
              <w:spacing w:line="480" w:lineRule="exact"/>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山西朔州平鲁区兰花永胜煤业有限公司</w:t>
            </w:r>
            <w:r>
              <w:rPr>
                <w:rFonts w:hint="eastAsia" w:ascii="Times New Roman" w:hAnsi="Times New Roman" w:eastAsia="宋体" w:cs="Times New Roman"/>
                <w:color w:val="000000" w:themeColor="text1"/>
                <w:highlight w:val="none"/>
                <w:lang w:eastAsia="zh-CN"/>
                <w14:textFill>
                  <w14:solidFill>
                    <w14:schemeClr w14:val="tx1"/>
                  </w14:solidFill>
                </w14:textFill>
              </w:rPr>
              <w:t>现</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工业场地西北侧设有一座矿井水处理站，采用调节、混凝、沉淀、过滤、消毒的处理工艺</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每天工作时间为24h，处理能力</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cs="Times New Roman"/>
                <w:sz w:val="24"/>
                <w:szCs w:val="24"/>
                <w:highlight w:val="none"/>
                <w:lang w:val="en-US" w:eastAsia="zh-CN"/>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理后全部用于井下洒水，不外排，与环评及验收阶段一致。</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szCs w:val="20"/>
                <w:highlight w:val="none"/>
                <w:lang w:eastAsia="zh-CN"/>
                <w14:textFill>
                  <w14:solidFill>
                    <w14:schemeClr w14:val="tx1"/>
                  </w14:solidFill>
                </w14:textFill>
              </w:rPr>
              <w:t>现有工程</w:t>
            </w:r>
            <w:r>
              <w:rPr>
                <w:rFonts w:hint="eastAsia" w:ascii="Times New Roman" w:hAnsi="Times New Roman" w:eastAsia="宋体" w:cs="Times New Roman"/>
                <w:color w:val="000000" w:themeColor="text1"/>
                <w:szCs w:val="20"/>
                <w:highlight w:val="none"/>
                <w:lang w:eastAsia="zh-CN"/>
                <w14:textFill>
                  <w14:solidFill>
                    <w14:schemeClr w14:val="tx1"/>
                  </w14:solidFill>
                </w14:textFill>
              </w:rPr>
              <w:t>矿井水处理站</w:t>
            </w:r>
            <w:r>
              <w:rPr>
                <w:rFonts w:hint="default" w:ascii="Times New Roman" w:hAnsi="Times New Roman" w:eastAsia="宋体" w:cs="Times New Roman"/>
                <w:color w:val="000000" w:themeColor="text1"/>
                <w:szCs w:val="20"/>
                <w:highlight w:val="none"/>
                <w:lang w:eastAsia="zh-CN"/>
                <w14:textFill>
                  <w14:solidFill>
                    <w14:schemeClr w14:val="tx1"/>
                  </w14:solidFill>
                </w14:textFill>
              </w:rPr>
              <w:t>建设</w:t>
            </w:r>
            <w:r>
              <w:rPr>
                <w:rFonts w:hint="eastAsia" w:ascii="Times New Roman" w:hAnsi="Times New Roman" w:eastAsia="宋体" w:cs="Times New Roman"/>
                <w:color w:val="000000" w:themeColor="text1"/>
                <w:szCs w:val="20"/>
                <w:highlight w:val="none"/>
                <w:lang w:eastAsia="zh-CN"/>
                <w14:textFill>
                  <w14:solidFill>
                    <w14:schemeClr w14:val="tx1"/>
                  </w14:solidFill>
                </w14:textFill>
              </w:rPr>
              <w:t>情况</w:t>
            </w:r>
            <w:r>
              <w:rPr>
                <w:rFonts w:hint="default" w:ascii="Times New Roman" w:hAnsi="Times New Roman" w:eastAsia="宋体" w:cs="Times New Roman"/>
                <w:color w:val="000000" w:themeColor="text1"/>
                <w:szCs w:val="20"/>
                <w:highlight w:val="none"/>
                <w:lang w:eastAsia="zh-CN"/>
                <w14:textFill>
                  <w14:solidFill>
                    <w14:schemeClr w14:val="tx1"/>
                  </w14:solidFill>
                </w14:textFill>
              </w:rPr>
              <w:t>见下表。</w:t>
            </w:r>
          </w:p>
          <w:p>
            <w:pPr>
              <w:ind w:firstLine="422"/>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表1-10    现有工程矿井水处理站建设情况一览表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266"/>
              <w:gridCol w:w="2805"/>
              <w:gridCol w:w="2368"/>
              <w:gridCol w:w="1076"/>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2" w:hRule="atLeast"/>
                <w:jc w:val="center"/>
              </w:trPr>
              <w:tc>
                <w:tcPr>
                  <w:tcW w:w="1236" w:type="dxa"/>
                  <w:tcBorders>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序号</w:t>
                  </w:r>
                </w:p>
              </w:tc>
              <w:tc>
                <w:tcPr>
                  <w:tcW w:w="2738" w:type="dxa"/>
                  <w:tcBorders>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设备名称</w:t>
                  </w:r>
                </w:p>
              </w:tc>
              <w:tc>
                <w:tcPr>
                  <w:tcW w:w="2312" w:type="dxa"/>
                  <w:tcBorders>
                    <w:left w:val="single" w:color="auto" w:sz="4" w:space="0"/>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规格型号</w:t>
                  </w:r>
                </w:p>
              </w:tc>
              <w:tc>
                <w:tcPr>
                  <w:tcW w:w="1050" w:type="dxa"/>
                  <w:tcBorders>
                    <w:left w:val="single" w:color="auto" w:sz="4" w:space="0"/>
                    <w:righ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数量</w:t>
                  </w:r>
                </w:p>
              </w:tc>
              <w:tc>
                <w:tcPr>
                  <w:tcW w:w="1484" w:type="dxa"/>
                  <w:tcBorders>
                    <w:left w:val="single" w:color="auto" w:sz="4" w:space="0"/>
                    <w:tl2br w:val="nil"/>
                    <w:tr2bl w:val="nil"/>
                  </w:tcBorders>
                  <w:noWrap w:val="0"/>
                  <w:vAlign w:val="center"/>
                </w:tcPr>
                <w:p>
                  <w:pPr>
                    <w:pStyle w:val="11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73"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预沉调节池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150m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99"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一级提升泵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50WQ24-20-4</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反洗提升泵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50WQ27-15-2.2</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污泥提升泵</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3m</w:t>
                  </w:r>
                  <w:r>
                    <w:rPr>
                      <w:rFonts w:hint="eastAsia" w:cs="Times New Roman"/>
                      <w:sz w:val="21"/>
                      <w:szCs w:val="21"/>
                      <w:highlight w:val="none"/>
                      <w:vertAlign w:val="superscript"/>
                      <w:lang w:val="en-US" w:eastAsia="zh-CN"/>
                    </w:rPr>
                    <w:t>3</w:t>
                  </w:r>
                  <w:r>
                    <w:rPr>
                      <w:rFonts w:hint="eastAsia" w:cs="Times New Roman"/>
                      <w:sz w:val="21"/>
                      <w:szCs w:val="21"/>
                      <w:highlight w:val="none"/>
                      <w:lang w:val="en-US" w:eastAsia="zh-CN"/>
                    </w:rPr>
                    <w:t>/h</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旋流变速混合器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旋流澄清净水装置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MXC-20</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513"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混凝剂加药装置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YJB-PAC</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助凝剂加药装置</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YJB-PAM</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机械过滤器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ZSL-1400</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3套</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二氧化氯发生器</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eastAsia="zh-CN"/>
                    </w:rPr>
                    <w:t>有效氯产量</w:t>
                  </w:r>
                  <w:r>
                    <w:rPr>
                      <w:rFonts w:hint="eastAsia" w:cs="Times New Roman"/>
                      <w:sz w:val="21"/>
                      <w:szCs w:val="21"/>
                      <w:highlight w:val="none"/>
                      <w:lang w:val="en-US" w:eastAsia="zh-CN"/>
                    </w:rPr>
                    <w:t>100g/h</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11</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eastAsia="zh-CN"/>
                    </w:rPr>
                    <w:t>消毒水池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val="en-US" w:eastAsia="zh-CN"/>
                    </w:rPr>
                    <w:t>100m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12</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r>
                    <w:rPr>
                      <w:rFonts w:hint="eastAsia" w:cs="Times New Roman"/>
                      <w:sz w:val="21"/>
                      <w:szCs w:val="21"/>
                      <w:highlight w:val="none"/>
                      <w:lang w:eastAsia="zh-CN"/>
                    </w:rPr>
                    <w:t>污泥池</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3</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1座</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7" w:hRule="atLeast"/>
                <w:jc w:val="center"/>
              </w:trPr>
              <w:tc>
                <w:tcPr>
                  <w:tcW w:w="12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13</w:t>
                  </w:r>
                </w:p>
              </w:tc>
              <w:tc>
                <w:tcPr>
                  <w:tcW w:w="2738" w:type="dxa"/>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箱式压滤机</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40m</w:t>
                  </w:r>
                  <w:r>
                    <w:rPr>
                      <w:rFonts w:hint="eastAsia" w:cs="Times New Roman"/>
                      <w:sz w:val="21"/>
                      <w:szCs w:val="21"/>
                      <w:highlight w:val="none"/>
                      <w:vertAlign w:val="superscript"/>
                      <w:lang w:val="en-US" w:eastAsia="zh-CN"/>
                    </w:rPr>
                    <w:t>2</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XD-200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71" w:hRule="atLeast"/>
                <w:jc w:val="center"/>
              </w:trPr>
              <w:tc>
                <w:tcPr>
                  <w:tcW w:w="12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p>
              </w:tc>
              <w:tc>
                <w:tcPr>
                  <w:tcW w:w="2738" w:type="dxa"/>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eastAsia="zh-CN"/>
                    </w:rPr>
                  </w:pP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30m</w:t>
                  </w:r>
                  <w:r>
                    <w:rPr>
                      <w:rFonts w:hint="eastAsia" w:cs="Times New Roman"/>
                      <w:sz w:val="21"/>
                      <w:szCs w:val="21"/>
                      <w:highlight w:val="none"/>
                      <w:vertAlign w:val="superscript"/>
                      <w:lang w:val="en-US" w:eastAsia="zh-CN"/>
                    </w:rPr>
                    <w:t>2</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14</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空压机</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V0.6</w:t>
                  </w: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15</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电缆及附件</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2台</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16</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管道及附件</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若干</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98" w:hRule="atLeast"/>
                <w:jc w:val="center"/>
              </w:trPr>
              <w:tc>
                <w:tcPr>
                  <w:tcW w:w="12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17</w:t>
                  </w:r>
                </w:p>
              </w:tc>
              <w:tc>
                <w:tcPr>
                  <w:tcW w:w="2738"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防腐</w:t>
                  </w:r>
                </w:p>
              </w:tc>
              <w:tc>
                <w:tcPr>
                  <w:tcW w:w="2312"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c>
                <w:tcPr>
                  <w:tcW w:w="1050" w:type="dxa"/>
                  <w:tcBorders>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若干</w:t>
                  </w:r>
                </w:p>
              </w:tc>
              <w:tc>
                <w:tcPr>
                  <w:tcW w:w="1484"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bl>
          <w:p>
            <w:pPr>
              <w:spacing w:line="480" w:lineRule="exact"/>
              <w:ind w:firstLine="480"/>
              <w:jc w:val="left"/>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工业场地现有矿井水处理站</w:t>
            </w:r>
            <w:r>
              <w:rPr>
                <w:rFonts w:hint="default" w:ascii="Times New Roman" w:hAnsi="Times New Roman" w:eastAsia="宋体" w:cs="Times New Roman"/>
                <w:color w:val="000000" w:themeColor="text1"/>
                <w:highlight w:val="none"/>
                <w:lang w:eastAsia="zh-CN"/>
                <w14:textFill>
                  <w14:solidFill>
                    <w14:schemeClr w14:val="tx1"/>
                  </w14:solidFill>
                </w14:textFill>
              </w:rPr>
              <w:t>预处理</w:t>
            </w:r>
            <w:r>
              <w:rPr>
                <w:rFonts w:hint="default" w:ascii="Times New Roman" w:hAnsi="Times New Roman" w:eastAsia="宋体" w:cs="Times New Roman"/>
                <w:color w:val="000000" w:themeColor="text1"/>
                <w:highlight w:val="none"/>
                <w14:textFill>
                  <w14:solidFill>
                    <w14:schemeClr w14:val="tx1"/>
                  </w14:solidFill>
                </w14:textFill>
              </w:rPr>
              <w:t>设计处理能力为</w:t>
            </w:r>
            <w:r>
              <w:rPr>
                <w:rFonts w:hint="eastAsia" w:cs="Times New Roman"/>
                <w:sz w:val="24"/>
                <w:szCs w:val="24"/>
                <w:highlight w:val="none"/>
                <w:lang w:val="en-US" w:eastAsia="zh-CN"/>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h</w:t>
            </w:r>
            <w:r>
              <w:rPr>
                <w:rFonts w:hint="default" w:ascii="Times New Roman" w:hAnsi="Times New Roman" w:eastAsia="宋体" w:cs="Times New Roman"/>
                <w:bCs/>
                <w:color w:val="000000" w:themeColor="text1"/>
                <w:szCs w:val="32"/>
                <w:highlight w:val="none"/>
                <w14:textFill>
                  <w14:solidFill>
                    <w14:schemeClr w14:val="tx1"/>
                  </w14:solidFill>
                </w14:textFill>
              </w:rPr>
              <w:t>，处理工艺为“</w:t>
            </w:r>
            <w:r>
              <w:rPr>
                <w:rFonts w:hint="eastAsia" w:cs="Times New Roman"/>
                <w:bCs/>
                <w:color w:val="000000" w:themeColor="text1"/>
                <w:szCs w:val="32"/>
                <w:highlight w:val="none"/>
                <w:lang w:eastAsia="zh-CN"/>
                <w14:textFill>
                  <w14:solidFill>
                    <w14:schemeClr w14:val="tx1"/>
                  </w14:solidFill>
                </w14:textFill>
              </w:rPr>
              <w:t>调节、混凝、沉淀、过滤、消毒</w:t>
            </w:r>
            <w:r>
              <w:rPr>
                <w:rFonts w:hint="default" w:ascii="Times New Roman" w:hAnsi="Times New Roman" w:eastAsia="宋体" w:cs="Times New Roman"/>
                <w:bCs/>
                <w:color w:val="000000" w:themeColor="text1"/>
                <w:szCs w:val="32"/>
                <w:highlight w:val="none"/>
                <w14:textFill>
                  <w14:solidFill>
                    <w14:schemeClr w14:val="tx1"/>
                  </w14:solidFill>
                </w14:textFill>
              </w:rPr>
              <w:t>处理”，处理后水质能够达到《煤矿井下消防、洒水设计规范》GB50383-2006中附录B《井下消防、洒水水质标准》，</w:t>
            </w:r>
            <w:r>
              <w:rPr>
                <w:rFonts w:hint="default" w:ascii="Times New Roman" w:hAnsi="Times New Roman" w:eastAsia="宋体" w:cs="Times New Roman"/>
                <w:bCs/>
                <w:color w:val="000000" w:themeColor="text1"/>
                <w:szCs w:val="32"/>
                <w:highlight w:val="none"/>
                <w:lang w:eastAsia="zh-CN"/>
                <w14:textFill>
                  <w14:solidFill>
                    <w14:schemeClr w14:val="tx1"/>
                  </w14:solidFill>
                </w14:textFill>
              </w:rPr>
              <w:t>回用于井下降尘洒水</w:t>
            </w:r>
            <w:r>
              <w:rPr>
                <w:rFonts w:hint="default" w:ascii="Times New Roman" w:hAnsi="Times New Roman" w:eastAsia="宋体" w:cs="Times New Roman"/>
                <w:bCs/>
                <w:color w:val="000000" w:themeColor="text1"/>
                <w:szCs w:val="32"/>
                <w:highlight w:val="none"/>
                <w14:textFill>
                  <w14:solidFill>
                    <w14:schemeClr w14:val="tx1"/>
                  </w14:solidFill>
                </w14:textFill>
              </w:rPr>
              <w:t>，不外排。</w:t>
            </w:r>
          </w:p>
          <w:p>
            <w:pPr>
              <w:spacing w:line="480" w:lineRule="exact"/>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二</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highlight w:val="none"/>
                <w:lang w:eastAsia="zh-CN"/>
                <w14:textFill>
                  <w14:solidFill>
                    <w14:schemeClr w14:val="tx1"/>
                  </w14:solidFill>
                </w14:textFill>
              </w:rPr>
              <w:t>环保手续履行情况</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山西朔州平鲁区兰花永胜煤业有限公司于2010年5月</w:t>
            </w:r>
            <w:r>
              <w:rPr>
                <w:rFonts w:hint="eastAsia" w:cs="Times New Roman"/>
                <w:color w:val="000000" w:themeColor="text1"/>
                <w:highlight w:val="none"/>
                <w:lang w:eastAsia="zh-CN"/>
                <w14:textFill>
                  <w14:solidFill>
                    <w14:schemeClr w14:val="tx1"/>
                  </w14:solidFill>
                </w14:textFill>
              </w:rPr>
              <w:t>进行了</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120万吨/年矿井兼并重组整合项目的</w:t>
            </w:r>
            <w:r>
              <w:rPr>
                <w:rFonts w:hint="eastAsia" w:cs="Times New Roman"/>
                <w:color w:val="000000" w:themeColor="text1"/>
                <w:highlight w:val="none"/>
                <w:lang w:eastAsia="zh-CN"/>
                <w14:textFill>
                  <w14:solidFill>
                    <w14:schemeClr w14:val="tx1"/>
                  </w14:solidFill>
                </w14:textFill>
              </w:rPr>
              <w:t>环评</w:t>
            </w:r>
            <w:r>
              <w:rPr>
                <w:rFonts w:hint="default" w:ascii="Times New Roman" w:hAnsi="Times New Roman" w:eastAsia="宋体" w:cs="Times New Roman"/>
                <w:color w:val="000000" w:themeColor="text1"/>
                <w:highlight w:val="none"/>
                <w14:textFill>
                  <w14:solidFill>
                    <w14:schemeClr w14:val="tx1"/>
                  </w14:solidFill>
                </w14:textFill>
              </w:rPr>
              <w:t>工作</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2012年5月14日，</w:t>
            </w:r>
            <w:r>
              <w:rPr>
                <w:rFonts w:hint="default" w:ascii="Times New Roman" w:hAnsi="Times New Roman" w:eastAsia="宋体" w:cs="Times New Roman"/>
                <w:color w:val="000000" w:themeColor="text1"/>
                <w:highlight w:val="none"/>
                <w:lang w:eastAsia="zh-CN"/>
                <w14:textFill>
                  <w14:solidFill>
                    <w14:schemeClr w14:val="tx1"/>
                  </w14:solidFill>
                </w14:textFill>
              </w:rPr>
              <w:t>原</w:t>
            </w:r>
            <w:r>
              <w:rPr>
                <w:rFonts w:hint="default" w:ascii="Times New Roman" w:hAnsi="Times New Roman" w:eastAsia="宋体" w:cs="Times New Roman"/>
                <w:color w:val="000000" w:themeColor="text1"/>
                <w:highlight w:val="none"/>
                <w14:textFill>
                  <w14:solidFill>
                    <w14:schemeClr w14:val="tx1"/>
                  </w14:solidFill>
                </w14:textFill>
              </w:rPr>
              <w:t>山西省环境保护厅以晋环函〔2012〕937号对</w:t>
            </w:r>
            <w:r>
              <w:rPr>
                <w:rFonts w:hint="eastAsia"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进行了</w:t>
            </w:r>
            <w:r>
              <w:rPr>
                <w:rFonts w:hint="default" w:ascii="Times New Roman" w:hAnsi="Times New Roman" w:eastAsia="宋体" w:cs="Times New Roman"/>
                <w:color w:val="000000" w:themeColor="text1"/>
                <w:highlight w:val="none"/>
                <w:lang w:eastAsia="zh-CN"/>
                <w14:textFill>
                  <w14:solidFill>
                    <w14:schemeClr w14:val="tx1"/>
                  </w14:solidFill>
                </w14:textFill>
              </w:rPr>
              <w:t>环评</w:t>
            </w:r>
            <w:r>
              <w:rPr>
                <w:rFonts w:hint="default" w:ascii="Times New Roman" w:hAnsi="Times New Roman" w:eastAsia="宋体" w:cs="Times New Roman"/>
                <w:color w:val="000000" w:themeColor="text1"/>
                <w:highlight w:val="none"/>
                <w14:textFill>
                  <w14:solidFill>
                    <w14:schemeClr w14:val="tx1"/>
                  </w14:solidFill>
                </w14:textFill>
              </w:rPr>
              <w:t>批复</w:t>
            </w:r>
            <w:r>
              <w:rPr>
                <w:rFonts w:hint="eastAsia" w:cs="Times New Roman"/>
                <w:color w:val="000000" w:themeColor="text1"/>
                <w:highlight w:val="none"/>
                <w:lang w:eastAsia="zh-CN"/>
                <w14:textFill>
                  <w14:solidFill>
                    <w14:schemeClr w14:val="tx1"/>
                  </w14:solidFill>
                </w14:textFill>
              </w:rPr>
              <w:t>；原</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w:t>
            </w:r>
            <w:r>
              <w:rPr>
                <w:rFonts w:hint="default" w:ascii="Times New Roman" w:hAnsi="Times New Roman" w:eastAsia="宋体" w:cs="Times New Roman"/>
                <w:color w:val="000000" w:themeColor="text1"/>
                <w:highlight w:val="none"/>
                <w:lang w:eastAsia="zh-CN"/>
                <w14:textFill>
                  <w14:solidFill>
                    <w14:schemeClr w14:val="tx1"/>
                  </w14:solidFill>
                </w14:textFill>
              </w:rPr>
              <w:t>（不含洗煤部分）</w:t>
            </w:r>
            <w:r>
              <w:rPr>
                <w:rFonts w:hint="eastAsia" w:cs="Times New Roman"/>
                <w:color w:val="000000" w:themeColor="text1"/>
                <w:highlight w:val="none"/>
                <w:lang w:eastAsia="zh-CN"/>
                <w14:textFill>
                  <w14:solidFill>
                    <w14:schemeClr w14:val="tx1"/>
                  </w14:solidFill>
                </w14:textFill>
              </w:rPr>
              <w:t>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2016年12月</w:t>
            </w:r>
            <w:r>
              <w:rPr>
                <w:rFonts w:hint="eastAsia" w:cs="Times New Roman"/>
                <w:color w:val="000000" w:themeColor="text1"/>
                <w:highlight w:val="none"/>
                <w:lang w:val="en-US" w:eastAsia="zh-CN"/>
                <w14:textFill>
                  <w14:solidFill>
                    <w14:schemeClr w14:val="tx1"/>
                  </w14:solidFill>
                </w14:textFill>
              </w:rPr>
              <w:t>进行了</w:t>
            </w:r>
            <w:r>
              <w:rPr>
                <w:rFonts w:hint="default" w:ascii="Times New Roman" w:hAnsi="Times New Roman" w:eastAsia="宋体" w:cs="Times New Roman"/>
                <w:color w:val="000000" w:themeColor="text1"/>
                <w:highlight w:val="none"/>
                <w:lang w:val="en-US" w:eastAsia="zh-CN"/>
                <w14:textFill>
                  <w14:solidFill>
                    <w14:schemeClr w14:val="tx1"/>
                  </w14:solidFill>
                </w14:textFill>
              </w:rPr>
              <w:t>竣工环境保护验收工作，2016年12月30日，原朔州市环境保护局以朔环审〔2016〕176号对</w:t>
            </w:r>
            <w:r>
              <w:rPr>
                <w:rFonts w:hint="eastAsia" w:cs="Times New Roman"/>
                <w:color w:val="000000" w:themeColor="text1"/>
                <w:highlight w:val="none"/>
                <w:lang w:val="en-US" w:eastAsia="zh-CN"/>
                <w14:textFill>
                  <w14:solidFill>
                    <w14:schemeClr w14:val="tx1"/>
                  </w14:solidFill>
                </w14:textFill>
              </w:rPr>
              <w:t>原</w:t>
            </w:r>
            <w:r>
              <w:rPr>
                <w:rFonts w:hint="default" w:ascii="Times New Roman" w:hAnsi="Times New Roman" w:eastAsia="宋体" w:cs="Times New Roman"/>
                <w:color w:val="000000" w:themeColor="text1"/>
                <w:highlight w:val="none"/>
                <w14:textFill>
                  <w14:solidFill>
                    <w14:schemeClr w14:val="tx1"/>
                  </w14:solidFill>
                </w14:textFill>
              </w:rPr>
              <w:t>120万吨/年矿井兼并重组整合项目</w:t>
            </w:r>
            <w:r>
              <w:rPr>
                <w:rFonts w:hint="default" w:ascii="Times New Roman" w:hAnsi="Times New Roman" w:eastAsia="宋体" w:cs="Times New Roman"/>
                <w:color w:val="000000" w:themeColor="text1"/>
                <w:highlight w:val="none"/>
                <w:lang w:eastAsia="zh-CN"/>
                <w14:textFill>
                  <w14:solidFill>
                    <w14:schemeClr w14:val="tx1"/>
                  </w14:solidFill>
                </w14:textFill>
              </w:rPr>
              <w:t>（不含洗煤部分）</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进行了验收批复</w:t>
            </w:r>
            <w:r>
              <w:rPr>
                <w:rFonts w:hint="default" w:ascii="Times New Roman" w:hAnsi="Times New Roman" w:eastAsia="宋体" w:cs="Times New Roman"/>
                <w:color w:val="000000" w:themeColor="text1"/>
                <w:highlight w:val="none"/>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2019年12月2日，山西朔州平鲁区兰花永胜煤业有限公司取得了朔州市生态环境局下发的排污许可证，证书编号为：91140000X024307929001U。</w:t>
            </w:r>
          </w:p>
          <w:p>
            <w:pPr>
              <w:ind w:firstLine="480"/>
              <w:rPr>
                <w:rFonts w:hint="eastAsia" w:ascii="Times New Roman" w:hAnsi="Times New Roman" w:eastAsia="宋体" w:cs="Times New Roman"/>
                <w:b/>
                <w:bCs w:val="0"/>
                <w:color w:val="000000" w:themeColor="text1"/>
                <w:highlight w:val="none"/>
                <w:lang w:eastAsia="zh-CN"/>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三、矿井水原有水平衡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highlight w:val="none"/>
                <w:lang w:eastAsia="zh-CN"/>
                <w14:textFill>
                  <w14:solidFill>
                    <w14:schemeClr w14:val="tx1"/>
                  </w14:solidFill>
                </w14:textFill>
              </w:rPr>
            </w:pPr>
            <w:r>
              <w:rPr>
                <w:rFonts w:hint="eastAsia" w:ascii="Times New Roman" w:hAnsi="Times New Roman" w:eastAsia="宋体" w:cs="Times New Roman"/>
                <w:bCs/>
                <w:color w:val="000000" w:themeColor="text1"/>
                <w:highlight w:val="none"/>
                <w:lang w:eastAsia="zh-CN"/>
                <w14:textFill>
                  <w14:solidFill>
                    <w14:schemeClr w14:val="tx1"/>
                  </w14:solidFill>
                </w14:textFill>
              </w:rPr>
              <w:drawing>
                <wp:inline distT="0" distB="0" distL="114300" distR="114300">
                  <wp:extent cx="4069080" cy="4684395"/>
                  <wp:effectExtent l="0" t="0" r="7620" b="190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3"/>
                          <a:srcRect t="4085" b="10906"/>
                          <a:stretch>
                            <a:fillRect/>
                          </a:stretch>
                        </pic:blipFill>
                        <pic:spPr>
                          <a:xfrm>
                            <a:off x="0" y="0"/>
                            <a:ext cx="4069080" cy="4684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图</w:t>
            </w:r>
            <w:r>
              <w:rPr>
                <w:rFonts w:hint="eastAsia" w:cs="Times New Roman"/>
                <w:b/>
                <w:bCs w:val="0"/>
                <w:color w:val="000000" w:themeColor="text1"/>
                <w:highlight w:val="none"/>
                <w:lang w:val="en-US" w:eastAsia="zh-CN"/>
                <w14:textFill>
                  <w14:solidFill>
                    <w14:schemeClr w14:val="tx1"/>
                  </w14:solidFill>
                </w14:textFill>
              </w:rPr>
              <w:t xml:space="preserve">1-3    </w:t>
            </w:r>
            <w:r>
              <w:rPr>
                <w:rFonts w:hint="eastAsia"/>
                <w:b/>
                <w:sz w:val="24"/>
                <w:szCs w:val="24"/>
              </w:rPr>
              <w:t>采暖期工业场地水平衡图</w:t>
            </w:r>
            <w:r>
              <w:rPr>
                <w:rFonts w:hint="eastAsia"/>
                <w:b/>
                <w:sz w:val="24"/>
                <w:szCs w:val="24"/>
                <w:lang w:eastAsia="zh-CN"/>
              </w:rPr>
              <w:t>（原有）</w:t>
            </w:r>
            <w:r>
              <w:rPr>
                <w:rFonts w:hint="eastAsia"/>
                <w:b/>
                <w:sz w:val="24"/>
                <w:szCs w:val="24"/>
              </w:rPr>
              <w:t xml:space="preserve">   单位：m</w:t>
            </w:r>
            <w:r>
              <w:rPr>
                <w:rFonts w:hint="eastAsia"/>
                <w:b/>
                <w:sz w:val="24"/>
                <w:szCs w:val="24"/>
                <w:vertAlign w:val="superscript"/>
              </w:rPr>
              <w:t>3</w:t>
            </w:r>
            <w:r>
              <w:rPr>
                <w:rFonts w:hint="eastAsia"/>
                <w:b/>
                <w:sz w:val="24"/>
                <w:szCs w:val="24"/>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highlight w:val="none"/>
                <w:lang w:eastAsia="zh-CN"/>
                <w14:textFill>
                  <w14:solidFill>
                    <w14:schemeClr w14:val="tx1"/>
                  </w14:solidFill>
                </w14:textFill>
              </w:rPr>
            </w:pPr>
            <w:r>
              <w:rPr>
                <w:rFonts w:hint="eastAsia" w:ascii="Times New Roman" w:hAnsi="Times New Roman" w:eastAsia="宋体" w:cs="Times New Roman"/>
                <w:bCs/>
                <w:color w:val="000000" w:themeColor="text1"/>
                <w:highlight w:val="none"/>
                <w:lang w:eastAsia="zh-CN"/>
                <w14:textFill>
                  <w14:solidFill>
                    <w14:schemeClr w14:val="tx1"/>
                  </w14:solidFill>
                </w14:textFill>
              </w:rPr>
              <w:drawing>
                <wp:inline distT="0" distB="0" distL="114300" distR="114300">
                  <wp:extent cx="4178300" cy="4798695"/>
                  <wp:effectExtent l="0" t="0" r="12700" b="1905"/>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14"/>
                          <a:srcRect t="4076" b="11067"/>
                          <a:stretch>
                            <a:fillRect/>
                          </a:stretch>
                        </pic:blipFill>
                        <pic:spPr>
                          <a:xfrm>
                            <a:off x="0" y="0"/>
                            <a:ext cx="4178300" cy="4798695"/>
                          </a:xfrm>
                          <a:prstGeom prst="rect">
                            <a:avLst/>
                          </a:prstGeom>
                        </pic:spPr>
                      </pic:pic>
                    </a:graphicData>
                  </a:graphic>
                </wp:inline>
              </w:drawing>
            </w:r>
          </w:p>
          <w:p>
            <w:pPr>
              <w:ind w:firstLine="480"/>
              <w:jc w:val="center"/>
              <w:rPr>
                <w:rFonts w:hint="default" w:ascii="Times New Roman" w:hAnsi="Times New Roman" w:eastAsia="宋体" w:cs="Times New Roman"/>
                <w:bCs/>
                <w:color w:val="000000" w:themeColor="text1"/>
                <w:highlight w:val="none"/>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图</w:t>
            </w:r>
            <w:r>
              <w:rPr>
                <w:rFonts w:hint="eastAsia" w:cs="Times New Roman"/>
                <w:b/>
                <w:bCs w:val="0"/>
                <w:color w:val="000000" w:themeColor="text1"/>
                <w:highlight w:val="none"/>
                <w:lang w:val="en-US" w:eastAsia="zh-CN"/>
                <w14:textFill>
                  <w14:solidFill>
                    <w14:schemeClr w14:val="tx1"/>
                  </w14:solidFill>
                </w14:textFill>
              </w:rPr>
              <w:t>1-4    非</w:t>
            </w:r>
            <w:r>
              <w:rPr>
                <w:rFonts w:hint="eastAsia"/>
                <w:b/>
                <w:sz w:val="24"/>
                <w:szCs w:val="24"/>
              </w:rPr>
              <w:t>采暖期工业场地水平衡图</w:t>
            </w:r>
            <w:r>
              <w:rPr>
                <w:rFonts w:hint="eastAsia"/>
                <w:b/>
                <w:sz w:val="24"/>
                <w:szCs w:val="24"/>
                <w:lang w:eastAsia="zh-CN"/>
              </w:rPr>
              <w:t>（原有）</w:t>
            </w:r>
            <w:r>
              <w:rPr>
                <w:rFonts w:hint="eastAsia"/>
                <w:b/>
                <w:sz w:val="24"/>
                <w:szCs w:val="24"/>
              </w:rPr>
              <w:t xml:space="preserve">   单位：m</w:t>
            </w:r>
            <w:r>
              <w:rPr>
                <w:rFonts w:hint="eastAsia"/>
                <w:b/>
                <w:sz w:val="24"/>
                <w:szCs w:val="24"/>
                <w:vertAlign w:val="superscript"/>
              </w:rPr>
              <w:t>3</w:t>
            </w:r>
            <w:r>
              <w:rPr>
                <w:rFonts w:hint="eastAsia"/>
                <w:b/>
                <w:sz w:val="24"/>
                <w:szCs w:val="24"/>
              </w:rPr>
              <w:t>/d</w:t>
            </w:r>
          </w:p>
          <w:p>
            <w:pPr>
              <w:ind w:firstLine="480"/>
              <w:rPr>
                <w:rFonts w:hint="eastAsia" w:ascii="Times New Roman" w:hAnsi="Times New Roman" w:eastAsia="宋体" w:cs="Times New Roman"/>
                <w:b/>
                <w:bCs w:val="0"/>
                <w:color w:val="000000" w:themeColor="text1"/>
                <w:highlight w:val="none"/>
                <w:lang w:eastAsia="zh-CN"/>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四、矿井水原有回用和外排方案</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原</w:t>
            </w:r>
            <w:r>
              <w:rPr>
                <w:rFonts w:hint="default" w:ascii="Times New Roman" w:hAnsi="Times New Roman" w:eastAsia="宋体" w:cs="Times New Roman"/>
                <w:bCs/>
                <w:color w:val="000000" w:themeColor="text1"/>
                <w:highlight w:val="none"/>
                <w14:textFill>
                  <w14:solidFill>
                    <w14:schemeClr w14:val="tx1"/>
                  </w14:solidFill>
                </w14:textFill>
              </w:rPr>
              <w:t>有矿井水</w:t>
            </w:r>
            <w:r>
              <w:rPr>
                <w:rFonts w:hint="eastAsia" w:cs="Times New Roman"/>
                <w:bCs/>
                <w:color w:val="000000" w:themeColor="text1"/>
                <w:highlight w:val="none"/>
                <w:lang w:eastAsia="zh-CN"/>
                <w14:textFill>
                  <w14:solidFill>
                    <w14:schemeClr w14:val="tx1"/>
                  </w14:solidFill>
                </w14:textFill>
              </w:rPr>
              <w:t>要求经</w:t>
            </w:r>
            <w:r>
              <w:rPr>
                <w:rFonts w:hint="default" w:ascii="Times New Roman" w:hAnsi="Times New Roman" w:eastAsia="宋体" w:cs="Times New Roman"/>
                <w:bCs/>
                <w:color w:val="000000" w:themeColor="text1"/>
                <w:highlight w:val="none"/>
                <w14:textFill>
                  <w14:solidFill>
                    <w14:schemeClr w14:val="tx1"/>
                  </w14:solidFill>
                </w14:textFill>
              </w:rPr>
              <w:t>处理站预处理水质能够达到《煤矿井下消防、洒水设计规范》GB50383-2006中附录B《井下消防、洒水水质标准》，回用于井下降尘洒水，不外排。</w:t>
            </w:r>
          </w:p>
          <w:p>
            <w:pPr>
              <w:ind w:firstLine="48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五、</w:t>
            </w:r>
            <w:r>
              <w:rPr>
                <w:rFonts w:hint="default" w:ascii="Times New Roman" w:hAnsi="Times New Roman" w:eastAsia="宋体" w:cs="Times New Roman"/>
                <w:b/>
                <w:bCs w:val="0"/>
                <w:color w:val="000000" w:themeColor="text1"/>
                <w:highlight w:val="none"/>
                <w14:textFill>
                  <w14:solidFill>
                    <w14:schemeClr w14:val="tx1"/>
                  </w14:solidFill>
                </w14:textFill>
              </w:rPr>
              <w:t>现有</w:t>
            </w:r>
            <w:r>
              <w:rPr>
                <w:rFonts w:hint="default" w:ascii="Times New Roman" w:hAnsi="Times New Roman" w:eastAsia="宋体" w:cs="Times New Roman"/>
                <w:b/>
                <w:bCs w:val="0"/>
                <w:color w:val="000000" w:themeColor="text1"/>
                <w:highlight w:val="none"/>
                <w:lang w:eastAsia="zh-CN"/>
                <w14:textFill>
                  <w14:solidFill>
                    <w14:schemeClr w14:val="tx1"/>
                  </w14:solidFill>
                </w14:textFill>
              </w:rPr>
              <w:t>水处理</w:t>
            </w:r>
            <w:r>
              <w:rPr>
                <w:rFonts w:hint="default" w:ascii="Times New Roman" w:hAnsi="Times New Roman" w:eastAsia="宋体" w:cs="Times New Roman"/>
                <w:b/>
                <w:bCs w:val="0"/>
                <w:color w:val="000000" w:themeColor="text1"/>
                <w:highlight w:val="none"/>
                <w14:textFill>
                  <w14:solidFill>
                    <w14:schemeClr w14:val="tx1"/>
                  </w14:solidFill>
                </w14:textFill>
              </w:rPr>
              <w:t>工程主要环境影响</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fldChar w:fldCharType="begin"/>
            </w:r>
            <w:r>
              <w:rPr>
                <w:rFonts w:hint="default" w:ascii="Times New Roman" w:hAnsi="Times New Roman" w:eastAsia="宋体" w:cs="Times New Roman"/>
                <w:bCs/>
                <w:color w:val="000000" w:themeColor="text1"/>
                <w:highlight w:val="none"/>
                <w14:textFill>
                  <w14:solidFill>
                    <w14:schemeClr w14:val="tx1"/>
                  </w14:solidFill>
                </w14:textFill>
              </w:rPr>
              <w:instrText xml:space="preserve"> = 1 \* GB3 </w:instrText>
            </w:r>
            <w:r>
              <w:rPr>
                <w:rFonts w:hint="default" w:ascii="Times New Roman" w:hAnsi="Times New Roman" w:eastAsia="宋体" w:cs="Times New Roman"/>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highlight w:val="none"/>
                <w14:textFill>
                  <w14:solidFill>
                    <w14:schemeClr w14:val="tx1"/>
                  </w14:solidFill>
                </w14:textFill>
              </w:rPr>
              <w:t>①</w:t>
            </w:r>
            <w:r>
              <w:rPr>
                <w:rFonts w:hint="default" w:ascii="Times New Roman" w:hAnsi="Times New Roman" w:eastAsia="宋体" w:cs="Times New Roman"/>
                <w:bCs/>
                <w:color w:val="000000" w:themeColor="text1"/>
                <w:highlight w:val="none"/>
                <w14:textFill>
                  <w14:solidFill>
                    <w14:schemeClr w14:val="tx1"/>
                  </w14:solidFill>
                </w14:textFill>
              </w:rPr>
              <w:fldChar w:fldCharType="end"/>
            </w:r>
            <w:r>
              <w:rPr>
                <w:rFonts w:hint="default" w:ascii="Times New Roman" w:hAnsi="Times New Roman" w:eastAsia="宋体" w:cs="Times New Roman"/>
                <w:bCs/>
                <w:color w:val="000000" w:themeColor="text1"/>
                <w:highlight w:val="none"/>
                <w14:textFill>
                  <w14:solidFill>
                    <w14:schemeClr w14:val="tx1"/>
                  </w14:solidFill>
                </w14:textFill>
              </w:rPr>
              <w:t>水环境</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现有工程劳动定员6人，产生的生活废水由项目所在煤矿生活污水处理站统一收集处理后回用，不外排。矿井水处理站处理后的水进入</w:t>
            </w:r>
            <w:r>
              <w:rPr>
                <w:rFonts w:hint="default" w:ascii="Times New Roman" w:hAnsi="Times New Roman" w:eastAsia="宋体" w:cs="Times New Roman"/>
                <w:bCs/>
                <w:color w:val="000000" w:themeColor="text1"/>
                <w:szCs w:val="32"/>
                <w:highlight w:val="none"/>
                <w14:textFill>
                  <w14:solidFill>
                    <w14:schemeClr w14:val="tx1"/>
                  </w14:solidFill>
                </w14:textFill>
              </w:rPr>
              <w:t>井下洒水</w:t>
            </w:r>
            <w:r>
              <w:rPr>
                <w:rFonts w:hint="default" w:ascii="Times New Roman" w:hAnsi="Times New Roman" w:eastAsia="宋体" w:cs="Times New Roman"/>
                <w:bCs/>
                <w:color w:val="000000" w:themeColor="text1"/>
                <w:highlight w:val="none"/>
                <w14:textFill>
                  <w14:solidFill>
                    <w14:schemeClr w14:val="tx1"/>
                  </w14:solidFill>
                </w14:textFill>
              </w:rPr>
              <w:t>，不外排，不会对地表水环境产生影响。</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fldChar w:fldCharType="begin"/>
            </w:r>
            <w:r>
              <w:rPr>
                <w:rFonts w:hint="default" w:ascii="Times New Roman" w:hAnsi="Times New Roman" w:eastAsia="宋体" w:cs="Times New Roman"/>
                <w:bCs/>
                <w:color w:val="000000" w:themeColor="text1"/>
                <w:highlight w:val="none"/>
                <w14:textFill>
                  <w14:solidFill>
                    <w14:schemeClr w14:val="tx1"/>
                  </w14:solidFill>
                </w14:textFill>
              </w:rPr>
              <w:instrText xml:space="preserve"> = 2 \* GB3 </w:instrText>
            </w:r>
            <w:r>
              <w:rPr>
                <w:rFonts w:hint="default" w:ascii="Times New Roman" w:hAnsi="Times New Roman" w:eastAsia="宋体" w:cs="Times New Roman"/>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highlight w:val="none"/>
                <w14:textFill>
                  <w14:solidFill>
                    <w14:schemeClr w14:val="tx1"/>
                  </w14:solidFill>
                </w14:textFill>
              </w:rPr>
              <w:t>②</w:t>
            </w:r>
            <w:r>
              <w:rPr>
                <w:rFonts w:hint="default" w:ascii="Times New Roman" w:hAnsi="Times New Roman" w:eastAsia="宋体" w:cs="Times New Roman"/>
                <w:bCs/>
                <w:color w:val="000000" w:themeColor="text1"/>
                <w:highlight w:val="none"/>
                <w14:textFill>
                  <w14:solidFill>
                    <w14:schemeClr w14:val="tx1"/>
                  </w14:solidFill>
                </w14:textFill>
              </w:rPr>
              <w:fldChar w:fldCharType="end"/>
            </w:r>
            <w:r>
              <w:rPr>
                <w:rFonts w:hint="default" w:ascii="Times New Roman" w:hAnsi="Times New Roman" w:eastAsia="宋体" w:cs="Times New Roman"/>
                <w:bCs/>
                <w:color w:val="000000" w:themeColor="text1"/>
                <w:highlight w:val="none"/>
                <w14:textFill>
                  <w14:solidFill>
                    <w14:schemeClr w14:val="tx1"/>
                  </w14:solidFill>
                </w14:textFill>
              </w:rPr>
              <w:t>噪声</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现有工程运营期产生的噪声主要为污泥压滤机、各种泵类运行产生的噪声。经基础减振、厂房隔声等措施治理后，设备运行产生的噪声对周围声环境影响不大。</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fldChar w:fldCharType="begin"/>
            </w:r>
            <w:r>
              <w:rPr>
                <w:rFonts w:hint="default" w:ascii="Times New Roman" w:hAnsi="Times New Roman" w:eastAsia="宋体" w:cs="Times New Roman"/>
                <w:bCs/>
                <w:color w:val="000000" w:themeColor="text1"/>
                <w:highlight w:val="none"/>
                <w14:textFill>
                  <w14:solidFill>
                    <w14:schemeClr w14:val="tx1"/>
                  </w14:solidFill>
                </w14:textFill>
              </w:rPr>
              <w:instrText xml:space="preserve"> = 3 \* GB3 </w:instrText>
            </w:r>
            <w:r>
              <w:rPr>
                <w:rFonts w:hint="default" w:ascii="Times New Roman" w:hAnsi="Times New Roman" w:eastAsia="宋体" w:cs="Times New Roman"/>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highlight w:val="none"/>
                <w14:textFill>
                  <w14:solidFill>
                    <w14:schemeClr w14:val="tx1"/>
                  </w14:solidFill>
                </w14:textFill>
              </w:rPr>
              <w:t>③</w:t>
            </w:r>
            <w:r>
              <w:rPr>
                <w:rFonts w:hint="default" w:ascii="Times New Roman" w:hAnsi="Times New Roman" w:eastAsia="宋体" w:cs="Times New Roman"/>
                <w:bCs/>
                <w:color w:val="000000" w:themeColor="text1"/>
                <w:highlight w:val="none"/>
                <w14:textFill>
                  <w14:solidFill>
                    <w14:schemeClr w14:val="tx1"/>
                  </w14:solidFill>
                </w14:textFill>
              </w:rPr>
              <w:fldChar w:fldCharType="end"/>
            </w:r>
            <w:r>
              <w:rPr>
                <w:rFonts w:hint="default" w:ascii="Times New Roman" w:hAnsi="Times New Roman" w:eastAsia="宋体" w:cs="Times New Roman"/>
                <w:bCs/>
                <w:color w:val="000000" w:themeColor="text1"/>
                <w:highlight w:val="none"/>
                <w14:textFill>
                  <w14:solidFill>
                    <w14:schemeClr w14:val="tx1"/>
                  </w14:solidFill>
                </w14:textFill>
              </w:rPr>
              <w:t>固体废物</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现有工程运营期固废废物主要为污泥及办公生活垃圾。矿井水处理站处理后的污泥产生量每天约</w:t>
            </w:r>
            <w:r>
              <w:rPr>
                <w:rFonts w:hint="eastAsia" w:cs="Times New Roman"/>
                <w:bCs/>
                <w:color w:val="000000" w:themeColor="text1"/>
                <w:highlight w:val="none"/>
                <w:lang w:val="en-US" w:eastAsia="zh-CN"/>
                <w14:textFill>
                  <w14:solidFill>
                    <w14:schemeClr w14:val="tx1"/>
                  </w14:solidFill>
                </w14:textFill>
              </w:rPr>
              <w:t>0.62</w:t>
            </w:r>
            <w:r>
              <w:rPr>
                <w:rFonts w:hint="default" w:ascii="Times New Roman" w:hAnsi="Times New Roman" w:eastAsia="宋体" w:cs="Times New Roman"/>
                <w:bCs/>
                <w:color w:val="000000" w:themeColor="text1"/>
                <w:highlight w:val="none"/>
                <w14:textFill>
                  <w14:solidFill>
                    <w14:schemeClr w14:val="tx1"/>
                  </w14:solidFill>
                </w14:textFill>
              </w:rPr>
              <w:t>t，定期进行压滤后，全部掺入原煤外销。办公生活垃圾按每人每日平均产生0.5kg计算，年产生量</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bCs/>
                <w:color w:val="000000" w:themeColor="text1"/>
                <w:highlight w:val="none"/>
                <w14:textFill>
                  <w14:solidFill>
                    <w14:schemeClr w14:val="tx1"/>
                  </w14:solidFill>
                </w14:textFill>
              </w:rPr>
              <w:t>t/a，由</w:t>
            </w:r>
            <w:r>
              <w:rPr>
                <w:rFonts w:hint="default" w:ascii="Times New Roman" w:hAnsi="Times New Roman" w:eastAsia="宋体" w:cs="Times New Roman"/>
                <w:bCs/>
                <w:color w:val="000000" w:themeColor="text1"/>
                <w:spacing w:val="2"/>
                <w:highlight w:val="none"/>
                <w14:textFill>
                  <w14:solidFill>
                    <w14:schemeClr w14:val="tx1"/>
                  </w14:solidFill>
                </w14:textFill>
              </w:rPr>
              <w:t>公司</w:t>
            </w:r>
            <w:r>
              <w:rPr>
                <w:rFonts w:hint="default" w:ascii="Times New Roman" w:hAnsi="Times New Roman" w:eastAsia="宋体" w:cs="Times New Roman"/>
                <w:bCs/>
                <w:color w:val="000000" w:themeColor="text1"/>
                <w:highlight w:val="none"/>
                <w14:textFill>
                  <w14:solidFill>
                    <w14:schemeClr w14:val="tx1"/>
                  </w14:solidFill>
                </w14:textFill>
              </w:rPr>
              <w:t>统一处置。</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现有工程固体废物能够得到妥善处置，不会对周围环境造成影响。</w:t>
            </w:r>
          </w:p>
          <w:p>
            <w:pPr>
              <w:ind w:firstLine="48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eastAsia" w:cs="Times New Roman"/>
                <w:b/>
                <w:bCs w:val="0"/>
                <w:color w:val="000000" w:themeColor="text1"/>
                <w:highlight w:val="none"/>
                <w:lang w:eastAsia="zh-CN"/>
                <w14:textFill>
                  <w14:solidFill>
                    <w14:schemeClr w14:val="tx1"/>
                  </w14:solidFill>
                </w14:textFill>
              </w:rPr>
              <w:t>六、</w:t>
            </w:r>
            <w:r>
              <w:rPr>
                <w:rFonts w:hint="default" w:ascii="Times New Roman" w:hAnsi="Times New Roman" w:eastAsia="宋体" w:cs="Times New Roman"/>
                <w:b/>
                <w:bCs w:val="0"/>
                <w:color w:val="000000" w:themeColor="text1"/>
                <w:highlight w:val="none"/>
                <w14:textFill>
                  <w14:solidFill>
                    <w14:schemeClr w14:val="tx1"/>
                  </w14:solidFill>
                </w14:textFill>
              </w:rPr>
              <w:t>现有工程</w:t>
            </w:r>
            <w:r>
              <w:rPr>
                <w:rFonts w:hint="default" w:ascii="Times New Roman" w:hAnsi="Times New Roman" w:eastAsia="宋体" w:cs="Times New Roman"/>
                <w:b/>
                <w:bCs w:val="0"/>
                <w:color w:val="000000" w:themeColor="text1"/>
                <w:highlight w:val="none"/>
                <w:lang w:eastAsia="zh-CN"/>
                <w14:textFill>
                  <w14:solidFill>
                    <w14:schemeClr w14:val="tx1"/>
                  </w14:solidFill>
                </w14:textFill>
              </w:rPr>
              <w:t>水处理</w:t>
            </w:r>
            <w:r>
              <w:rPr>
                <w:rFonts w:hint="default" w:ascii="Times New Roman" w:hAnsi="Times New Roman" w:eastAsia="宋体" w:cs="Times New Roman"/>
                <w:b/>
                <w:bCs w:val="0"/>
                <w:color w:val="000000" w:themeColor="text1"/>
                <w:highlight w:val="none"/>
                <w14:textFill>
                  <w14:solidFill>
                    <w14:schemeClr w14:val="tx1"/>
                  </w14:solidFill>
                </w14:textFill>
              </w:rPr>
              <w:t>存在的环境问题</w:t>
            </w:r>
          </w:p>
          <w:p>
            <w:pPr>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highlight w:val="none"/>
                <w14:textFill>
                  <w14:solidFill>
                    <w14:schemeClr w14:val="tx1"/>
                  </w14:solidFill>
                </w14:textFill>
              </w:rPr>
              <w:t>随着煤矿开采深度及开采范围的增加，采空区面积增大，导水裂隙带增多，煤矿的涌水量</w:t>
            </w:r>
            <w:r>
              <w:rPr>
                <w:rFonts w:hint="eastAsia" w:ascii="Times New Roman" w:hAnsi="Times New Roman" w:eastAsia="宋体" w:cs="Times New Roman"/>
                <w:color w:val="000000" w:themeColor="text1"/>
                <w:highlight w:val="none"/>
                <w:lang w:eastAsia="zh-CN"/>
                <w14:textFill>
                  <w14:solidFill>
                    <w14:schemeClr w14:val="tx1"/>
                  </w14:solidFill>
                </w14:textFill>
              </w:rPr>
              <w:t>也在</w:t>
            </w:r>
            <w:r>
              <w:rPr>
                <w:rFonts w:hint="default" w:ascii="Times New Roman" w:hAnsi="Times New Roman" w:eastAsia="宋体" w:cs="Times New Roman"/>
                <w:color w:val="000000" w:themeColor="text1"/>
                <w:highlight w:val="none"/>
                <w14:textFill>
                  <w14:solidFill>
                    <w14:schemeClr w14:val="tx1"/>
                  </w14:solidFill>
                </w14:textFill>
              </w:rPr>
              <w:t>逐渐增大</w:t>
            </w:r>
            <w:r>
              <w:rPr>
                <w:rFonts w:hint="eastAsia" w:ascii="Times New Roman" w:hAnsi="Times New Roman" w:eastAsia="宋体" w:cs="Times New Roman"/>
                <w:color w:val="000000" w:themeColor="text1"/>
                <w:highlight w:val="none"/>
                <w:lang w:eastAsia="zh-CN"/>
                <w14:textFill>
                  <w14:solidFill>
                    <w14:schemeClr w14:val="tx1"/>
                  </w14:solidFill>
                </w14:textFill>
              </w:rPr>
              <w:t>，已逐步接近现有矿井水处理站的最大处理能力。</w:t>
            </w:r>
          </w:p>
          <w:p>
            <w:pPr>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②根据朔州市行政审批服务管理局于</w:t>
            </w:r>
            <w:r>
              <w:rPr>
                <w:rFonts w:hint="eastAsia" w:cs="Times New Roman"/>
                <w:color w:val="000000" w:themeColor="text1"/>
                <w:highlight w:val="none"/>
                <w:lang w:val="en-US" w:eastAsia="zh-CN"/>
                <w14:textFill>
                  <w14:solidFill>
                    <w14:schemeClr w14:val="tx1"/>
                  </w14:solidFill>
                </w14:textFill>
              </w:rPr>
              <w:t>2020年4月14日以朔审批函﹝2020﹞49号文对</w:t>
            </w:r>
            <w:r>
              <w:rPr>
                <w:rFonts w:hint="eastAsia" w:cs="Times New Roman"/>
                <w:color w:val="000000" w:themeColor="text1"/>
                <w:highlight w:val="none"/>
                <w:lang w:eastAsia="zh-CN"/>
                <w14:textFill>
                  <w14:solidFill>
                    <w14:schemeClr w14:val="tx1"/>
                  </w14:solidFill>
                </w14:textFill>
              </w:rPr>
              <w:t>《关于山西朔州平鲁区兰花永胜煤业有限公司</w:t>
            </w:r>
            <w:r>
              <w:rPr>
                <w:rFonts w:hint="eastAsia" w:cs="Times New Roman"/>
                <w:color w:val="000000" w:themeColor="text1"/>
                <w:highlight w:val="none"/>
                <w:lang w:val="en-US" w:eastAsia="zh-CN"/>
                <w14:textFill>
                  <w14:solidFill>
                    <w14:schemeClr w14:val="tx1"/>
                  </w14:solidFill>
                </w14:textFill>
              </w:rPr>
              <w:t>120万t/a矿井兼并重组整合项目取水许可准予行政许可的决定</w:t>
            </w:r>
            <w:r>
              <w:rPr>
                <w:rFonts w:hint="eastAsia" w:cs="Times New Roman"/>
                <w:color w:val="000000" w:themeColor="text1"/>
                <w:highlight w:val="none"/>
                <w:lang w:eastAsia="zh-CN"/>
                <w14:textFill>
                  <w14:solidFill>
                    <w14:schemeClr w14:val="tx1"/>
                  </w14:solidFill>
                </w14:textFill>
              </w:rPr>
              <w:t>》中可知，山西朔州平鲁区兰花永胜煤业有限公司</w:t>
            </w:r>
            <w:r>
              <w:rPr>
                <w:rFonts w:hint="eastAsia" w:cs="Times New Roman"/>
                <w:color w:val="000000" w:themeColor="text1"/>
                <w:highlight w:val="none"/>
                <w:lang w:val="en-US" w:eastAsia="zh-CN"/>
                <w14:textFill>
                  <w14:solidFill>
                    <w14:schemeClr w14:val="tx1"/>
                  </w14:solidFill>
                </w14:textFill>
              </w:rPr>
              <w:t>120万t/a矿井兼并重组整合项目达产后矿坑涌水量为29.64万m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/a</w:t>
            </w:r>
            <w:r>
              <w:rPr>
                <w:rFonts w:hint="default" w:ascii="Times New Roman" w:hAnsi="Times New Roman" w:eastAsia="宋体" w:cs="Times New Roman"/>
                <w:color w:val="auto"/>
                <w:sz w:val="24"/>
                <w:szCs w:val="24"/>
              </w:rPr>
              <w:t>（812.05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auto"/>
                <w:sz w:val="24"/>
                <w:szCs w:val="24"/>
              </w:rPr>
              <w:t>/d，按365d计）</w:t>
            </w:r>
            <w:r>
              <w:rPr>
                <w:rFonts w:hint="eastAsia" w:cs="Times New Roman"/>
                <w:color w:val="auto"/>
                <w:sz w:val="24"/>
                <w:szCs w:val="24"/>
                <w:lang w:eastAsia="zh-CN"/>
              </w:rPr>
              <w:t>，</w:t>
            </w:r>
            <w:r>
              <w:rPr>
                <w:rFonts w:hint="default" w:ascii="Times New Roman" w:hAnsi="Times New Roman" w:eastAsia="宋体" w:cs="Times New Roman"/>
                <w:lang w:val="en-US" w:eastAsia="zh-CN"/>
              </w:rPr>
              <w:t>现有的预处理能力为</w:t>
            </w:r>
            <w:r>
              <w:rPr>
                <w:rFonts w:hint="eastAsia" w:cs="Times New Roman"/>
                <w:sz w:val="24"/>
                <w:szCs w:val="24"/>
                <w:highlight w:val="none"/>
                <w:lang w:val="en-US" w:eastAsia="zh-CN"/>
              </w:rPr>
              <w:t>480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d</w:t>
            </w:r>
            <w:r>
              <w:rPr>
                <w:rFonts w:hint="default" w:ascii="Times New Roman" w:hAnsi="Times New Roman" w:eastAsia="宋体" w:cs="Times New Roman"/>
                <w:lang w:val="en-US" w:eastAsia="zh-CN"/>
              </w:rPr>
              <w:t>，已不能满足后期</w:t>
            </w:r>
            <w:r>
              <w:rPr>
                <w:rFonts w:hint="eastAsia" w:cs="Times New Roman"/>
                <w:lang w:val="en-US" w:eastAsia="zh-CN"/>
              </w:rPr>
              <w:t>达产后</w:t>
            </w:r>
            <w:r>
              <w:rPr>
                <w:rFonts w:hint="default" w:ascii="Times New Roman" w:hAnsi="Times New Roman" w:eastAsia="宋体" w:cs="Times New Roman"/>
                <w:lang w:val="en-US" w:eastAsia="zh-CN"/>
              </w:rPr>
              <w:t>的矿井水处理</w:t>
            </w:r>
            <w:r>
              <w:rPr>
                <w:rFonts w:hint="eastAsia" w:ascii="Times New Roman" w:hAnsi="Times New Roman" w:eastAsia="宋体" w:cs="Times New Roman"/>
                <w:lang w:val="en-US" w:eastAsia="zh-CN"/>
              </w:rPr>
              <w:t>的需求。</w:t>
            </w:r>
          </w:p>
          <w:p>
            <w:pPr>
              <w:snapToGrid w:val="0"/>
              <w:ind w:firstLine="470" w:firstLineChars="196"/>
              <w:rPr>
                <w:rFonts w:hint="eastAsia" w:ascii="Times New Roman" w:hAnsi="Times New Roman" w:eastAsia="宋体" w:cs="Times New Roman"/>
                <w:bCs/>
                <w:color w:val="000000" w:themeColor="text1"/>
                <w:szCs w:val="24"/>
                <w:highlight w:val="red"/>
                <w:lang w:eastAsia="zh-CN"/>
                <w14:textFill>
                  <w14:solidFill>
                    <w14:schemeClr w14:val="tx1"/>
                  </w14:solidFill>
                </w14:textFill>
              </w:rPr>
            </w:pPr>
            <w:r>
              <w:rPr>
                <w:rFonts w:hint="default" w:ascii="Times New Roman" w:hAnsi="Times New Roman" w:eastAsia="宋体" w:cs="Times New Roman"/>
                <w:bCs/>
                <w:color w:val="000000" w:themeColor="text1"/>
                <w:szCs w:val="24"/>
                <w:highlight w:val="none"/>
                <w14:textFill>
                  <w14:solidFill>
                    <w14:schemeClr w14:val="tx1"/>
                  </w14:solidFill>
                </w14:textFill>
              </w:rPr>
              <w:t>③</w:t>
            </w:r>
            <w:r>
              <w:rPr>
                <w:rFonts w:hint="eastAsia" w:cs="Times New Roman"/>
                <w:bCs/>
                <w:color w:val="000000" w:themeColor="text1"/>
                <w:szCs w:val="24"/>
                <w:highlight w:val="none"/>
                <w:lang w:eastAsia="zh-CN"/>
                <w14:textFill>
                  <w14:solidFill>
                    <w14:schemeClr w14:val="tx1"/>
                  </w14:solidFill>
                </w14:textFill>
              </w:rPr>
              <w:t>根据本项目用水平衡可知，在项目达产后，矿井水不能全部回用，部分需要外排，</w:t>
            </w:r>
            <w:r>
              <w:rPr>
                <w:rFonts w:hint="eastAsia" w:cs="Times New Roman"/>
                <w:color w:val="000000" w:themeColor="text1"/>
                <w:highlight w:val="none"/>
                <w:lang w:eastAsia="zh-CN"/>
                <w14:textFill>
                  <w14:solidFill>
                    <w14:schemeClr w14:val="tx1"/>
                  </w14:solidFill>
                </w14:textFill>
              </w:rPr>
              <w:t>依据</w:t>
            </w:r>
            <w:r>
              <w:rPr>
                <w:rFonts w:hint="default" w:ascii="Times New Roman" w:hAnsi="Times New Roman" w:eastAsia="宋体" w:cs="Times New Roman"/>
                <w:color w:val="000000" w:themeColor="text1"/>
                <w:highlight w:val="none"/>
                <w14:textFill>
                  <w14:solidFill>
                    <w14:schemeClr w14:val="tx1"/>
                  </w14:solidFill>
                </w14:textFill>
              </w:rPr>
              <w:t>山西省人民政府令第262号</w:t>
            </w:r>
            <w:r>
              <w:rPr>
                <w:rFonts w:hint="eastAsia" w:cs="Times New Roman"/>
                <w:color w:val="000000" w:themeColor="text1"/>
                <w:highlight w:val="none"/>
                <w:lang w:eastAsia="zh-CN"/>
                <w14:textFill>
                  <w14:solidFill>
                    <w14:schemeClr w14:val="tx1"/>
                  </w14:solidFill>
                </w14:textFill>
              </w:rPr>
              <w:t>文</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山西省人民政府关于坚决打赢汾河流域治理攻坚战的决定》</w:t>
            </w:r>
            <w:r>
              <w:rPr>
                <w:rFonts w:hint="default" w:ascii="Times New Roman" w:hAnsi="Times New Roman" w:eastAsia="宋体" w:cs="Times New Roman"/>
                <w:color w:val="000000" w:themeColor="text1"/>
                <w:highlight w:val="none"/>
                <w:lang w:eastAsia="zh-CN"/>
                <w14:textFill>
                  <w14:solidFill>
                    <w14:schemeClr w14:val="tx1"/>
                  </w14:solidFill>
                </w14:textFill>
              </w:rPr>
              <w:t>（桑干河参照此标准）</w:t>
            </w:r>
            <w:r>
              <w:rPr>
                <w:rFonts w:hint="default" w:ascii="Times New Roman" w:hAnsi="Times New Roman" w:eastAsia="宋体" w:cs="Times New Roman"/>
                <w:color w:val="000000" w:themeColor="text1"/>
                <w:highlight w:val="none"/>
                <w14:textFill>
                  <w14:solidFill>
                    <w14:schemeClr w14:val="tx1"/>
                  </w14:solidFill>
                </w14:textFill>
              </w:rPr>
              <w:t>，煤矿矿井水</w:t>
            </w:r>
            <w:r>
              <w:rPr>
                <w:rFonts w:hint="eastAsia" w:cs="Times New Roman"/>
                <w:color w:val="000000" w:themeColor="text1"/>
                <w:highlight w:val="none"/>
                <w:lang w:eastAsia="zh-CN"/>
                <w14:textFill>
                  <w14:solidFill>
                    <w14:schemeClr w14:val="tx1"/>
                  </w14:solidFill>
                </w14:textFill>
              </w:rPr>
              <w:t>的</w:t>
            </w:r>
            <w:r>
              <w:rPr>
                <w:rFonts w:hint="default" w:ascii="Times New Roman" w:hAnsi="Times New Roman" w:eastAsia="宋体" w:cs="Times New Roman"/>
                <w:color w:val="000000" w:themeColor="text1"/>
                <w:highlight w:val="none"/>
                <w14:textFill>
                  <w14:solidFill>
                    <w14:schemeClr w14:val="tx1"/>
                  </w14:solidFill>
                </w14:textFill>
              </w:rPr>
              <w:t>化学需氧量、氨氮、总磷三项</w:t>
            </w:r>
            <w:r>
              <w:rPr>
                <w:rFonts w:hint="eastAsia" w:cs="Times New Roman"/>
                <w:color w:val="000000" w:themeColor="text1"/>
                <w:highlight w:val="none"/>
                <w:lang w:eastAsia="zh-CN"/>
                <w14:textFill>
                  <w14:solidFill>
                    <w14:schemeClr w14:val="tx1"/>
                  </w14:solidFill>
                </w14:textFill>
              </w:rPr>
              <w:t>指标在满足</w:t>
            </w:r>
            <w:r>
              <w:rPr>
                <w:rFonts w:hint="default" w:ascii="Times New Roman" w:hAnsi="Times New Roman" w:eastAsia="宋体" w:cs="Times New Roman"/>
                <w:color w:val="000000" w:themeColor="text1"/>
                <w:highlight w:val="none"/>
                <w14:textFill>
                  <w14:solidFill>
                    <w14:schemeClr w14:val="tx1"/>
                  </w14:solidFill>
                </w14:textFill>
              </w:rPr>
              <w:t>地表水环境质量Ⅲ类标准</w:t>
            </w:r>
            <w:r>
              <w:rPr>
                <w:rFonts w:hint="eastAsia" w:cs="Times New Roman"/>
                <w:color w:val="000000" w:themeColor="text1"/>
                <w:highlight w:val="none"/>
                <w:lang w:eastAsia="zh-CN"/>
                <w14:textFill>
                  <w14:solidFill>
                    <w14:schemeClr w14:val="tx1"/>
                  </w14:solidFill>
                </w14:textFill>
              </w:rPr>
              <w:t>后才可以外排</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bCs/>
                <w:color w:val="000000" w:themeColor="text1"/>
                <w:szCs w:val="24"/>
                <w:highlight w:val="none"/>
                <w:lang w:eastAsia="zh-CN"/>
                <w14:textFill>
                  <w14:solidFill>
                    <w14:schemeClr w14:val="tx1"/>
                  </w14:solidFill>
                </w14:textFill>
              </w:rPr>
              <w:t>而目前矿井水处理站的矿井水出水水质</w:t>
            </w:r>
            <w:r>
              <w:rPr>
                <w:rFonts w:hint="eastAsia" w:cs="Times New Roman"/>
                <w:color w:val="000000" w:themeColor="text1"/>
                <w:highlight w:val="none"/>
                <w:lang w:eastAsia="zh-CN"/>
                <w14:textFill>
                  <w14:solidFill>
                    <w14:schemeClr w14:val="tx1"/>
                  </w14:solidFill>
                </w14:textFill>
              </w:rPr>
              <w:t>中</w:t>
            </w:r>
            <w:r>
              <w:rPr>
                <w:rFonts w:hint="default" w:ascii="Times New Roman" w:hAnsi="Times New Roman" w:eastAsia="宋体" w:cs="Times New Roman"/>
                <w:color w:val="000000" w:themeColor="text1"/>
                <w:highlight w:val="none"/>
                <w14:textFill>
                  <w14:solidFill>
                    <w14:schemeClr w14:val="tx1"/>
                  </w14:solidFill>
                </w14:textFill>
              </w:rPr>
              <w:t>化学需氧量、氨氮、总磷三项污染物</w:t>
            </w:r>
            <w:r>
              <w:rPr>
                <w:rFonts w:hint="eastAsia" w:cs="Times New Roman"/>
                <w:color w:val="000000" w:themeColor="text1"/>
                <w:highlight w:val="none"/>
                <w:lang w:eastAsia="zh-CN"/>
                <w14:textFill>
                  <w14:solidFill>
                    <w14:schemeClr w14:val="tx1"/>
                  </w14:solidFill>
                </w14:textFill>
              </w:rPr>
              <w:t>不能满足</w:t>
            </w:r>
            <w:r>
              <w:rPr>
                <w:rFonts w:hint="default" w:ascii="Times New Roman" w:hAnsi="Times New Roman" w:eastAsia="宋体" w:cs="Times New Roman"/>
                <w:color w:val="000000" w:themeColor="text1"/>
                <w:highlight w:val="none"/>
                <w14:textFill>
                  <w14:solidFill>
                    <w14:schemeClr w14:val="tx1"/>
                  </w14:solidFill>
                </w14:textFill>
              </w:rPr>
              <w:t>地表水环境质量Ⅲ类标准</w:t>
            </w:r>
            <w:r>
              <w:rPr>
                <w:rFonts w:hint="eastAsia" w:cs="Times New Roman"/>
                <w:color w:val="000000" w:themeColor="text1"/>
                <w:highlight w:val="none"/>
                <w:lang w:eastAsia="zh-CN"/>
                <w14:textFill>
                  <w14:solidFill>
                    <w14:schemeClr w14:val="tx1"/>
                  </w14:solidFill>
                </w14:textFill>
              </w:rPr>
              <w:t>要求</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p>
            <w:pPr>
              <w:snapToGrid w:val="0"/>
              <w:ind w:firstLine="470" w:firstLineChars="196"/>
              <w:rPr>
                <w:rFonts w:hint="default" w:ascii="Times New Roman" w:hAnsi="Times New Roman" w:eastAsia="宋体" w:cs="Times New Roman"/>
                <w:bCs/>
                <w:color w:val="000000" w:themeColor="text1"/>
                <w:szCs w:val="24"/>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因此</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r>
              <w:rPr>
                <w:rFonts w:hint="eastAsia" w:ascii="Times New Roman" w:hAnsi="Times New Roman" w:eastAsia="宋体" w:cs="Times New Roman"/>
                <w:color w:val="000000" w:themeColor="text1"/>
                <w:highlight w:val="none"/>
                <w:lang w:eastAsia="zh-CN"/>
                <w14:textFill>
                  <w14:solidFill>
                    <w14:schemeClr w14:val="tx1"/>
                  </w14:solidFill>
                </w14:textFill>
              </w:rPr>
              <w:t>必须尽快</w:t>
            </w:r>
            <w:r>
              <w:rPr>
                <w:rFonts w:hint="eastAsia" w:cs="Times New Roman"/>
                <w:color w:val="000000" w:themeColor="text1"/>
                <w:highlight w:val="none"/>
                <w:lang w:eastAsia="zh-CN"/>
                <w14:textFill>
                  <w14:solidFill>
                    <w14:schemeClr w14:val="tx1"/>
                  </w14:solidFill>
                </w14:textFill>
              </w:rPr>
              <w:t>进行矿井水提标改造工程，以满足矿井水处理能力的需求及外排矿井水的水质要求</w:t>
            </w:r>
            <w:r>
              <w:rPr>
                <w:rFonts w:hint="default" w:ascii="Times New Roman" w:hAnsi="Times New Roman" w:eastAsia="宋体" w:cs="Times New Roman"/>
                <w:color w:val="000000" w:themeColor="text1"/>
                <w:highlight w:val="none"/>
                <w14:textFill>
                  <w14:solidFill>
                    <w14:schemeClr w14:val="tx1"/>
                  </w14:solidFill>
                </w14:textFill>
              </w:rPr>
              <w:t>。</w:t>
            </w:r>
          </w:p>
          <w:p>
            <w:pPr>
              <w:snapToGrid w:val="0"/>
              <w:ind w:firstLine="472" w:firstLineChars="196"/>
              <w:rPr>
                <w:rFonts w:hint="default"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七</w:t>
            </w:r>
            <w:r>
              <w:rPr>
                <w:rFonts w:hint="default" w:ascii="Times New Roman" w:hAnsi="Times New Roman" w:eastAsia="宋体" w:cs="Times New Roman"/>
                <w:b/>
                <w:bCs/>
                <w:color w:val="000000" w:themeColor="text1"/>
                <w:highlight w:val="none"/>
                <w14:textFill>
                  <w14:solidFill>
                    <w14:schemeClr w14:val="tx1"/>
                  </w14:solidFill>
                </w14:textFill>
              </w:rPr>
              <w:t>、以新带老环保措施</w:t>
            </w: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针对</w:t>
            </w: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r>
              <w:rPr>
                <w:rFonts w:hint="eastAsia" w:ascii="Times New Roman" w:hAnsi="Times New Roman" w:eastAsia="宋体" w:cs="Times New Roman"/>
                <w:color w:val="000000" w:themeColor="text1"/>
                <w:highlight w:val="none"/>
                <w:lang w:eastAsia="zh-CN"/>
                <w14:textFill>
                  <w14:solidFill>
                    <w14:schemeClr w14:val="tx1"/>
                  </w14:solidFill>
                </w14:textFill>
              </w:rPr>
              <w:t>矿井水处理站现有的环境问题，本次通过增大矿井水的预处理能力和增加深度处理能力，来解决现有的环境的问题</w:t>
            </w:r>
            <w:r>
              <w:rPr>
                <w:rFonts w:hint="default" w:ascii="Times New Roman" w:hAnsi="Times New Roman" w:eastAsia="宋体" w:cs="Times New Roman"/>
                <w:color w:val="000000" w:themeColor="text1"/>
                <w:highlight w:val="none"/>
                <w14:textFill>
                  <w14:solidFill>
                    <w14:schemeClr w14:val="tx1"/>
                  </w14:solidFill>
                </w14:textFill>
              </w:rPr>
              <w:t>。</w:t>
            </w: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pStyle w:val="2"/>
              <w:rPr>
                <w:rFonts w:hint="eastAsia"/>
                <w:lang w:eastAsia="zh-CN"/>
              </w:rPr>
            </w:pPr>
          </w:p>
          <w:p>
            <w:pPr>
              <w:snapToGrid w:val="0"/>
              <w:ind w:firstLine="470" w:firstLineChars="196"/>
              <w:rPr>
                <w:rFonts w:hint="eastAsia" w:ascii="Times New Roman" w:hAnsi="Times New Roman" w:eastAsia="宋体" w:cs="Times New Roman"/>
                <w:color w:val="000000" w:themeColor="text1"/>
                <w:highlight w:val="none"/>
                <w:lang w:eastAsia="zh-CN"/>
                <w14:textFill>
                  <w14:solidFill>
                    <w14:schemeClr w14:val="tx1"/>
                  </w14:solidFill>
                </w14:textFill>
              </w:rPr>
            </w:pPr>
          </w:p>
          <w:p>
            <w:pPr>
              <w:snapToGrid w:val="0"/>
              <w:ind w:firstLine="470" w:firstLineChars="196"/>
              <w:rPr>
                <w:rFonts w:hint="default" w:ascii="Times New Roman" w:hAnsi="Times New Roman" w:eastAsia="宋体" w:cs="Times New Roman"/>
                <w:bCs/>
                <w:color w:val="000000" w:themeColor="text1"/>
                <w:szCs w:val="24"/>
                <w:highlight w:val="red"/>
                <w14:textFill>
                  <w14:solidFill>
                    <w14:schemeClr w14:val="tx1"/>
                  </w14:solidFill>
                </w14:textFill>
              </w:rPr>
            </w:pPr>
          </w:p>
        </w:tc>
      </w:tr>
    </w:tbl>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二、</w:t>
      </w:r>
      <w:r>
        <w:rPr>
          <w:rFonts w:hint="default" w:ascii="Times New Roman" w:hAnsi="Times New Roman" w:eastAsia="宋体" w:cs="Times New Roman"/>
          <w:color w:val="000000" w:themeColor="text1"/>
          <w:highlight w:val="none"/>
          <w14:textFill>
            <w14:solidFill>
              <w14:schemeClr w14:val="tx1"/>
            </w14:solidFill>
          </w14:textFill>
        </w:rPr>
        <w:t>建设项目所在地自然环境简况</w:t>
      </w:r>
    </w:p>
    <w:tbl>
      <w:tblPr>
        <w:tblStyle w:val="27"/>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488" w:hRule="atLeast"/>
          <w:jc w:val="center"/>
        </w:trPr>
        <w:tc>
          <w:tcPr>
            <w:tcW w:w="5000" w:type="pct"/>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left"/>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自然环境简况（地形、地貌、地质、气象、水文、植被、生物多样性等）</w:t>
            </w:r>
          </w:p>
          <w:p>
            <w:pPr>
              <w:widowControl/>
              <w:adjustRightInd w:val="0"/>
              <w:snapToGrid w:val="0"/>
              <w:spacing w:line="480" w:lineRule="exact"/>
              <w:ind w:firstLine="482" w:firstLineChars="200"/>
              <w:rPr>
                <w:rFonts w:hint="default" w:ascii="Times New Roman" w:hAnsi="Times New Roman" w:eastAsia="宋体" w:cs="Times New Roman"/>
                <w:b/>
                <w:color w:val="000000"/>
                <w:kern w:val="0"/>
                <w:sz w:val="24"/>
                <w:szCs w:val="22"/>
              </w:rPr>
            </w:pPr>
            <w:r>
              <w:rPr>
                <w:rFonts w:hint="default" w:ascii="Times New Roman" w:hAnsi="Times New Roman" w:eastAsia="宋体" w:cs="Times New Roman"/>
                <w:b/>
                <w:color w:val="000000"/>
                <w:kern w:val="0"/>
                <w:sz w:val="24"/>
                <w:szCs w:val="22"/>
              </w:rPr>
              <w:t>2.1、地理位置</w:t>
            </w:r>
          </w:p>
          <w:p>
            <w:pPr>
              <w:pStyle w:val="17"/>
              <w:ind w:firstLine="486"/>
              <w:rPr>
                <w:rFonts w:hint="eastAsia" w:ascii="Times New Roman" w:hAnsi="Times New Roman" w:eastAsia="宋体" w:cs="Times New Roman"/>
                <w:highlight w:val="none"/>
                <w:lang w:val="en-US" w:eastAsia="zh-CN"/>
              </w:rPr>
            </w:pPr>
            <w:r>
              <w:rPr>
                <w:rFonts w:hint="eastAsia" w:cs="Times New Roman"/>
                <w:highlight w:val="none"/>
                <w:lang w:val="en-US" w:eastAsia="zh-CN"/>
              </w:rPr>
              <w:t>略</w:t>
            </w:r>
          </w:p>
          <w:p>
            <w:pPr>
              <w:pStyle w:val="17"/>
              <w:ind w:firstLine="486"/>
              <w:rPr>
                <w:rFonts w:hint="default" w:ascii="Times New Roman" w:hAnsi="Times New Roman" w:eastAsia="宋体" w:cs="Times New Roman"/>
                <w:highlight w:val="none"/>
              </w:rPr>
            </w:pPr>
          </w:p>
          <w:p>
            <w:pPr>
              <w:pStyle w:val="17"/>
              <w:ind w:left="0" w:leftChars="0" w:firstLine="0" w:firstLineChars="0"/>
              <w:rPr>
                <w:rFonts w:hint="default" w:ascii="Times New Roman" w:hAnsi="Times New Roman" w:eastAsia="宋体" w:cs="Times New Roman"/>
                <w:lang w:eastAsia="zh-C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pStyle w:val="17"/>
              <w:ind w:firstLine="486"/>
              <w:rPr>
                <w:rFonts w:hint="default" w:ascii="Times New Roman" w:hAnsi="Times New Roman" w:eastAsia="宋体" w:cs="Times New Roman"/>
              </w:rPr>
            </w:pPr>
          </w:p>
          <w:p>
            <w:pPr>
              <w:ind w:left="0" w:leftChars="0" w:firstLine="0" w:firstLineChars="0"/>
              <w:rPr>
                <w:rFonts w:hint="default" w:ascii="Times New Roman" w:hAnsi="Times New Roman" w:eastAsia="宋体" w:cs="Times New Roman"/>
                <w:sz w:val="24"/>
              </w:rPr>
            </w:pPr>
          </w:p>
        </w:tc>
      </w:tr>
    </w:tbl>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三、</w:t>
      </w:r>
      <w:r>
        <w:rPr>
          <w:rFonts w:hint="default" w:ascii="Times New Roman" w:hAnsi="Times New Roman" w:eastAsia="宋体" w:cs="Times New Roman"/>
          <w:color w:val="000000" w:themeColor="text1"/>
          <w:highlight w:val="none"/>
          <w14:textFill>
            <w14:solidFill>
              <w14:schemeClr w14:val="tx1"/>
            </w14:solidFill>
          </w14:textFill>
        </w:rPr>
        <w:t>环境质量状况</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74"/>
        <w:gridCol w:w="4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21" w:type="pct"/>
          <w:trHeight w:val="13217" w:hRule="atLeast"/>
          <w:jc w:val="center"/>
        </w:trPr>
        <w:tc>
          <w:tcPr>
            <w:tcW w:w="4778" w:type="pct"/>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建设项目所在地区域环境质量现状及主要环境问题（环境空气、地面水、地下水、声环境、生态环境等）：</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1、环境空气质量现状</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bCs/>
                <w:color w:val="000000" w:themeColor="text1"/>
                <w:sz w:val="24"/>
                <w:szCs w:val="28"/>
                <w:highlight w:val="none"/>
                <w14:textFill>
                  <w14:solidFill>
                    <w14:schemeClr w14:val="tx1"/>
                  </w14:solidFill>
                </w14:textFill>
              </w:rPr>
              <w:t>为了解评价区内的环境空气质量现状，</w:t>
            </w:r>
            <w:r>
              <w:rPr>
                <w:rFonts w:hint="default" w:ascii="Times New Roman" w:hAnsi="Times New Roman" w:eastAsia="宋体" w:cs="Times New Roman"/>
                <w:color w:val="000000" w:themeColor="text1"/>
                <w:sz w:val="24"/>
                <w:highlight w:val="none"/>
                <w14:textFill>
                  <w14:solidFill>
                    <w14:schemeClr w14:val="tx1"/>
                  </w14:solidFill>
                </w14:textFill>
              </w:rPr>
              <w:t>本次评价引用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平鲁</w:t>
            </w:r>
            <w:r>
              <w:rPr>
                <w:rFonts w:hint="default" w:ascii="Times New Roman" w:hAnsi="Times New Roman" w:eastAsia="宋体" w:cs="Times New Roman"/>
                <w:color w:val="000000" w:themeColor="text1"/>
                <w:sz w:val="24"/>
                <w:highlight w:val="none"/>
                <w14:textFill>
                  <w14:solidFill>
                    <w14:schemeClr w14:val="tx1"/>
                  </w14:solidFill>
                </w14:textFill>
              </w:rPr>
              <w:t>区空气质量201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年年均数据，监测项目为SO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、NO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、PM</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highlight w:val="none"/>
                <w14:textFill>
                  <w14:solidFill>
                    <w14:schemeClr w14:val="tx1"/>
                  </w14:solidFill>
                </w14:textFill>
              </w:rPr>
              <w:t>、PM</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highlight w:val="none"/>
                <w14:textFill>
                  <w14:solidFill>
                    <w14:schemeClr w14:val="tx1"/>
                  </w14:solidFill>
                </w14:textFill>
              </w:rPr>
              <w:t>、CO第95百分位数浓度、O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(8h)第90百分位数浓度，监测结果见</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下</w:t>
            </w:r>
            <w:r>
              <w:rPr>
                <w:rFonts w:hint="default" w:ascii="Times New Roman" w:hAnsi="Times New Roman" w:eastAsia="宋体" w:cs="Times New Roman"/>
                <w:color w:val="000000" w:themeColor="text1"/>
                <w:sz w:val="24"/>
                <w:highlight w:val="none"/>
                <w14:textFill>
                  <w14:solidFill>
                    <w14:schemeClr w14:val="tx1"/>
                  </w14:solidFill>
                </w14:textFill>
              </w:rPr>
              <w:t>表。</w:t>
            </w:r>
          </w:p>
          <w:p>
            <w:pPr>
              <w:pStyle w:val="9"/>
              <w:spacing w:line="480" w:lineRule="exact"/>
              <w:rPr>
                <w:rFonts w:hint="default" w:ascii="Times New Roman" w:hAnsi="Times New Roman" w:eastAsia="宋体" w:cs="Times New Roman"/>
                <w:b/>
                <w:bCs/>
                <w:color w:val="000000" w:themeColor="text1"/>
                <w:sz w:val="21"/>
                <w:szCs w:val="16"/>
                <w:highlight w:val="none"/>
                <w14:textFill>
                  <w14:solidFill>
                    <w14:schemeClr w14:val="tx1"/>
                  </w14:solidFill>
                </w14:textFill>
              </w:rPr>
            </w:pPr>
            <w:r>
              <w:rPr>
                <w:rFonts w:hint="default" w:ascii="Times New Roman" w:hAnsi="Times New Roman" w:eastAsia="宋体" w:cs="Times New Roman"/>
                <w:b/>
                <w:bCs/>
                <w:color w:val="000000" w:themeColor="text1"/>
                <w:sz w:val="21"/>
                <w:szCs w:val="16"/>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16"/>
                <w:highlight w:val="none"/>
                <w:lang w:val="en-US" w:eastAsia="zh-CN"/>
                <w14:textFill>
                  <w14:solidFill>
                    <w14:schemeClr w14:val="tx1"/>
                  </w14:solidFill>
                </w14:textFill>
              </w:rPr>
              <w:t>3-1</w:t>
            </w:r>
            <w:r>
              <w:rPr>
                <w:rFonts w:hint="default" w:ascii="Times New Roman" w:hAnsi="Times New Roman" w:eastAsia="宋体" w:cs="Times New Roman"/>
                <w:b/>
                <w:bCs/>
                <w:color w:val="000000" w:themeColor="text1"/>
                <w:sz w:val="21"/>
                <w:szCs w:val="16"/>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16"/>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16"/>
                <w:highlight w:val="none"/>
                <w14:textFill>
                  <w14:solidFill>
                    <w14:schemeClr w14:val="tx1"/>
                  </w14:solidFill>
                </w14:textFill>
              </w:rPr>
              <w:t xml:space="preserve"> 环境空气质量现状监测统计结果</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30"/>
              <w:gridCol w:w="1045"/>
              <w:gridCol w:w="1746"/>
              <w:gridCol w:w="1123"/>
              <w:gridCol w:w="1094"/>
              <w:gridCol w:w="1159"/>
              <w:gridCol w:w="1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w:t>
                  </w:r>
                </w:p>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地点</w:t>
                  </w:r>
                </w:p>
              </w:tc>
              <w:tc>
                <w:tcPr>
                  <w:tcW w:w="1074"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w:t>
                  </w:r>
                </w:p>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81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评价指标</w:t>
                  </w:r>
                </w:p>
              </w:tc>
              <w:tc>
                <w:tcPr>
                  <w:tcW w:w="112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现状浓度/（μg/</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sz w:val="21"/>
                      <w:szCs w:val="21"/>
                    </w:rPr>
                    <w:t>）</w:t>
                  </w: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占标率（%）</w:t>
                  </w: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超标</w:t>
                  </w:r>
                </w:p>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restart"/>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山西省朔州市平鲁区</w:t>
                  </w: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12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continue"/>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12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continue"/>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12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continue"/>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12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continue"/>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24小时平均第95%百分位值</w:t>
                  </w:r>
                </w:p>
              </w:tc>
              <w:tc>
                <w:tcPr>
                  <w:tcW w:w="1128" w:type="dxa"/>
                  <w:noWrap w:val="0"/>
                  <w:vAlign w:val="center"/>
                </w:tcPr>
                <w:p>
                  <w:pPr>
                    <w:pStyle w:val="126"/>
                    <w:keepNext w:val="0"/>
                    <w:keepLines w:val="0"/>
                    <w:pageBreakBefore w:val="0"/>
                    <w:widowControl/>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389" w:type="dxa"/>
                  <w:vMerge w:val="continue"/>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074"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181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8小时平均第90%百分位值</w:t>
                  </w:r>
                </w:p>
              </w:tc>
              <w:tc>
                <w:tcPr>
                  <w:tcW w:w="1128" w:type="dxa"/>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140"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85"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1178" w:type="dxa"/>
                  <w:noWrap w:val="0"/>
                  <w:vAlign w:val="center"/>
                </w:tcPr>
                <w:p>
                  <w:pPr>
                    <w:keepNext w:val="0"/>
                    <w:keepLines w:val="0"/>
                    <w:pageBreakBefore w:val="0"/>
                    <w:widowControl/>
                    <w:tabs>
                      <w:tab w:val="left" w:pos="46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r>
          </w:tbl>
          <w:p>
            <w:pPr>
              <w:pStyle w:val="40"/>
              <w:spacing w:line="480" w:lineRule="exact"/>
              <w:ind w:firstLine="480" w:firstLineChars="200"/>
              <w:jc w:val="left"/>
              <w:rPr>
                <w:rFonts w:hint="default" w:ascii="Times New Roman" w:hAnsi="Times New Roman" w:eastAsia="宋体" w:cs="Times New Roman"/>
                <w:color w:val="000000" w:themeColor="text1"/>
                <w:sz w:val="24"/>
                <w:szCs w:val="24"/>
                <w:highlight w:val="red"/>
                <w14:textFill>
                  <w14:solidFill>
                    <w14:schemeClr w14:val="tx1"/>
                  </w14:solidFill>
                </w14:textFill>
              </w:rPr>
            </w:pPr>
            <w:r>
              <w:rPr>
                <w:rFonts w:hint="default" w:ascii="Times New Roman" w:hAnsi="Times New Roman" w:eastAsia="宋体" w:cs="Times New Roman"/>
                <w:sz w:val="24"/>
                <w:szCs w:val="24"/>
              </w:rPr>
              <w:t>由上表可知，201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平鲁区</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年均浓度均达到《环境空气质量标准》（GB3095-2012）</w:t>
            </w:r>
            <w:r>
              <w:rPr>
                <w:rFonts w:hint="default" w:ascii="Times New Roman" w:hAnsi="Times New Roman" w:eastAsia="宋体" w:cs="Times New Roman"/>
                <w:sz w:val="24"/>
                <w:szCs w:val="24"/>
                <w:lang w:eastAsia="zh-CN"/>
              </w:rPr>
              <w:t>及其修改单</w:t>
            </w:r>
            <w:r>
              <w:rPr>
                <w:rFonts w:hint="default" w:ascii="Times New Roman" w:hAnsi="Times New Roman" w:eastAsia="宋体" w:cs="Times New Roman"/>
                <w:sz w:val="24"/>
                <w:szCs w:val="24"/>
              </w:rPr>
              <w:t>中二级标准要求，PM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年浓度超过《环境空气质量标准》（GB3095-2012）</w:t>
            </w:r>
            <w:r>
              <w:rPr>
                <w:rFonts w:hint="default" w:ascii="Times New Roman" w:hAnsi="Times New Roman" w:eastAsia="宋体" w:cs="Times New Roman"/>
                <w:sz w:val="24"/>
                <w:szCs w:val="24"/>
                <w:lang w:eastAsia="zh-CN"/>
              </w:rPr>
              <w:t>及其修改单</w:t>
            </w:r>
            <w:r>
              <w:rPr>
                <w:rFonts w:hint="default" w:ascii="Times New Roman" w:hAnsi="Times New Roman" w:eastAsia="宋体" w:cs="Times New Roman"/>
                <w:sz w:val="24"/>
                <w:szCs w:val="24"/>
              </w:rPr>
              <w:t>中二级标准要求，</w:t>
            </w:r>
            <w:r>
              <w:rPr>
                <w:rFonts w:hint="default" w:ascii="Times New Roman" w:hAnsi="Times New Roman" w:eastAsia="宋体" w:cs="Times New Roman"/>
                <w:sz w:val="24"/>
                <w:szCs w:val="24"/>
                <w:lang w:val="en-US" w:eastAsia="zh-CN"/>
              </w:rPr>
              <w:t>平鲁区</w:t>
            </w:r>
            <w:r>
              <w:rPr>
                <w:rFonts w:hint="default" w:ascii="Times New Roman" w:hAnsi="Times New Roman" w:eastAsia="宋体" w:cs="Times New Roman"/>
                <w:sz w:val="24"/>
                <w:szCs w:val="24"/>
              </w:rPr>
              <w:t>环境空气质量属于不达标区</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2、地表水质量现状</w:t>
            </w:r>
          </w:p>
          <w:p>
            <w:pPr>
              <w:adjustRightInd w:val="0"/>
              <w:spacing w:line="480" w:lineRule="exact"/>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本项目直接纳污水体为</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14:textFill>
                  <w14:solidFill>
                    <w14:schemeClr w14:val="tx1"/>
                  </w14:solidFill>
                </w14:textFill>
              </w:rPr>
              <w:t>根据《山西省地表水功能区划》（DB14/67-2019），</w:t>
            </w:r>
            <w:r>
              <w:rPr>
                <w:rFonts w:hint="eastAsia" w:ascii="Times New Roman" w:hAnsi="Times New Roman" w:cs="Times New Roman"/>
                <w:bCs/>
                <w:color w:val="000000" w:themeColor="text1"/>
                <w:kern w:val="0"/>
                <w:highlight w:val="none"/>
                <w:lang w:eastAsia="zh-CN"/>
                <w14:textFill>
                  <w14:solidFill>
                    <w14:schemeClr w14:val="tx1"/>
                  </w14:solidFill>
                </w14:textFill>
              </w:rPr>
              <w:t>本河段</w:t>
            </w:r>
            <w:r>
              <w:rPr>
                <w:rFonts w:hint="default" w:ascii="Times New Roman" w:hAnsi="Times New Roman" w:eastAsia="宋体" w:cs="Times New Roman"/>
                <w:bCs/>
                <w:color w:val="000000" w:themeColor="text1"/>
                <w:kern w:val="0"/>
                <w:highlight w:val="none"/>
                <w14:textFill>
                  <w14:solidFill>
                    <w14:schemeClr w14:val="tx1"/>
                  </w14:solidFill>
                </w14:textFill>
              </w:rPr>
              <w:t>执行《地表水环境质量标准》（GB3838-2002）中Ⅳ类标准。根据</w:t>
            </w:r>
            <w:r>
              <w:rPr>
                <w:rFonts w:hint="eastAsia" w:cs="Times New Roman"/>
                <w:bCs/>
                <w:color w:val="000000" w:themeColor="text1"/>
                <w:kern w:val="0"/>
                <w:highlight w:val="none"/>
                <w:lang w:eastAsia="zh-CN"/>
                <w14:textFill>
                  <w14:solidFill>
                    <w14:schemeClr w14:val="tx1"/>
                  </w14:solidFill>
                </w14:textFill>
              </w:rPr>
              <w:t>朔州市生态环境局于</w:t>
            </w:r>
            <w:r>
              <w:rPr>
                <w:rFonts w:hint="eastAsia" w:cs="Times New Roman"/>
                <w:bCs/>
                <w:color w:val="000000" w:themeColor="text1"/>
                <w:kern w:val="0"/>
                <w:highlight w:val="none"/>
                <w:lang w:val="en-US" w:eastAsia="zh-CN"/>
                <w14:textFill>
                  <w14:solidFill>
                    <w14:schemeClr w14:val="tx1"/>
                  </w14:solidFill>
                </w14:textFill>
              </w:rPr>
              <w:t>2020年11月10日在朔州市生态环境局官网公开的2020年10月朔州市地表水环境质量状况可知，本项目河段隶属的神头桥监测断面结果为</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Ⅳ类</w:t>
            </w:r>
            <w:r>
              <w:rPr>
                <w:rFonts w:hint="eastAsia"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水质能达到《地表水环境质量标准》（GB3838-2002）中Ⅳ类标准要求</w:t>
            </w:r>
            <w:r>
              <w:rPr>
                <w:rFonts w:hint="default" w:ascii="Times New Roman" w:hAnsi="Times New Roman" w:eastAsia="宋体" w:cs="Times New Roman"/>
                <w:bCs/>
                <w:color w:val="000000" w:themeColor="text1"/>
                <w:kern w:val="0"/>
                <w:highlight w:val="none"/>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3、声环境质量现状</w:t>
            </w:r>
          </w:p>
          <w:p>
            <w:pPr>
              <w:adjustRightInd w:val="0"/>
              <w:snapToGrid w:val="0"/>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zh-CN"/>
                <w14:textFill>
                  <w14:solidFill>
                    <w14:schemeClr w14:val="tx1"/>
                  </w14:solidFill>
                </w14:textFill>
              </w:rPr>
              <w:t>本项目矿井水处理站位于朔州市平鲁区榆岭乡石峰村（兰花永胜煤业有限公司生产区工业场地矿井水处理站）</w:t>
            </w:r>
            <w:r>
              <w:rPr>
                <w:rFonts w:hint="default" w:ascii="Times New Roman" w:hAnsi="Times New Roman" w:eastAsia="宋体" w:cs="Times New Roman"/>
                <w:color w:val="000000" w:themeColor="text1"/>
                <w:highlight w:val="none"/>
                <w14:textFill>
                  <w14:solidFill>
                    <w14:schemeClr w14:val="tx1"/>
                  </w14:solidFill>
                </w14:textFill>
              </w:rPr>
              <w:t>，受场地内各类设施设备的工作噪声影响，声环境质量一般，项目周边</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00m范围内无居民区，不会对其造成影响。因此本次未对声环境质量现状进行监测。</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4、生态环境现状</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本项目所在区域主要为山地生态系统，根据现状调查，评价区不涉及自然保护区、风景名胜区等环境敏感保护目标。生态系统结构简单，生态环境一般。</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p>
          <w:p>
            <w:pPr>
              <w:spacing w:line="480" w:lineRule="exact"/>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17" w:hRule="atLeast"/>
          <w:jc w:val="center"/>
        </w:trPr>
        <w:tc>
          <w:tcPr>
            <w:tcW w:w="5000" w:type="pct"/>
            <w:gridSpan w:val="2"/>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环境保护目标（列出名单及保护级别）</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国家环保部《关于公布&lt;建设项目环境影响评价分类管理目录&gt;的通知》对环境敏感区的界定，评价区范围内无需特殊保护地区、生态敏感区、脆弱区和社会关注区。因此本次评价将项目周围的居民及农田作为主要关心对象。根据本项目所在地的自然环境和社会环境特征，其环境保护目标具体如下：</w:t>
            </w:r>
          </w:p>
          <w:p>
            <w:pPr>
              <w:pStyle w:val="5"/>
              <w:pageBreakBefore w:val="0"/>
              <w:widowControl w:val="0"/>
              <w:kinsoku/>
              <w:wordWrap/>
              <w:overflowPunct/>
              <w:topLinePunct w:val="0"/>
              <w:autoSpaceDE/>
              <w:autoSpaceDN/>
              <w:bidi w:val="0"/>
              <w:adjustRightInd/>
              <w:snapToGrid/>
              <w:spacing w:line="460" w:lineRule="exact"/>
              <w:ind w:firstLine="482"/>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一、环境保护目标</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（1）环境空气保护目标</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执行《环境空气质量标准》（GB3095-2012）</w:t>
            </w:r>
            <w:r>
              <w:rPr>
                <w:rFonts w:hint="default" w:ascii="Times New Roman" w:hAnsi="Times New Roman" w:eastAsia="宋体" w:cs="Times New Roman"/>
                <w:color w:val="000000" w:themeColor="text1"/>
                <w:highlight w:val="none"/>
                <w:lang w:eastAsia="zh-CN"/>
                <w14:textFill>
                  <w14:solidFill>
                    <w14:schemeClr w14:val="tx1"/>
                  </w14:solidFill>
                </w14:textFill>
              </w:rPr>
              <w:t>及其修改单</w:t>
            </w:r>
            <w:r>
              <w:rPr>
                <w:rFonts w:hint="default" w:ascii="Times New Roman" w:hAnsi="Times New Roman" w:eastAsia="宋体" w:cs="Times New Roman"/>
                <w:color w:val="000000" w:themeColor="text1"/>
                <w:highlight w:val="none"/>
                <w14:textFill>
                  <w14:solidFill>
                    <w14:schemeClr w14:val="tx1"/>
                  </w14:solidFill>
                </w14:textFill>
              </w:rPr>
              <w:t>二级标准；</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（2）地表水环境保护目标</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执行《地表水环境质量标准》（GB3838-2002）中Ⅳ类水质要求；</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（3）地下水环境保护目标</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执行《地下水质量标准》（GB/T14848-2017）中水质量Ⅲ类水质标准；</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（4）声环境保护目标</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执行《声环境质量标准》（GB3096-2008）中2类标准。</w:t>
            </w:r>
          </w:p>
          <w:p>
            <w:pPr>
              <w:pStyle w:val="5"/>
              <w:pageBreakBefore w:val="0"/>
              <w:widowControl w:val="0"/>
              <w:kinsoku/>
              <w:wordWrap/>
              <w:overflowPunct/>
              <w:topLinePunct w:val="0"/>
              <w:autoSpaceDE/>
              <w:autoSpaceDN/>
              <w:bidi w:val="0"/>
              <w:adjustRightInd/>
              <w:snapToGrid/>
              <w:spacing w:line="460" w:lineRule="exact"/>
              <w:ind w:firstLine="482"/>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二、环境保护对象</w:t>
            </w:r>
          </w:p>
          <w:p>
            <w:pPr>
              <w:pageBreakBefore w:val="0"/>
              <w:widowControl w:val="0"/>
              <w:kinsoku/>
              <w:wordWrap/>
              <w:overflowPunct/>
              <w:topLinePunct w:val="0"/>
              <w:autoSpaceDE/>
              <w:autoSpaceDN/>
              <w:bidi w:val="0"/>
              <w:adjustRightInd/>
              <w:snapToGrid/>
              <w:spacing w:line="460" w:lineRule="exact"/>
              <w:ind w:firstLine="480"/>
              <w:textAlignment w:val="auto"/>
              <w:rPr>
                <w:rFonts w:hint="eastAsia" w:cs="Times New Roman"/>
                <w:bCs/>
                <w:color w:val="000000" w:themeColor="text1"/>
                <w:kern w:val="0"/>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由于</w:t>
            </w:r>
            <w:r>
              <w:rPr>
                <w:rFonts w:hint="default" w:ascii="Times New Roman" w:hAnsi="Times New Roman" w:eastAsia="宋体" w:cs="Times New Roman"/>
                <w:color w:val="000000" w:themeColor="text1"/>
                <w:highlight w:val="none"/>
                <w14:textFill>
                  <w14:solidFill>
                    <w14:schemeClr w14:val="tx1"/>
                  </w14:solidFill>
                </w14:textFill>
              </w:rPr>
              <w:t>本项目只对矿井水进行物化处理，无生化处理过程，因此无</w:t>
            </w:r>
            <w:r>
              <w:rPr>
                <w:rFonts w:hint="eastAsia" w:cs="Times New Roman"/>
                <w:color w:val="000000" w:themeColor="text1"/>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highlight w:val="none"/>
                <w14:textFill>
                  <w14:solidFill>
                    <w14:schemeClr w14:val="tx1"/>
                  </w14:solidFill>
                </w14:textFill>
              </w:rPr>
              <w:t>产生</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不会对环境空气产生影响，因此本次评价不识别大气环境的保护目标和保护对象；本项目外排矿井水流入大沙河，大沙沟</w:t>
            </w:r>
            <w:r>
              <w:rPr>
                <w:rFonts w:hint="default" w:ascii="Times New Roman" w:hAnsi="Times New Roman" w:eastAsia="宋体" w:cs="Times New Roman"/>
                <w:bCs/>
                <w:color w:val="000000" w:themeColor="text1"/>
                <w:kern w:val="0"/>
                <w:highlight w:val="none"/>
                <w14:textFill>
                  <w14:solidFill>
                    <w14:schemeClr w14:val="tx1"/>
                  </w14:solidFill>
                </w14:textFill>
              </w:rPr>
              <w:t>执行《地表水环境质量标准》（GB3838-2002）中Ⅳ类标准</w:t>
            </w:r>
            <w:r>
              <w:rPr>
                <w:rFonts w:hint="eastAsia" w:cs="Times New Roman"/>
                <w:bCs/>
                <w:color w:val="000000" w:themeColor="text1"/>
                <w:kern w:val="0"/>
                <w:highlight w:val="none"/>
                <w:lang w:eastAsia="zh-CN"/>
                <w14:textFill>
                  <w14:solidFill>
                    <w14:schemeClr w14:val="tx1"/>
                  </w14:solidFill>
                </w14:textFill>
              </w:rPr>
              <w:t>，</w:t>
            </w:r>
            <w:r>
              <w:rPr>
                <w:rFonts w:hint="eastAsia" w:cs="Times New Roman"/>
                <w:bCs/>
                <w:color w:val="000000" w:themeColor="text1"/>
                <w:kern w:val="0"/>
                <w:highlight w:val="none"/>
                <w:lang w:val="en-US" w:eastAsia="zh-CN"/>
                <w14:textFill>
                  <w14:solidFill>
                    <w14:schemeClr w14:val="tx1"/>
                  </w14:solidFill>
                </w14:textFill>
              </w:rPr>
              <w:t>本项目外排矿井水达地表水Ⅲ类，因此不会污染大沙沟的水质；本项目无需进行地下水、土壤评价；本项目周围200m范围内无村庄居民，因此，本项目新增的泵类等产生的噪声不会对附近村庄居民产生影响，并且本项目噪声源均室内安装、基础减震，对外环境的影响较小。</w:t>
            </w:r>
          </w:p>
          <w:p>
            <w:pPr>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bCs/>
                <w:color w:val="000000" w:themeColor="text1"/>
                <w:kern w:val="0"/>
                <w:highlight w:val="none"/>
                <w:lang w:val="en-US" w:eastAsia="zh-CN"/>
                <w14:textFill>
                  <w14:solidFill>
                    <w14:schemeClr w14:val="tx1"/>
                  </w14:solidFill>
                </w14:textFill>
              </w:rPr>
              <w:t>通过上述分析，确定</w:t>
            </w:r>
            <w:r>
              <w:rPr>
                <w:rFonts w:hint="default" w:ascii="Times New Roman" w:hAnsi="Times New Roman" w:eastAsia="宋体" w:cs="Times New Roman"/>
                <w:color w:val="000000" w:themeColor="text1"/>
                <w:highlight w:val="none"/>
                <w14:textFill>
                  <w14:solidFill>
                    <w14:schemeClr w14:val="tx1"/>
                  </w14:solidFill>
                </w14:textFill>
              </w:rPr>
              <w:t>本次评价的环境保护目标见</w:t>
            </w:r>
            <w:r>
              <w:rPr>
                <w:rFonts w:hint="default" w:ascii="Times New Roman" w:hAnsi="Times New Roman" w:eastAsia="宋体" w:cs="Times New Roman"/>
                <w:color w:val="000000" w:themeColor="text1"/>
                <w:highlight w:val="none"/>
                <w:lang w:eastAsia="zh-CN"/>
                <w14:textFill>
                  <w14:solidFill>
                    <w14:schemeClr w14:val="tx1"/>
                  </w14:solidFill>
                </w14:textFill>
              </w:rPr>
              <w:t>下</w:t>
            </w:r>
            <w:r>
              <w:rPr>
                <w:rFonts w:hint="default" w:ascii="Times New Roman" w:hAnsi="Times New Roman" w:eastAsia="宋体" w:cs="Times New Roman"/>
                <w:color w:val="000000" w:themeColor="text1"/>
                <w:highlight w:val="none"/>
                <w14:textFill>
                  <w14:solidFill>
                    <w14:schemeClr w14:val="tx1"/>
                  </w14:solidFill>
                </w14:textFill>
              </w:rPr>
              <w:t>表。</w:t>
            </w:r>
          </w:p>
          <w:p>
            <w:pPr>
              <w:pStyle w:val="9"/>
              <w:spacing w:line="480" w:lineRule="exact"/>
              <w:rPr>
                <w:rFonts w:hint="default" w:ascii="Times New Roman" w:hAnsi="Times New Roman" w:eastAsia="宋体" w:cs="Times New Roman"/>
                <w:b/>
                <w:bCs/>
                <w:color w:val="000000" w:themeColor="text1"/>
                <w:sz w:val="21"/>
                <w:szCs w:val="16"/>
                <w:highlight w:val="none"/>
                <w14:textFill>
                  <w14:solidFill>
                    <w14:schemeClr w14:val="tx1"/>
                  </w14:solidFill>
                </w14:textFill>
              </w:rPr>
            </w:pPr>
            <w:r>
              <w:rPr>
                <w:rFonts w:hint="default" w:ascii="Times New Roman" w:hAnsi="Times New Roman" w:eastAsia="宋体" w:cs="Times New Roman"/>
                <w:b/>
                <w:bCs/>
                <w:color w:val="000000" w:themeColor="text1"/>
                <w:sz w:val="21"/>
                <w:szCs w:val="16"/>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16"/>
                <w:highlight w:val="none"/>
                <w:lang w:val="en-US" w:eastAsia="zh-CN"/>
                <w14:textFill>
                  <w14:solidFill>
                    <w14:schemeClr w14:val="tx1"/>
                  </w14:solidFill>
                </w14:textFill>
              </w:rPr>
              <w:t>3-</w:t>
            </w:r>
            <w:r>
              <w:rPr>
                <w:rFonts w:hint="eastAsia" w:eastAsia="宋体" w:cs="Times New Roman"/>
                <w:b/>
                <w:bCs/>
                <w:color w:val="000000" w:themeColor="text1"/>
                <w:sz w:val="21"/>
                <w:szCs w:val="16"/>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16"/>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16"/>
                <w:highlight w:val="none"/>
                <w14:textFill>
                  <w14:solidFill>
                    <w14:schemeClr w14:val="tx1"/>
                  </w14:solidFill>
                </w14:textFill>
              </w:rPr>
              <w:t xml:space="preserve">  主要环境保护目标及保护对象</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68"/>
              <w:gridCol w:w="1168"/>
              <w:gridCol w:w="731"/>
              <w:gridCol w:w="1178"/>
              <w:gridCol w:w="4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序号</w:t>
                  </w:r>
                </w:p>
              </w:tc>
              <w:tc>
                <w:tcPr>
                  <w:tcW w:w="646"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敏感因素</w:t>
                  </w:r>
                </w:p>
              </w:tc>
              <w:tc>
                <w:tcPr>
                  <w:tcW w:w="646"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保护目标</w:t>
                  </w:r>
                </w:p>
              </w:tc>
              <w:tc>
                <w:tcPr>
                  <w:tcW w:w="404"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方位</w:t>
                  </w:r>
                </w:p>
              </w:tc>
              <w:tc>
                <w:tcPr>
                  <w:tcW w:w="650"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距离(km)</w:t>
                  </w:r>
                </w:p>
              </w:tc>
              <w:tc>
                <w:tcPr>
                  <w:tcW w:w="2252" w:type="pct"/>
                  <w:vAlign w:val="center"/>
                </w:tcPr>
                <w:p>
                  <w:pPr>
                    <w:pStyle w:val="11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区域功能及执行标准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pPr>
                    <w:pStyle w:val="11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646"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地表水</w:t>
                  </w:r>
                </w:p>
              </w:tc>
              <w:tc>
                <w:tcPr>
                  <w:tcW w:w="646"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p>
              </w:tc>
              <w:tc>
                <w:tcPr>
                  <w:tcW w:w="404"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w:t>
                  </w:r>
                </w:p>
              </w:tc>
              <w:tc>
                <w:tcPr>
                  <w:tcW w:w="650" w:type="pct"/>
                  <w:vAlign w:val="center"/>
                </w:tcPr>
                <w:p>
                  <w:pPr>
                    <w:pStyle w:val="40"/>
                    <w:spacing w:line="320" w:lineRule="exac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0.7</w:t>
                  </w:r>
                </w:p>
              </w:tc>
              <w:tc>
                <w:tcPr>
                  <w:tcW w:w="2252"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《地表水环境质量标准》（GB3838-2002）中Ⅳ类水体的标准限值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pPr>
                    <w:pStyle w:val="11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646"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地下水</w:t>
                  </w:r>
                </w:p>
              </w:tc>
              <w:tc>
                <w:tcPr>
                  <w:tcW w:w="1701" w:type="pct"/>
                  <w:gridSpan w:val="3"/>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周边地下水</w:t>
                  </w:r>
                </w:p>
              </w:tc>
              <w:tc>
                <w:tcPr>
                  <w:tcW w:w="2252"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《地下水质量标准》（GB/T14848-2017）中Ⅲ类标准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pPr>
                    <w:pStyle w:val="11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p>
              </w:tc>
              <w:tc>
                <w:tcPr>
                  <w:tcW w:w="646"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声环境</w:t>
                  </w:r>
                </w:p>
              </w:tc>
              <w:tc>
                <w:tcPr>
                  <w:tcW w:w="1701" w:type="pct"/>
                  <w:gridSpan w:val="3"/>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厂界</w:t>
                  </w:r>
                </w:p>
              </w:tc>
              <w:tc>
                <w:tcPr>
                  <w:tcW w:w="2252"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pPr>
                    <w:pStyle w:val="11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646"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w:t>
                  </w:r>
                </w:p>
              </w:tc>
              <w:tc>
                <w:tcPr>
                  <w:tcW w:w="1701" w:type="pct"/>
                  <w:gridSpan w:val="3"/>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区域土壤、植被</w:t>
                  </w:r>
                </w:p>
              </w:tc>
              <w:tc>
                <w:tcPr>
                  <w:tcW w:w="2252" w:type="pct"/>
                  <w:vAlign w:val="center"/>
                </w:tcPr>
                <w:p>
                  <w:pPr>
                    <w:pStyle w:val="11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bl>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bl>
    <w:p>
      <w:pPr>
        <w:pStyle w:val="3"/>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四、</w:t>
      </w:r>
      <w:r>
        <w:rPr>
          <w:rFonts w:hint="default" w:ascii="Times New Roman" w:hAnsi="Times New Roman" w:eastAsia="宋体" w:cs="Times New Roman"/>
          <w:color w:val="000000" w:themeColor="text1"/>
          <w:highlight w:val="none"/>
          <w14:textFill>
            <w14:solidFill>
              <w14:schemeClr w14:val="tx1"/>
            </w14:solidFill>
          </w14:textFill>
        </w:rPr>
        <w:t>评价适用标准</w:t>
      </w:r>
    </w:p>
    <w:tbl>
      <w:tblPr>
        <w:tblStyle w:val="27"/>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8"/>
        <w:gridCol w:w="8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1" w:hRule="atLeast"/>
          <w:jc w:val="center"/>
        </w:trPr>
        <w:tc>
          <w:tcPr>
            <w:tcW w:w="500" w:type="dxa"/>
            <w:vAlign w:val="center"/>
          </w:tcPr>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环境质量标准</w:t>
            </w:r>
          </w:p>
        </w:tc>
        <w:tc>
          <w:tcPr>
            <w:tcW w:w="8786" w:type="dxa"/>
          </w:tcPr>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1、环境空气</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环境空气质量标准》（GB3095-2012）中的规定，本项目属于环境空气质量功能区划中规定的二类功能区（居住区、商业交通居民混合区、文化区、工业区和农村地区），执行《环境空气质量标准》（GB3095-2012）</w:t>
            </w:r>
            <w:r>
              <w:rPr>
                <w:rFonts w:hint="default" w:ascii="Times New Roman" w:hAnsi="Times New Roman" w:eastAsia="宋体" w:cs="Times New Roman"/>
                <w:color w:val="000000" w:themeColor="text1"/>
                <w:highlight w:val="none"/>
                <w:lang w:eastAsia="zh-CN"/>
                <w14:textFill>
                  <w14:solidFill>
                    <w14:schemeClr w14:val="tx1"/>
                  </w14:solidFill>
                </w14:textFill>
              </w:rPr>
              <w:t>及其修改单</w:t>
            </w:r>
            <w:r>
              <w:rPr>
                <w:rFonts w:hint="default" w:ascii="Times New Roman" w:hAnsi="Times New Roman" w:eastAsia="宋体" w:cs="Times New Roman"/>
                <w:color w:val="000000" w:themeColor="text1"/>
                <w:highlight w:val="none"/>
                <w14:textFill>
                  <w14:solidFill>
                    <w14:schemeClr w14:val="tx1"/>
                  </w14:solidFill>
                </w14:textFill>
              </w:rPr>
              <w:t>中的二级标准。</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表4-1    环境空气质量评价标准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1420"/>
              <w:gridCol w:w="1990"/>
              <w:gridCol w:w="1137"/>
              <w:gridCol w:w="2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pct"/>
                  <w:vAlign w:val="center"/>
                </w:tcPr>
                <w:p>
                  <w:pPr>
                    <w:pStyle w:val="57"/>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污染物名称</w:t>
                  </w:r>
                </w:p>
              </w:tc>
              <w:tc>
                <w:tcPr>
                  <w:tcW w:w="829" w:type="pct"/>
                  <w:vAlign w:val="center"/>
                </w:tcPr>
                <w:p>
                  <w:pPr>
                    <w:pStyle w:val="57"/>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取值时间</w:t>
                  </w:r>
                </w:p>
              </w:tc>
              <w:tc>
                <w:tcPr>
                  <w:tcW w:w="1162" w:type="pct"/>
                  <w:vAlign w:val="center"/>
                </w:tcPr>
                <w:p>
                  <w:pPr>
                    <w:pStyle w:val="57"/>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二级标准浓度限值</w:t>
                  </w:r>
                </w:p>
              </w:tc>
              <w:tc>
                <w:tcPr>
                  <w:tcW w:w="664" w:type="pct"/>
                  <w:vAlign w:val="center"/>
                </w:tcPr>
                <w:p>
                  <w:pPr>
                    <w:pStyle w:val="57"/>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浓度单位</w:t>
                  </w:r>
                </w:p>
              </w:tc>
              <w:tc>
                <w:tcPr>
                  <w:tcW w:w="1561" w:type="pct"/>
                  <w:vAlign w:val="center"/>
                </w:tcPr>
                <w:p>
                  <w:pPr>
                    <w:pStyle w:val="57"/>
                    <w:rPr>
                      <w:rFonts w:hint="default" w:ascii="Times New Roman" w:hAnsi="Times New Roman" w:eastAsia="宋体" w:cs="Times New Roman"/>
                      <w:b/>
                      <w:bCs/>
                      <w:color w:val="000000" w:themeColor="text1"/>
                      <w:highlight w:val="red"/>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vertAlign w:val="subscript"/>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24小时平均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150</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500</w:t>
                  </w:r>
                </w:p>
              </w:tc>
              <w:tc>
                <w:tcPr>
                  <w:tcW w:w="664" w:type="pct"/>
                  <w:vMerge w:val="restart"/>
                  <w:vAlign w:val="center"/>
                </w:tcPr>
                <w:p>
                  <w:pPr>
                    <w:pStyle w:val="57"/>
                    <w:rPr>
                      <w:rFonts w:hint="default" w:ascii="Times New Roman" w:hAnsi="Times New Roman" w:eastAsia="宋体" w:cs="Times New Roman"/>
                      <w:color w:val="000000" w:themeColor="text1"/>
                      <w:highlight w:val="none"/>
                      <w:vertAlign w:val="superscript"/>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μg/N</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561" w:type="pct"/>
                  <w:vMerge w:val="restart"/>
                  <w:vAlign w:val="center"/>
                </w:tcPr>
                <w:p>
                  <w:pPr>
                    <w:pStyle w:val="57"/>
                    <w:rPr>
                      <w:rFonts w:hint="default" w:ascii="Times New Roman" w:hAnsi="Times New Roman" w:eastAsia="宋体" w:cs="Times New Roman"/>
                      <w:color w:val="000000" w:themeColor="text1"/>
                      <w:highlight w:val="red"/>
                      <w:vertAlign w:val="superscript"/>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《环境空气质量标准》（GB3095-2012）</w:t>
                  </w:r>
                  <w:r>
                    <w:rPr>
                      <w:rFonts w:hint="default" w:ascii="Times New Roman" w:hAnsi="Times New Roman" w:eastAsia="宋体" w:cs="Times New Roman"/>
                      <w:color w:val="000000" w:themeColor="text1"/>
                      <w:highlight w:val="none"/>
                      <w:lang w:eastAsia="zh-CN"/>
                      <w14:textFill>
                        <w14:solidFill>
                          <w14:schemeClr w14:val="tx1"/>
                        </w14:solidFill>
                      </w14:textFill>
                    </w:rPr>
                    <w:t>及其修改单</w:t>
                  </w:r>
                  <w:r>
                    <w:rPr>
                      <w:rFonts w:hint="default" w:ascii="Times New Roman" w:hAnsi="Times New Roman" w:eastAsia="宋体" w:cs="Times New Roman"/>
                      <w:color w:val="000000" w:themeColor="text1"/>
                      <w:highlight w:val="none"/>
                      <w14:textFill>
                        <w14:solidFill>
                          <w14:schemeClr w14:val="tx1"/>
                        </w14:solidFill>
                      </w14:textFill>
                    </w:rPr>
                    <w:t>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vertAlign w:val="subscript"/>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24小时平均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70</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150</w:t>
                  </w:r>
                </w:p>
              </w:tc>
              <w:tc>
                <w:tcPr>
                  <w:tcW w:w="664" w:type="pct"/>
                  <w:vMerge w:val="continue"/>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p>
              </w:tc>
              <w:tc>
                <w:tcPr>
                  <w:tcW w:w="1561" w:type="pct"/>
                  <w:vMerge w:val="continue"/>
                  <w:vAlign w:val="center"/>
                </w:tcPr>
                <w:p>
                  <w:pPr>
                    <w:pStyle w:val="57"/>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2.5</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24小时平均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35</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75</w:t>
                  </w:r>
                </w:p>
              </w:tc>
              <w:tc>
                <w:tcPr>
                  <w:tcW w:w="664" w:type="pct"/>
                  <w:vMerge w:val="continue"/>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p>
              </w:tc>
              <w:tc>
                <w:tcPr>
                  <w:tcW w:w="1561" w:type="pct"/>
                  <w:vMerge w:val="continue"/>
                  <w:vAlign w:val="center"/>
                </w:tcPr>
                <w:p>
                  <w:pPr>
                    <w:pStyle w:val="57"/>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年平均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24小时平均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40</w:t>
                  </w:r>
                </w:p>
                <w:p>
                  <w:pPr>
                    <w:spacing w:line="320" w:lineRule="exact"/>
                    <w:ind w:firstLine="0" w:firstLineChars="0"/>
                    <w:contextualSpacing/>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80</w:t>
                  </w:r>
                </w:p>
                <w:p>
                  <w:pPr>
                    <w:spacing w:line="320" w:lineRule="exact"/>
                    <w:ind w:firstLine="0" w:firstLineChars="0"/>
                    <w:contextualSpacing/>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200</w:t>
                  </w:r>
                </w:p>
              </w:tc>
              <w:tc>
                <w:tcPr>
                  <w:tcW w:w="664" w:type="pct"/>
                  <w:vMerge w:val="continue"/>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p>
              </w:tc>
              <w:tc>
                <w:tcPr>
                  <w:tcW w:w="1561" w:type="pct"/>
                  <w:vMerge w:val="continue"/>
                  <w:vAlign w:val="center"/>
                </w:tcPr>
                <w:p>
                  <w:pPr>
                    <w:pStyle w:val="57"/>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24小时平均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w:t>
                  </w:r>
                </w:p>
              </w:tc>
              <w:tc>
                <w:tcPr>
                  <w:tcW w:w="66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mg/N</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561" w:type="pct"/>
                  <w:vMerge w:val="continue"/>
                  <w:vAlign w:val="center"/>
                </w:tcPr>
                <w:p>
                  <w:pPr>
                    <w:pStyle w:val="57"/>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p>
              </w:tc>
              <w:tc>
                <w:tcPr>
                  <w:tcW w:w="829"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8小时平均</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1小时平均</w:t>
                  </w:r>
                </w:p>
              </w:tc>
              <w:tc>
                <w:tcPr>
                  <w:tcW w:w="1162"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160</w:t>
                  </w:r>
                </w:p>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200</w:t>
                  </w:r>
                </w:p>
              </w:tc>
              <w:tc>
                <w:tcPr>
                  <w:tcW w:w="664" w:type="pct"/>
                  <w:vAlign w:val="center"/>
                </w:tcPr>
                <w:p>
                  <w:pPr>
                    <w:pStyle w:val="57"/>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μg/N</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561" w:type="pct"/>
                  <w:vMerge w:val="continue"/>
                  <w:vAlign w:val="center"/>
                </w:tcPr>
                <w:p>
                  <w:pPr>
                    <w:pStyle w:val="57"/>
                    <w:rPr>
                      <w:rFonts w:hint="default" w:ascii="Times New Roman" w:hAnsi="Times New Roman" w:eastAsia="宋体" w:cs="Times New Roman"/>
                      <w:color w:val="000000" w:themeColor="text1"/>
                      <w:highlight w:val="red"/>
                      <w14:textFill>
                        <w14:solidFill>
                          <w14:schemeClr w14:val="tx1"/>
                        </w14:solidFill>
                      </w14:textFill>
                    </w:rPr>
                  </w:pP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2、地表水</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本项目受纳水体为</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大沙沟</w:t>
            </w:r>
            <w:r>
              <w:rPr>
                <w:rFonts w:hint="default" w:ascii="Times New Roman" w:hAnsi="Times New Roman" w:eastAsia="宋体" w:cs="Times New Roman"/>
                <w:bCs/>
                <w:color w:val="000000" w:themeColor="text1"/>
                <w:kern w:val="0"/>
                <w:highlight w:val="none"/>
                <w14:textFill>
                  <w14:solidFill>
                    <w14:schemeClr w14:val="tx1"/>
                  </w14:solidFill>
                </w14:textFill>
              </w:rPr>
              <w:t>，根据《山西省地表水功能区划》（DB14/67-2019），本项目所在区域地表水属源子河（北汉井——桑干河入口），环境功能为工业用水保护，执行《地表水环境质量标准》（GB3838-2002）中Ⅳ类标准</w:t>
            </w:r>
            <w:r>
              <w:rPr>
                <w:rFonts w:hint="default" w:ascii="Times New Roman" w:hAnsi="Times New Roman" w:eastAsia="宋体" w:cs="Times New Roman"/>
                <w:color w:val="000000" w:themeColor="text1"/>
                <w:highlight w:val="none"/>
                <w14:textFill>
                  <w14:solidFill>
                    <w14:schemeClr w14:val="tx1"/>
                  </w14:solidFill>
                </w14:textFill>
              </w:rPr>
              <w:t>。</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表4-2    地表水环境质量标准（Ⅳ类）     单位：mg/L</w:t>
            </w:r>
          </w:p>
          <w:tbl>
            <w:tblPr>
              <w:tblStyle w:val="27"/>
              <w:tblW w:w="85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157"/>
              <w:gridCol w:w="1471"/>
              <w:gridCol w:w="1276"/>
              <w:gridCol w:w="1134"/>
              <w:gridCol w:w="1134"/>
              <w:gridCol w:w="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31" w:type="dxa"/>
                  <w:vAlign w:val="center"/>
                </w:tcPr>
                <w:p>
                  <w:pPr>
                    <w:pStyle w:val="40"/>
                    <w:spacing w:line="320" w:lineRule="exact"/>
                    <w:rPr>
                      <w:rFonts w:hint="default" w:ascii="Times New Roman" w:hAnsi="Times New Roman" w:eastAsia="宋体" w:cs="Times New Roman"/>
                      <w:b/>
                      <w:bCs/>
                      <w:color w:val="000000" w:themeColor="text1"/>
                      <w:szCs w:val="22"/>
                      <w:highlight w:val="none"/>
                      <w14:textFill>
                        <w14:solidFill>
                          <w14:schemeClr w14:val="tx1"/>
                        </w14:solidFill>
                      </w14:textFill>
                    </w:rPr>
                  </w:pPr>
                  <w:r>
                    <w:rPr>
                      <w:rFonts w:hint="default" w:ascii="Times New Roman" w:hAnsi="Times New Roman" w:eastAsia="宋体" w:cs="Times New Roman"/>
                      <w:b/>
                      <w:bCs/>
                      <w:color w:val="000000" w:themeColor="text1"/>
                      <w:szCs w:val="22"/>
                      <w:highlight w:val="none"/>
                      <w14:textFill>
                        <w14:solidFill>
                          <w14:schemeClr w14:val="tx1"/>
                        </w14:solidFill>
                      </w14:textFill>
                    </w:rPr>
                    <w:t>污染物</w:t>
                  </w:r>
                </w:p>
              </w:tc>
              <w:tc>
                <w:tcPr>
                  <w:tcW w:w="1157"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pH</w:t>
                  </w:r>
                </w:p>
              </w:tc>
              <w:tc>
                <w:tcPr>
                  <w:tcW w:w="1471"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COD</w:t>
                  </w:r>
                </w:p>
              </w:tc>
              <w:tc>
                <w:tcPr>
                  <w:tcW w:w="1276"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BOD</w:t>
                  </w:r>
                  <w:r>
                    <w:rPr>
                      <w:rFonts w:hint="default" w:ascii="Times New Roman" w:hAnsi="Times New Roman" w:eastAsia="宋体" w:cs="Times New Roman"/>
                      <w:color w:val="000000" w:themeColor="text1"/>
                      <w:szCs w:val="22"/>
                      <w:highlight w:val="none"/>
                      <w:vertAlign w:val="subscript"/>
                      <w14:textFill>
                        <w14:solidFill>
                          <w14:schemeClr w14:val="tx1"/>
                        </w14:solidFill>
                      </w14:textFill>
                    </w:rPr>
                    <w:t>5</w:t>
                  </w:r>
                </w:p>
              </w:tc>
              <w:tc>
                <w:tcPr>
                  <w:tcW w:w="1134" w:type="dxa"/>
                  <w:vAlign w:val="center"/>
                </w:tcPr>
                <w:p>
                  <w:pPr>
                    <w:pStyle w:val="40"/>
                    <w:spacing w:line="320" w:lineRule="exact"/>
                    <w:rPr>
                      <w:rFonts w:hint="default" w:ascii="Times New Roman" w:hAnsi="Times New Roman" w:eastAsia="宋体" w:cs="Times New Roman"/>
                      <w:color w:val="000000" w:themeColor="text1"/>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eastAsia="zh-CN"/>
                      <w14:textFill>
                        <w14:solidFill>
                          <w14:schemeClr w14:val="tx1"/>
                        </w14:solidFill>
                      </w14:textFill>
                    </w:rPr>
                    <w:t>总氮</w:t>
                  </w:r>
                </w:p>
              </w:tc>
              <w:tc>
                <w:tcPr>
                  <w:tcW w:w="1134"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氨氮</w:t>
                  </w:r>
                </w:p>
              </w:tc>
              <w:tc>
                <w:tcPr>
                  <w:tcW w:w="959" w:type="dxa"/>
                  <w:vAlign w:val="center"/>
                </w:tcPr>
                <w:p>
                  <w:pPr>
                    <w:pStyle w:val="40"/>
                    <w:spacing w:line="320" w:lineRule="exact"/>
                    <w:rPr>
                      <w:rFonts w:hint="default" w:ascii="Times New Roman" w:hAnsi="Times New Roman" w:eastAsia="宋体" w:cs="Times New Roman"/>
                      <w:color w:val="000000" w:themeColor="text1"/>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Cs w:val="22"/>
                      <w:highlight w:val="none"/>
                      <w:lang w:eastAsia="zh-CN"/>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31" w:type="dxa"/>
                  <w:vAlign w:val="center"/>
                </w:tcPr>
                <w:p>
                  <w:pPr>
                    <w:pStyle w:val="40"/>
                    <w:spacing w:line="320" w:lineRule="exact"/>
                    <w:rPr>
                      <w:rFonts w:hint="default" w:ascii="Times New Roman" w:hAnsi="Times New Roman" w:eastAsia="宋体" w:cs="Times New Roman"/>
                      <w:b/>
                      <w:bCs/>
                      <w:color w:val="000000" w:themeColor="text1"/>
                      <w:szCs w:val="22"/>
                      <w:highlight w:val="none"/>
                      <w14:textFill>
                        <w14:solidFill>
                          <w14:schemeClr w14:val="tx1"/>
                        </w14:solidFill>
                      </w14:textFill>
                    </w:rPr>
                  </w:pPr>
                  <w:r>
                    <w:rPr>
                      <w:rFonts w:hint="default" w:ascii="Times New Roman" w:hAnsi="Times New Roman" w:eastAsia="宋体" w:cs="Times New Roman"/>
                      <w:b/>
                      <w:bCs/>
                      <w:color w:val="000000" w:themeColor="text1"/>
                      <w:szCs w:val="22"/>
                      <w:highlight w:val="none"/>
                      <w14:textFill>
                        <w14:solidFill>
                          <w14:schemeClr w14:val="tx1"/>
                        </w14:solidFill>
                      </w14:textFill>
                    </w:rPr>
                    <w:t>标准值</w:t>
                  </w:r>
                </w:p>
              </w:tc>
              <w:tc>
                <w:tcPr>
                  <w:tcW w:w="1157"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6.0-9.0</w:t>
                  </w:r>
                </w:p>
              </w:tc>
              <w:tc>
                <w:tcPr>
                  <w:tcW w:w="1471" w:type="dxa"/>
                  <w:vAlign w:val="center"/>
                </w:tcPr>
                <w:p>
                  <w:pPr>
                    <w:pStyle w:val="40"/>
                    <w:spacing w:line="320" w:lineRule="exact"/>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30</w:t>
                  </w:r>
                </w:p>
              </w:tc>
              <w:tc>
                <w:tcPr>
                  <w:tcW w:w="1276" w:type="dxa"/>
                  <w:vAlign w:val="center"/>
                </w:tcPr>
                <w:p>
                  <w:pPr>
                    <w:pStyle w:val="40"/>
                    <w:spacing w:line="320" w:lineRule="exact"/>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6</w:t>
                  </w:r>
                </w:p>
              </w:tc>
              <w:tc>
                <w:tcPr>
                  <w:tcW w:w="1134" w:type="dxa"/>
                  <w:vAlign w:val="center"/>
                </w:tcPr>
                <w:p>
                  <w:pPr>
                    <w:pStyle w:val="40"/>
                    <w:spacing w:line="320" w:lineRule="exact"/>
                    <w:rPr>
                      <w:rFonts w:hint="default" w:ascii="Times New Roman" w:hAnsi="Times New Roman" w:eastAsia="宋体" w:cs="Times New Roman"/>
                      <w:color w:val="000000" w:themeColor="text1"/>
                      <w:szCs w:val="22"/>
                      <w:highlight w:val="none"/>
                      <w:lang w:val="en-US"/>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1.5</w:t>
                  </w:r>
                </w:p>
              </w:tc>
              <w:tc>
                <w:tcPr>
                  <w:tcW w:w="1134" w:type="dxa"/>
                  <w:vAlign w:val="center"/>
                </w:tcPr>
                <w:p>
                  <w:pPr>
                    <w:pStyle w:val="40"/>
                    <w:spacing w:line="320" w:lineRule="exact"/>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≤1.</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5</w:t>
                  </w:r>
                </w:p>
              </w:tc>
              <w:tc>
                <w:tcPr>
                  <w:tcW w:w="959" w:type="dxa"/>
                  <w:vAlign w:val="center"/>
                </w:tcPr>
                <w:p>
                  <w:pPr>
                    <w:pStyle w:val="40"/>
                    <w:spacing w:line="320" w:lineRule="exact"/>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0.3</w:t>
                  </w: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3、地下水 </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本项目执行《地下水质量标准》（GB/T14848-2017）中Ⅲ类标准。</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表4-3    地下水质量标准（GB/T14848-2017）中III类标准单位mg/L</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428"/>
              <w:gridCol w:w="1426"/>
              <w:gridCol w:w="1296"/>
              <w:gridCol w:w="1298"/>
              <w:gridCol w:w="1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污染物</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pH</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挥发性酚类</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氨氮</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氰化物</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标准值</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6.5-8.5</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≤0.002mg/L</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≤0.50mg/L</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≤0.05mg/L</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污染物</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NO</w:t>
                  </w:r>
                  <w:r>
                    <w:rPr>
                      <w:rFonts w:hint="default" w:ascii="Times New Roman" w:hAnsi="Times New Roman" w:eastAsia="宋体" w:cs="Times New Roman"/>
                      <w:color w:val="000000" w:themeColor="text1"/>
                      <w:kern w:val="0"/>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-N</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总硬度</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耗氧量</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NO</w:t>
                  </w:r>
                  <w:r>
                    <w:rPr>
                      <w:rFonts w:hint="default" w:ascii="Times New Roman" w:hAnsi="Times New Roman" w:eastAsia="宋体" w:cs="Times New Roman"/>
                      <w:color w:val="000000" w:themeColor="text1"/>
                      <w:kern w:val="0"/>
                      <w:sz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1"/>
                      <w:highlight w:val="none"/>
                      <w14:textFill>
                        <w14:solidFill>
                          <w14:schemeClr w14:val="tx1"/>
                        </w14:solidFill>
                      </w14:textFill>
                    </w:rPr>
                    <w:t>-N</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硫酸盐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标准值</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≤20mg/L</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≤450mg/L</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≤3.0mg/L</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≤1.0mg/L</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≤250mg/L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污染物</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氯化物</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六价铬</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汞</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砷</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标准值</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≤250mg/L</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≤0.05mg/L</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≤0.001mg/L</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≤0.01mg/L</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≤0.005mg/lL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污染物</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溶解性总固体</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铅</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锰</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铁</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标准值</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1000mg/L</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≤0.01mg/L</w:t>
                  </w: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≤0.1mg/L</w:t>
                  </w: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≤0.3mg/L</w:t>
                  </w: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≤3.0 MPNb/100mL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污染物</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菌落总数</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kern w:val="0"/>
                      <w:sz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highlight w:val="none"/>
                      <w14:textFill>
                        <w14:solidFill>
                          <w14:schemeClr w14:val="tx1"/>
                        </w14:solidFill>
                      </w14:textFill>
                    </w:rPr>
                    <w:t>标准值</w:t>
                  </w:r>
                </w:p>
              </w:tc>
              <w:tc>
                <w:tcPr>
                  <w:tcW w:w="834"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≤100CFU/mL</w:t>
                  </w:r>
                </w:p>
              </w:tc>
              <w:tc>
                <w:tcPr>
                  <w:tcW w:w="833"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757"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758"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136" w:type="pct"/>
                  <w:shd w:val="clear" w:color="auto" w:fill="auto"/>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4、声环境标准</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项目厂界噪声执行《声环境质量标准》GB3096-2008中2类标准。评价标准值见表14。</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表4-4    声环境质量标准（GB3096-2008）</w:t>
            </w:r>
          </w:p>
          <w:tbl>
            <w:tblPr>
              <w:tblStyle w:val="27"/>
              <w:tblW w:w="85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2321"/>
              <w:gridCol w:w="2126"/>
              <w:gridCol w:w="1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标准类别</w:t>
                  </w:r>
                </w:p>
              </w:tc>
              <w:tc>
                <w:tcPr>
                  <w:tcW w:w="4447" w:type="dxa"/>
                  <w:gridSpan w:val="2"/>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等效声级LAeq（dB）</w:t>
                  </w:r>
                </w:p>
              </w:tc>
              <w:tc>
                <w:tcPr>
                  <w:tcW w:w="1773" w:type="dxa"/>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适用范围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Merge w:val="continue"/>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p>
              </w:tc>
              <w:tc>
                <w:tcPr>
                  <w:tcW w:w="2321" w:type="dxa"/>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昼间</w:t>
                  </w:r>
                </w:p>
              </w:tc>
              <w:tc>
                <w:tcPr>
                  <w:tcW w:w="2126" w:type="dxa"/>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夜间</w:t>
                  </w:r>
                </w:p>
              </w:tc>
              <w:tc>
                <w:tcPr>
                  <w:tcW w:w="1773" w:type="dxa"/>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4"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2321"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tc>
              <w:tc>
                <w:tcPr>
                  <w:tcW w:w="2126"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p>
              </w:tc>
              <w:tc>
                <w:tcPr>
                  <w:tcW w:w="1773"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厂界</w:t>
                  </w:r>
                </w:p>
              </w:tc>
            </w:tr>
          </w:tbl>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4" w:hRule="atLeast"/>
          <w:jc w:val="center"/>
        </w:trPr>
        <w:tc>
          <w:tcPr>
            <w:tcW w:w="500" w:type="dxa"/>
            <w:tcBorders>
              <w:bottom w:val="single" w:color="auto" w:sz="4" w:space="0"/>
            </w:tcBorders>
            <w:vAlign w:val="center"/>
          </w:tcPr>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污染物排放标准</w:t>
            </w:r>
          </w:p>
        </w:tc>
        <w:tc>
          <w:tcPr>
            <w:tcW w:w="8786" w:type="dxa"/>
            <w:tcBorders>
              <w:top w:val="single" w:color="auto" w:sz="12" w:space="0"/>
              <w:bottom w:val="single" w:color="auto" w:sz="4" w:space="0"/>
            </w:tcBorders>
          </w:tcPr>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1、废水</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highlight w:val="none"/>
                <w:lang w:eastAsia="zh-CN"/>
                <w14:textFill>
                  <w14:solidFill>
                    <w14:schemeClr w14:val="tx1"/>
                  </w14:solidFill>
                </w14:textFill>
              </w:rPr>
              <w:t>项目实施后</w:t>
            </w:r>
            <w:r>
              <w:rPr>
                <w:rFonts w:hint="default" w:ascii="Times New Roman" w:hAnsi="Times New Roman" w:eastAsia="宋体" w:cs="Times New Roman"/>
                <w:color w:val="000000" w:themeColor="text1"/>
                <w:highlight w:val="none"/>
                <w14:textFill>
                  <w14:solidFill>
                    <w14:schemeClr w14:val="tx1"/>
                  </w14:solidFill>
                </w14:textFill>
              </w:rPr>
              <w:t>，外排矿井水COD、氨氮、总磷达到</w:t>
            </w:r>
            <w:r>
              <w:rPr>
                <w:rFonts w:hint="default" w:ascii="Times New Roman" w:hAnsi="Times New Roman" w:eastAsia="宋体" w:cs="Times New Roman"/>
                <w:color w:val="000000" w:themeColor="text1"/>
                <w:spacing w:val="4"/>
                <w:highlight w:val="none"/>
                <w14:textFill>
                  <w14:solidFill>
                    <w14:schemeClr w14:val="tx1"/>
                  </w14:solidFill>
                </w14:textFill>
              </w:rPr>
              <w:t>《地表水环境质量标准》（GB3838-2002）中Ⅲ类标准</w:t>
            </w:r>
            <w:r>
              <w:rPr>
                <w:rFonts w:hint="default" w:ascii="Times New Roman" w:hAnsi="Times New Roman" w:eastAsia="宋体" w:cs="Times New Roman"/>
                <w:color w:val="000000" w:themeColor="text1"/>
                <w:highlight w:val="none"/>
                <w14:textFill>
                  <w14:solidFill>
                    <w14:schemeClr w14:val="tx1"/>
                  </w14:solidFill>
                </w14:textFill>
              </w:rPr>
              <w:t>。</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表4-5  地表水环境质量标准Ⅲ类标准（单位：mg/L）</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1"/>
              <w:gridCol w:w="1293"/>
              <w:gridCol w:w="1295"/>
              <w:gridCol w:w="1295"/>
              <w:gridCol w:w="1295"/>
              <w:gridCol w:w="1190"/>
              <w:gridCol w:w="11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58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CODcr</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总氮</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58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tc>
              <w:tc>
                <w:tcPr>
                  <w:tcW w:w="7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0</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4</w:t>
                  </w: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0</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1.0</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w:t>
                  </w: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2、噪声</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施工期间执行《建筑施工场界环境噪声排放标准》（GB12523-2011），运营期厂界噪声执行《工业企业厂界环境噪声排放标准》（GB12348-2008）中2类标准。</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表4-6  工业企业厂界环境噪声排放标准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02"/>
              <w:gridCol w:w="1523"/>
              <w:gridCol w:w="896"/>
              <w:gridCol w:w="1954"/>
              <w:gridCol w:w="2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28" w:type="pct"/>
                  <w:vMerge w:val="restart"/>
                  <w:tcBorders>
                    <w:right w:val="single" w:color="auto" w:sz="4" w:space="0"/>
                  </w:tcBorders>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工业企业厂界环境噪声排放标准</w:t>
                  </w:r>
                </w:p>
              </w:tc>
              <w:tc>
                <w:tcPr>
                  <w:tcW w:w="889" w:type="pct"/>
                  <w:vMerge w:val="restart"/>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GB12348-2008</w:t>
                  </w:r>
                </w:p>
              </w:tc>
              <w:tc>
                <w:tcPr>
                  <w:tcW w:w="523" w:type="pct"/>
                  <w:tcBorders>
                    <w:lef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类别</w:t>
                  </w:r>
                </w:p>
              </w:tc>
              <w:tc>
                <w:tcPr>
                  <w:tcW w:w="1141"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昼间（dB（A））</w:t>
                  </w:r>
                </w:p>
              </w:tc>
              <w:tc>
                <w:tcPr>
                  <w:tcW w:w="1220"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28" w:type="pct"/>
                  <w:vMerge w:val="continue"/>
                  <w:tcBorders>
                    <w:right w:val="single" w:color="auto" w:sz="4" w:space="0"/>
                  </w:tcBorders>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p>
              </w:tc>
              <w:tc>
                <w:tcPr>
                  <w:tcW w:w="889" w:type="pct"/>
                  <w:vMerge w:val="continue"/>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523" w:type="pct"/>
                  <w:tcBorders>
                    <w:lef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1141"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tc>
              <w:tc>
                <w:tcPr>
                  <w:tcW w:w="1220"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28" w:type="pct"/>
                  <w:vMerge w:val="restart"/>
                  <w:tcBorders>
                    <w:right w:val="single" w:color="auto" w:sz="4" w:space="0"/>
                  </w:tcBorders>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建筑施工场界环境噪声排放标准</w:t>
                  </w:r>
                </w:p>
              </w:tc>
              <w:tc>
                <w:tcPr>
                  <w:tcW w:w="889" w:type="pct"/>
                  <w:vMerge w:val="restart"/>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GB12523-2011</w:t>
                  </w:r>
                </w:p>
              </w:tc>
              <w:tc>
                <w:tcPr>
                  <w:tcW w:w="1664" w:type="pct"/>
                  <w:gridSpan w:val="2"/>
                  <w:tcBorders>
                    <w:lef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昼间（dB（A））</w:t>
                  </w:r>
                </w:p>
              </w:tc>
              <w:tc>
                <w:tcPr>
                  <w:tcW w:w="1220"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28" w:type="pct"/>
                  <w:vMerge w:val="continue"/>
                  <w:tcBorders>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889" w:type="pct"/>
                  <w:vMerge w:val="continue"/>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1664" w:type="pct"/>
                  <w:gridSpan w:val="2"/>
                  <w:tcBorders>
                    <w:lef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70</w:t>
                  </w:r>
                </w:p>
              </w:tc>
              <w:tc>
                <w:tcPr>
                  <w:tcW w:w="1220"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55</w:t>
                  </w: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3、固体废物</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一般固体废物执行《中华人民共和国固体废物污染环境防治法》和《一般工业固体废物贮存、处置场污染物控制标准》（GB18599-2001）及修改单（环保部公告2013年第36号）的有关规定。</w:t>
            </w:r>
          </w:p>
          <w:p>
            <w:pPr>
              <w:spacing w:line="480" w:lineRule="exact"/>
              <w:ind w:firstLine="496"/>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bCs/>
                <w:color w:val="000000" w:themeColor="text1"/>
                <w:spacing w:val="4"/>
                <w:highlight w:val="none"/>
                <w14:textFill>
                  <w14:solidFill>
                    <w14:schemeClr w14:val="tx1"/>
                  </w14:solidFill>
                </w14:textFill>
              </w:rPr>
              <w:t>危险废物处置执行《危险废物贮存污染控制标准》（GB189597—2001）及修改单中标准限值要求。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5" w:hRule="atLeast"/>
          <w:jc w:val="center"/>
        </w:trPr>
        <w:tc>
          <w:tcPr>
            <w:tcW w:w="500" w:type="dxa"/>
            <w:tcBorders>
              <w:top w:val="single" w:color="auto" w:sz="4" w:space="0"/>
              <w:bottom w:val="single" w:color="auto" w:sz="4" w:space="0"/>
            </w:tcBorders>
            <w:vAlign w:val="center"/>
          </w:tcPr>
          <w:p>
            <w:pPr>
              <w:spacing w:line="440" w:lineRule="exact"/>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总量控</w:t>
            </w:r>
          </w:p>
          <w:p>
            <w:pPr>
              <w:spacing w:line="440" w:lineRule="exact"/>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制指标</w:t>
            </w:r>
          </w:p>
        </w:tc>
        <w:tc>
          <w:tcPr>
            <w:tcW w:w="8786" w:type="dxa"/>
            <w:tcBorders>
              <w:top w:val="single" w:color="auto" w:sz="4" w:space="0"/>
              <w:bottom w:val="single" w:color="auto" w:sz="4" w:space="0"/>
            </w:tcBorders>
            <w:vAlign w:val="center"/>
          </w:tcPr>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本项目建成后，外排的矿井水满足《地表水环境质量标准》（GB3838-2002）</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III</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类标准后排放。根据晋环发【2015】25号《山西省环保厅关于印发＜建设项目主要污染物排放总量核定办法＞的通知》，污水不包括清污分流的间接冷却水和达地表水环境质量</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III</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类及以上水质标准的矿井地下水，故本项目不需要申请总量。</w:t>
            </w:r>
          </w:p>
          <w:p>
            <w:pPr>
              <w:pStyle w:val="42"/>
              <w:ind w:firstLine="420"/>
              <w:rPr>
                <w:rFonts w:hint="default" w:ascii="Times New Roman" w:hAnsi="Times New Roman" w:eastAsia="宋体" w:cs="Times New Roman"/>
                <w:color w:val="000000" w:themeColor="text1"/>
                <w:highlight w:val="none"/>
                <w14:textFill>
                  <w14:solidFill>
                    <w14:schemeClr w14:val="tx1"/>
                  </w14:solidFill>
                </w14:textFill>
              </w:rPr>
            </w:pPr>
          </w:p>
        </w:tc>
      </w:tr>
    </w:tbl>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五、</w:t>
      </w:r>
      <w:r>
        <w:rPr>
          <w:rFonts w:hint="default" w:ascii="Times New Roman" w:hAnsi="Times New Roman" w:eastAsia="宋体" w:cs="Times New Roman"/>
          <w:color w:val="000000" w:themeColor="text1"/>
          <w:highlight w:val="none"/>
          <w14:textFill>
            <w14:solidFill>
              <w14:schemeClr w14:val="tx1"/>
            </w14:solidFill>
          </w14:textFill>
        </w:rPr>
        <w:t>建设项目工程分析</w:t>
      </w:r>
    </w:p>
    <w:tbl>
      <w:tblPr>
        <w:tblStyle w:val="2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8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041" w:hRule="atLeast"/>
          <w:jc w:val="center"/>
        </w:trPr>
        <w:tc>
          <w:tcPr>
            <w:tcW w:w="9081" w:type="dxa"/>
          </w:tcPr>
          <w:p>
            <w:pPr>
              <w:pStyle w:val="4"/>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工艺流程简述</w:t>
            </w:r>
          </w:p>
          <w:p>
            <w:pPr>
              <w:spacing w:line="480" w:lineRule="atLeast"/>
              <w:ind w:firstLine="480"/>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本项目运营期的工艺流程及产污情况图示如下：</w:t>
            </w:r>
          </w:p>
          <w:p>
            <w:pPr>
              <w:widowControl/>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矿井水处理工艺流程及阐述：</w:t>
            </w:r>
          </w:p>
          <w:p>
            <w:pPr>
              <w:keepNext w:val="0"/>
              <w:keepLines w:val="0"/>
              <w:pageBreakBefore w:val="0"/>
              <w:widowControl/>
              <w:kinsoku/>
              <w:wordWrap/>
              <w:overflowPunct/>
              <w:topLinePunct w:val="0"/>
              <w:autoSpaceDE/>
              <w:autoSpaceDN/>
              <w:bidi w:val="0"/>
              <w:adjustRightInd/>
              <w:snapToGrid/>
              <w:spacing w:after="0" w:line="36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color w:val="000000"/>
                <w:kern w:val="0"/>
                <w:sz w:val="21"/>
                <w:szCs w:val="21"/>
                <w:highlight w:val="none"/>
              </w:rPr>
              <w:object>
                <v:shape id="_x0000_i1027" o:spt="75" type="#_x0000_t75" style="height:220.05pt;width:432.9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r>
              <w:rPr>
                <w:rFonts w:hint="default" w:ascii="Times New Roman" w:hAnsi="Times New Roman" w:eastAsia="宋体" w:cs="Times New Roman"/>
                <w:b/>
                <w:bCs/>
                <w:color w:val="000000"/>
                <w:kern w:val="0"/>
                <w:sz w:val="21"/>
                <w:szCs w:val="21"/>
                <w:highlight w:val="none"/>
              </w:rPr>
              <w:t>图</w:t>
            </w:r>
            <w:r>
              <w:rPr>
                <w:rFonts w:hint="default" w:ascii="Times New Roman" w:hAnsi="Times New Roman" w:eastAsia="宋体" w:cs="Times New Roman"/>
                <w:b/>
                <w:bCs/>
                <w:color w:val="000000"/>
                <w:kern w:val="0"/>
                <w:sz w:val="21"/>
                <w:szCs w:val="21"/>
                <w:highlight w:val="none"/>
                <w:lang w:val="en-US" w:eastAsia="zh-CN"/>
              </w:rPr>
              <w:t>5</w:t>
            </w:r>
            <w:r>
              <w:rPr>
                <w:rFonts w:hint="default" w:ascii="Times New Roman" w:hAnsi="Times New Roman" w:eastAsia="宋体" w:cs="Times New Roman"/>
                <w:b/>
                <w:bCs/>
                <w:color w:val="000000"/>
                <w:kern w:val="0"/>
                <w:sz w:val="21"/>
                <w:szCs w:val="21"/>
                <w:highlight w:val="none"/>
              </w:rPr>
              <w:t>-1</w:t>
            </w:r>
            <w:r>
              <w:rPr>
                <w:rFonts w:hint="eastAsia" w:cs="Times New Roman"/>
                <w:b/>
                <w:bCs/>
                <w:color w:val="000000"/>
                <w:kern w:val="0"/>
                <w:sz w:val="21"/>
                <w:szCs w:val="21"/>
                <w:highlight w:val="none"/>
                <w:lang w:val="en-US" w:eastAsia="zh-CN"/>
              </w:rPr>
              <w:t xml:space="preserve">   </w:t>
            </w:r>
            <w:r>
              <w:rPr>
                <w:rFonts w:hint="default" w:ascii="Times New Roman" w:hAnsi="Times New Roman" w:eastAsia="宋体" w:cs="Times New Roman"/>
                <w:b/>
                <w:bCs/>
                <w:color w:val="000000"/>
                <w:kern w:val="0"/>
                <w:sz w:val="21"/>
                <w:szCs w:val="21"/>
                <w:highlight w:val="none"/>
              </w:rPr>
              <w:t xml:space="preserve"> 矿井水提标改造工艺流程图</w:t>
            </w:r>
          </w:p>
          <w:p>
            <w:pPr>
              <w:widowControl/>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一、矿井水处理系统工艺阐述：</w:t>
            </w:r>
          </w:p>
          <w:p>
            <w:pPr>
              <w:widowControl/>
              <w:spacing w:after="0"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矿井废水经矿区内的管网汇集到处理站，进入到调节池，调节水量、均化水质；调节后稳定的废水，由调节池提升泵提升至澄清池中，澄清池集混凝沉淀为一体，废水中绝大部分的煤粉得以去除，澄清池出水至石英砂过滤器中，对澄清池出水进行过滤，截留未沉淀的胶体及悬浮物，石英砂过滤器出水自流入中间水池，中间水池内放置超滤增压泵将水加压进入活性炭过滤器、精密过滤器和UF超滤机组，UF超滤机组的出水进入清水池。活性炭滤料使用一定时间后会吸附饱和，对CODcr、BOD</w:t>
            </w:r>
            <w:r>
              <w:rPr>
                <w:rFonts w:hint="default" w:ascii="Times New Roman" w:hAnsi="Times New Roman" w:eastAsia="宋体" w:cs="Times New Roman"/>
                <w:color w:val="000000"/>
                <w:sz w:val="24"/>
                <w:szCs w:val="24"/>
                <w:vertAlign w:val="subscript"/>
              </w:rPr>
              <w:t>5</w:t>
            </w:r>
            <w:r>
              <w:rPr>
                <w:rFonts w:hint="default" w:ascii="Times New Roman" w:hAnsi="Times New Roman" w:eastAsia="宋体" w:cs="Times New Roman"/>
                <w:color w:val="000000"/>
                <w:sz w:val="24"/>
                <w:szCs w:val="24"/>
              </w:rPr>
              <w:t>、氨氮的吸附能力降低，根据实际运行情况</w:t>
            </w:r>
            <w:r>
              <w:rPr>
                <w:rFonts w:hint="default" w:ascii="Times New Roman" w:hAnsi="Times New Roman" w:eastAsia="宋体" w:cs="Times New Roman"/>
                <w:color w:val="000000"/>
                <w:sz w:val="24"/>
                <w:szCs w:val="24"/>
                <w:lang w:val="en-US" w:eastAsia="zh-CN"/>
              </w:rPr>
              <w:t>定期更换</w:t>
            </w:r>
            <w:r>
              <w:rPr>
                <w:rFonts w:hint="default" w:ascii="Times New Roman" w:hAnsi="Times New Roman" w:eastAsia="宋体" w:cs="Times New Roman"/>
                <w:color w:val="000000"/>
                <w:sz w:val="24"/>
                <w:szCs w:val="24"/>
              </w:rPr>
              <w:t>。</w:t>
            </w:r>
          </w:p>
          <w:p>
            <w:pPr>
              <w:spacing w:line="480" w:lineRule="exact"/>
              <w:ind w:firstLine="480"/>
              <w:rPr>
                <w:rFonts w:hint="default" w:ascii="Times New Roman" w:hAnsi="Times New Roman" w:eastAsia="宋体" w:cs="Times New Roman"/>
                <w:color w:val="000000" w:themeColor="text1"/>
                <w:szCs w:val="24"/>
                <w:highlight w:val="red"/>
                <w14:textFill>
                  <w14:solidFill>
                    <w14:schemeClr w14:val="tx1"/>
                  </w14:solidFill>
                </w14:textFill>
              </w:rPr>
            </w:pPr>
            <w:r>
              <w:rPr>
                <w:rFonts w:hint="default" w:ascii="Times New Roman" w:hAnsi="Times New Roman" w:eastAsia="宋体" w:cs="Times New Roman"/>
                <w:color w:val="000000"/>
                <w:sz w:val="24"/>
                <w:szCs w:val="24"/>
              </w:rPr>
              <w:t>废水进入澄清池之前，在管道中投加絮凝剂PAC和助凝剂PAM，加快废水中煤粉的沉淀，为了提高药剂与煤粉的混合效果，管路上安装管道混合器；其中活性炭过滤器和UF超滤系统定期或定压进行反冲洗，反冲洗水源来自清水池，反冲洗排水返回到调节池，与原废水混合。澄清池定期排泥，排放到污泥池，污泥池的煤泥经污泥泵抽入厢式压滤机进行煤泥脱水，滤液回流至调节池，压滤后的煤泥</w:t>
            </w:r>
            <w:r>
              <w:rPr>
                <w:rFonts w:hint="eastAsia" w:cs="Times New Roman"/>
                <w:color w:val="000000"/>
                <w:sz w:val="24"/>
                <w:szCs w:val="24"/>
                <w:lang w:eastAsia="zh-CN"/>
              </w:rPr>
              <w:t>掺入原煤外售</w:t>
            </w:r>
            <w:r>
              <w:rPr>
                <w:rFonts w:hint="default" w:ascii="Times New Roman" w:hAnsi="Times New Roman" w:eastAsia="宋体" w:cs="Times New Roman"/>
                <w:color w:val="000000"/>
                <w:sz w:val="24"/>
                <w:szCs w:val="24"/>
              </w:rPr>
              <w:t>。</w:t>
            </w:r>
          </w:p>
          <w:p>
            <w:pPr>
              <w:spacing w:line="480" w:lineRule="exact"/>
              <w:ind w:firstLine="470" w:firstLineChars="195"/>
              <w:rPr>
                <w:rFonts w:hint="default" w:ascii="Times New Roman" w:hAnsi="Times New Roman" w:eastAsia="宋体" w:cs="Times New Roman"/>
                <w:b/>
                <w:bCs/>
                <w:color w:val="000000" w:themeColor="text1"/>
                <w:szCs w:val="24"/>
                <w:highlight w:val="none"/>
                <w14:textFill>
                  <w14:solidFill>
                    <w14:schemeClr w14:val="tx1"/>
                  </w14:solidFill>
                </w14:textFill>
              </w:rPr>
            </w:pPr>
            <w:r>
              <w:rPr>
                <w:rFonts w:hint="default" w:ascii="Times New Roman" w:hAnsi="Times New Roman" w:eastAsia="宋体" w:cs="Times New Roman"/>
                <w:b/>
                <w:bCs/>
                <w:color w:val="000000" w:themeColor="text1"/>
                <w:szCs w:val="24"/>
                <w:highlight w:val="none"/>
                <w14:textFill>
                  <w14:solidFill>
                    <w14:schemeClr w14:val="tx1"/>
                  </w14:solidFill>
                </w14:textFill>
              </w:rPr>
              <w:t>（3）工艺合理性</w:t>
            </w:r>
            <w:r>
              <w:rPr>
                <w:rFonts w:hint="eastAsia" w:cs="Times New Roman"/>
                <w:b/>
                <w:bCs/>
                <w:color w:val="000000" w:themeColor="text1"/>
                <w:szCs w:val="24"/>
                <w:highlight w:val="none"/>
                <w:lang w:eastAsia="zh-CN"/>
                <w14:textFill>
                  <w14:solidFill>
                    <w14:schemeClr w14:val="tx1"/>
                  </w14:solidFill>
                </w14:textFill>
              </w:rPr>
              <w:t>、达标排放可靠性</w:t>
            </w:r>
            <w:r>
              <w:rPr>
                <w:rFonts w:hint="default" w:ascii="Times New Roman" w:hAnsi="Times New Roman" w:eastAsia="宋体" w:cs="Times New Roman"/>
                <w:b/>
                <w:bCs/>
                <w:color w:val="000000" w:themeColor="text1"/>
                <w:szCs w:val="24"/>
                <w:highlight w:val="none"/>
                <w14:textFill>
                  <w14:solidFill>
                    <w14:schemeClr w14:val="tx1"/>
                  </w14:solidFill>
                </w14:textFill>
              </w:rPr>
              <w:t>分析：</w:t>
            </w:r>
          </w:p>
          <w:p>
            <w:pPr>
              <w:pStyle w:val="5"/>
              <w:pageBreakBefore w:val="0"/>
              <w:widowControl w:val="0"/>
              <w:tabs>
                <w:tab w:val="left" w:pos="0"/>
              </w:tabs>
              <w:kinsoku/>
              <w:wordWrap/>
              <w:overflowPunct/>
              <w:topLinePunct w:val="0"/>
              <w:autoSpaceDE/>
              <w:autoSpaceDN/>
              <w:bidi w:val="0"/>
              <w:adjustRightInd w:val="0"/>
              <w:snapToGrid w:val="0"/>
              <w:spacing w:line="480" w:lineRule="exact"/>
              <w:textAlignment w:val="auto"/>
              <w:rPr>
                <w:rFonts w:hint="eastAsia"/>
              </w:rPr>
            </w:pPr>
            <w:r>
              <w:rPr>
                <w:rFonts w:hint="eastAsia"/>
              </w:rPr>
              <w:t>①原水水质特征</w:t>
            </w:r>
          </w:p>
          <w:p>
            <w:pPr>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rPr>
            </w:pPr>
            <w:r>
              <w:t>根据</w:t>
            </w:r>
            <w:r>
              <w:rPr>
                <w:rFonts w:hint="eastAsia"/>
                <w:lang w:eastAsia="zh-CN"/>
              </w:rPr>
              <w:t>类比</w:t>
            </w:r>
            <w:r>
              <w:t>煤矿的水质指标可知，</w:t>
            </w:r>
            <w:r>
              <w:rPr>
                <w:rFonts w:hint="eastAsia"/>
              </w:rPr>
              <w:t>矿井水水质具有以下特征：</w:t>
            </w:r>
          </w:p>
          <w:p>
            <w:pPr>
              <w:pageBreakBefore w:val="0"/>
              <w:widowControl w:val="0"/>
              <w:numPr>
                <w:ilvl w:val="0"/>
                <w:numId w:val="1"/>
              </w:numPr>
              <w:kinsoku/>
              <w:wordWrap/>
              <w:overflowPunct/>
              <w:topLinePunct w:val="0"/>
              <w:autoSpaceDE/>
              <w:autoSpaceDN/>
              <w:bidi w:val="0"/>
              <w:adjustRightInd w:val="0"/>
              <w:snapToGrid w:val="0"/>
              <w:spacing w:line="480" w:lineRule="exact"/>
              <w:ind w:firstLine="480"/>
              <w:textAlignment w:val="auto"/>
              <w:rPr>
                <w:rFonts w:hint="eastAsia"/>
              </w:rPr>
            </w:pPr>
            <w:r>
              <w:rPr>
                <w:rFonts w:hint="eastAsia"/>
              </w:rPr>
              <w:t>矿井水悬浮物含量明显较高，且很不稳定，感官性状差。</w:t>
            </w:r>
          </w:p>
          <w:p>
            <w:pPr>
              <w:pageBreakBefore w:val="0"/>
              <w:widowControl w:val="0"/>
              <w:numPr>
                <w:ilvl w:val="0"/>
                <w:numId w:val="1"/>
              </w:numPr>
              <w:kinsoku/>
              <w:wordWrap/>
              <w:overflowPunct/>
              <w:topLinePunct w:val="0"/>
              <w:autoSpaceDE/>
              <w:autoSpaceDN/>
              <w:bidi w:val="0"/>
              <w:adjustRightInd w:val="0"/>
              <w:snapToGrid w:val="0"/>
              <w:spacing w:line="480" w:lineRule="exact"/>
              <w:ind w:firstLine="480"/>
              <w:textAlignment w:val="auto"/>
              <w:rPr>
                <w:rFonts w:hint="eastAsia"/>
              </w:rPr>
            </w:pPr>
            <w:r>
              <w:rPr>
                <w:rFonts w:hint="eastAsia"/>
              </w:rPr>
              <w:t>悬浮物粒径小、比重轻、沉降速度慢，矿井水中悬浮颗粒直径较小，平均只有2~8μm，总悬浮物中约85%以上的粒径50μm以下；煤粉的平均密度一般只有1.3~1.6g/cm</w:t>
            </w:r>
            <w:r>
              <w:rPr>
                <w:rFonts w:hint="eastAsia"/>
                <w:vertAlign w:val="superscript"/>
              </w:rPr>
              <w:t>3</w:t>
            </w:r>
            <w:r>
              <w:rPr>
                <w:rFonts w:hint="eastAsia"/>
              </w:rPr>
              <w:t>，明显小于地表水中泥砂颗粒物的平均密度1.9~2.6g/cm</w:t>
            </w:r>
            <w:r>
              <w:rPr>
                <w:rFonts w:hint="eastAsia"/>
                <w:vertAlign w:val="superscript"/>
              </w:rPr>
              <w:t>3</w:t>
            </w:r>
            <w:r>
              <w:rPr>
                <w:rFonts w:hint="eastAsia"/>
              </w:rPr>
              <w:t>。</w:t>
            </w:r>
          </w:p>
          <w:p>
            <w:pPr>
              <w:pageBreakBefore w:val="0"/>
              <w:widowControl w:val="0"/>
              <w:numPr>
                <w:ilvl w:val="0"/>
                <w:numId w:val="1"/>
              </w:numPr>
              <w:kinsoku/>
              <w:wordWrap/>
              <w:overflowPunct/>
              <w:topLinePunct w:val="0"/>
              <w:autoSpaceDE/>
              <w:autoSpaceDN/>
              <w:bidi w:val="0"/>
              <w:adjustRightInd w:val="0"/>
              <w:snapToGrid w:val="0"/>
              <w:spacing w:line="480" w:lineRule="exact"/>
              <w:ind w:firstLine="480"/>
              <w:textAlignment w:val="auto"/>
              <w:rPr>
                <w:rFonts w:hint="eastAsia"/>
              </w:rPr>
            </w:pPr>
            <w:r>
              <w:rPr>
                <w:rFonts w:hint="eastAsia"/>
              </w:rPr>
              <w:t>混凝过程中矾花形成困难，沉降效果差。矿井水中悬浮固体多为有机物（煤粉）和无机物（岩粉）的复合体，且不同煤化阶段的煤分子结构大不相同，煤粒表面所带电荷数量也不相同，因而其亲水程度差异较大。</w:t>
            </w:r>
          </w:p>
          <w:p>
            <w:pPr>
              <w:pageBreakBefore w:val="0"/>
              <w:widowControl w:val="0"/>
              <w:numPr>
                <w:ilvl w:val="0"/>
                <w:numId w:val="1"/>
              </w:numPr>
              <w:kinsoku/>
              <w:wordWrap/>
              <w:overflowPunct/>
              <w:topLinePunct w:val="0"/>
              <w:autoSpaceDE/>
              <w:autoSpaceDN/>
              <w:bidi w:val="0"/>
              <w:adjustRightInd w:val="0"/>
              <w:snapToGrid w:val="0"/>
              <w:spacing w:line="480" w:lineRule="exact"/>
              <w:ind w:firstLine="480"/>
              <w:textAlignment w:val="auto"/>
              <w:rPr>
                <w:rFonts w:hint="eastAsia"/>
              </w:rPr>
            </w:pPr>
            <w:r>
              <w:rPr>
                <w:rFonts w:hint="eastAsia"/>
              </w:rPr>
              <w:t>矿井水中的煤粉仅为悬浮物，并不是耗氧有机污染物。</w:t>
            </w:r>
          </w:p>
          <w:p>
            <w:pPr>
              <w:pStyle w:val="5"/>
              <w:pageBreakBefore w:val="0"/>
              <w:widowControl w:val="0"/>
              <w:numPr>
                <w:ilvl w:val="0"/>
                <w:numId w:val="1"/>
              </w:numPr>
              <w:tabs>
                <w:tab w:val="left" w:pos="0"/>
              </w:tabs>
              <w:kinsoku/>
              <w:wordWrap/>
              <w:overflowPunct/>
              <w:topLinePunct w:val="0"/>
              <w:autoSpaceDE/>
              <w:autoSpaceDN/>
              <w:bidi w:val="0"/>
              <w:adjustRightInd w:val="0"/>
              <w:snapToGrid w:val="0"/>
              <w:spacing w:line="480" w:lineRule="exact"/>
              <w:ind w:left="0" w:leftChars="0" w:firstLine="480" w:firstLineChars="200"/>
              <w:textAlignment w:val="auto"/>
              <w:rPr>
                <w:rFonts w:hint="eastAsia"/>
                <w:b w:val="0"/>
                <w:bCs w:val="0"/>
              </w:rPr>
            </w:pPr>
            <w:r>
              <w:rPr>
                <w:rFonts w:hint="eastAsia"/>
                <w:b w:val="0"/>
                <w:bCs w:val="0"/>
              </w:rPr>
              <w:t>原水COD主要是由于矿井水在井下流动过程中受到煤粉污染造成</w:t>
            </w:r>
            <w:r>
              <w:rPr>
                <w:rFonts w:hint="eastAsia"/>
                <w:b w:val="0"/>
                <w:bCs w:val="0"/>
                <w:lang w:eastAsia="zh-CN"/>
              </w:rPr>
              <w:t>，由水中还原性碳元素所致，一般随着悬浮物的去除COD能随之而去除。</w:t>
            </w:r>
          </w:p>
          <w:p>
            <w:pPr>
              <w:numPr>
                <w:ilvl w:val="0"/>
                <w:numId w:val="1"/>
              </w:numPr>
              <w:ind w:left="0" w:leftChars="0" w:firstLine="480" w:firstLineChars="200"/>
              <w:rPr>
                <w:rFonts w:hint="eastAsia"/>
              </w:rPr>
            </w:pPr>
            <w:r>
              <w:t>原水NH</w:t>
            </w:r>
            <w:r>
              <w:rPr>
                <w:vertAlign w:val="subscript"/>
              </w:rPr>
              <w:t>3</w:t>
            </w:r>
            <w:r>
              <w:t>-N主要是由于矿井水在井下受到人为污染</w:t>
            </w:r>
            <w:r>
              <w:rPr>
                <w:rFonts w:hint="eastAsia"/>
                <w:lang w:eastAsia="zh-CN"/>
              </w:rPr>
              <w:t>，根据设计及运行经验，NH</w:t>
            </w:r>
            <w:r>
              <w:rPr>
                <w:rFonts w:hint="eastAsia"/>
                <w:vertAlign w:val="subscript"/>
                <w:lang w:eastAsia="zh-CN"/>
              </w:rPr>
              <w:t>3</w:t>
            </w:r>
            <w:r>
              <w:rPr>
                <w:rFonts w:hint="eastAsia"/>
                <w:lang w:eastAsia="zh-CN"/>
              </w:rPr>
              <w:t>-N会随着井下开采人为活动而出现波动，NH</w:t>
            </w:r>
            <w:r>
              <w:rPr>
                <w:rFonts w:hint="eastAsia"/>
                <w:vertAlign w:val="subscript"/>
                <w:lang w:eastAsia="zh-CN"/>
              </w:rPr>
              <w:t>3</w:t>
            </w:r>
            <w:r>
              <w:rPr>
                <w:rFonts w:hint="eastAsia"/>
                <w:lang w:eastAsia="zh-CN"/>
              </w:rPr>
              <w:t>-N一般以溶解状态存在于矿井水中，浓度一般也很低，混凝+沉淀+过滤去除的是呈悬浮状态的污染物质和部分胶体物质，呈溶解状态的NH</w:t>
            </w:r>
            <w:r>
              <w:rPr>
                <w:rFonts w:hint="eastAsia"/>
                <w:vertAlign w:val="subscript"/>
                <w:lang w:eastAsia="zh-CN"/>
              </w:rPr>
              <w:t>3</w:t>
            </w:r>
            <w:r>
              <w:rPr>
                <w:rFonts w:hint="eastAsia"/>
                <w:lang w:eastAsia="zh-CN"/>
              </w:rPr>
              <w:t>-N并不能随着悬浮及胶体物质的去除而被去除，所以在经过“混凝+沉淀+过滤”工艺处理后需要增加除氮措施，进一步去除氨氮指标</w:t>
            </w:r>
            <w:r>
              <w:t>。</w:t>
            </w:r>
          </w:p>
          <w:p>
            <w:pPr>
              <w:pStyle w:val="5"/>
              <w:pageBreakBefore w:val="0"/>
              <w:widowControl w:val="0"/>
              <w:tabs>
                <w:tab w:val="left" w:pos="0"/>
              </w:tabs>
              <w:kinsoku/>
              <w:wordWrap/>
              <w:overflowPunct/>
              <w:topLinePunct w:val="0"/>
              <w:autoSpaceDE/>
              <w:autoSpaceDN/>
              <w:bidi w:val="0"/>
              <w:adjustRightInd w:val="0"/>
              <w:snapToGrid w:val="0"/>
              <w:spacing w:line="480" w:lineRule="exact"/>
              <w:textAlignment w:val="auto"/>
            </w:pPr>
            <w:r>
              <w:rPr>
                <w:rFonts w:hint="eastAsia"/>
              </w:rPr>
              <w:t>②</w:t>
            </w:r>
            <w:r>
              <w:t>工艺关键点说明</w:t>
            </w:r>
          </w:p>
          <w:p>
            <w:pPr>
              <w:ind w:firstLine="480"/>
            </w:pPr>
            <w:r>
              <w:rPr>
                <w:rFonts w:hint="eastAsia"/>
                <w:lang w:val="en-US" w:eastAsia="zh-CN"/>
              </w:rPr>
              <w:t>综合反应池</w:t>
            </w:r>
            <w:r>
              <w:t>可将水中的煤粉、胶体物质等物质通过投加絮凝剂和助凝剂与这些物质形成絮团而去除，絮团在形成过程中包裹COD</w:t>
            </w:r>
            <w:r>
              <w:rPr>
                <w:bCs/>
                <w:snapToGrid w:val="0"/>
                <w:spacing w:val="6"/>
                <w:vertAlign w:val="subscript"/>
              </w:rPr>
              <w:t>cr</w:t>
            </w:r>
            <w:r>
              <w:t>、BOD</w:t>
            </w:r>
            <w:r>
              <w:rPr>
                <w:bCs/>
                <w:snapToGrid w:val="0"/>
                <w:spacing w:val="6"/>
                <w:vertAlign w:val="subscript"/>
              </w:rPr>
              <w:t>5</w:t>
            </w:r>
            <w:r>
              <w:t>等物质，从而达到去除煤粉的同时去除COD</w:t>
            </w:r>
            <w:r>
              <w:rPr>
                <w:bCs/>
                <w:snapToGrid w:val="0"/>
                <w:spacing w:val="6"/>
                <w:vertAlign w:val="subscript"/>
              </w:rPr>
              <w:t>cr</w:t>
            </w:r>
            <w:r>
              <w:t>、BOD</w:t>
            </w:r>
            <w:r>
              <w:rPr>
                <w:bCs/>
                <w:snapToGrid w:val="0"/>
                <w:spacing w:val="6"/>
                <w:vertAlign w:val="subscript"/>
              </w:rPr>
              <w:t>5</w:t>
            </w:r>
            <w:r>
              <w:t>等物质。形成的絮团通过重力沉淀至设备的泥斗，泥斗定时排泥至污泥脱水系统，脱水后的煤泥外运处置而使得污染物得以去除。</w:t>
            </w:r>
          </w:p>
          <w:p>
            <w:pPr>
              <w:pageBreakBefore w:val="0"/>
              <w:widowControl w:val="0"/>
              <w:kinsoku/>
              <w:wordWrap/>
              <w:overflowPunct/>
              <w:topLinePunct w:val="0"/>
              <w:autoSpaceDE/>
              <w:autoSpaceDN/>
              <w:bidi w:val="0"/>
              <w:adjustRightInd w:val="0"/>
              <w:snapToGrid w:val="0"/>
              <w:spacing w:line="480" w:lineRule="exact"/>
              <w:ind w:firstLine="480"/>
              <w:textAlignment w:val="auto"/>
            </w:pPr>
            <w:r>
              <w:t>COD</w:t>
            </w:r>
            <w:r>
              <w:rPr>
                <w:bCs/>
                <w:snapToGrid w:val="0"/>
                <w:spacing w:val="6"/>
                <w:vertAlign w:val="subscript"/>
              </w:rPr>
              <w:t>cr</w:t>
            </w:r>
            <w:r>
              <w:t>和BOD</w:t>
            </w:r>
            <w:r>
              <w:rPr>
                <w:bCs/>
                <w:snapToGrid w:val="0"/>
                <w:spacing w:val="6"/>
                <w:vertAlign w:val="subscript"/>
              </w:rPr>
              <w:t>5</w:t>
            </w:r>
            <w:r>
              <w:t>可通过超滤过滤去除。COD</w:t>
            </w:r>
            <w:r>
              <w:rPr>
                <w:bCs/>
                <w:snapToGrid w:val="0"/>
                <w:spacing w:val="6"/>
                <w:vertAlign w:val="subscript"/>
              </w:rPr>
              <w:t>cr</w:t>
            </w:r>
            <w:r>
              <w:t>、BOD</w:t>
            </w:r>
            <w:r>
              <w:rPr>
                <w:bCs/>
                <w:snapToGrid w:val="0"/>
                <w:spacing w:val="6"/>
                <w:vertAlign w:val="subscript"/>
              </w:rPr>
              <w:t>5</w:t>
            </w:r>
            <w:r>
              <w:t>在煤泥和药剂形成絮团时，能附着及包裹在胶体和悬浮物上，</w:t>
            </w:r>
            <w:r>
              <w:rPr>
                <w:rFonts w:hint="eastAsia"/>
                <w:lang w:val="en-US" w:eastAsia="zh-CN"/>
              </w:rPr>
              <w:t>综合反应池</w:t>
            </w:r>
            <w:r>
              <w:t>的出水水中还含有部分细小的胶体和悬浮物；通过</w:t>
            </w:r>
            <w:r>
              <w:rPr>
                <w:rFonts w:hint="eastAsia"/>
              </w:rPr>
              <w:t>活</w:t>
            </w:r>
            <w:r>
              <w:rPr>
                <w:rFonts w:hint="eastAsia"/>
                <w:lang w:val="en-US" w:eastAsia="zh-CN"/>
              </w:rPr>
              <w:t>浅层</w:t>
            </w:r>
            <w:r>
              <w:rPr>
                <w:rFonts w:hint="eastAsia"/>
              </w:rPr>
              <w:t>砂过滤器吸附拦截去除水中的</w:t>
            </w:r>
            <w:r>
              <w:t>COD</w:t>
            </w:r>
            <w:r>
              <w:rPr>
                <w:bCs/>
                <w:snapToGrid w:val="0"/>
                <w:spacing w:val="6"/>
                <w:vertAlign w:val="subscript"/>
              </w:rPr>
              <w:t>cr</w:t>
            </w:r>
            <w:r>
              <w:t>和BOD</w:t>
            </w:r>
            <w:r>
              <w:rPr>
                <w:bCs/>
                <w:snapToGrid w:val="0"/>
                <w:spacing w:val="6"/>
                <w:vertAlign w:val="subscript"/>
              </w:rPr>
              <w:t>5</w:t>
            </w:r>
            <w:r>
              <w:rPr>
                <w:rFonts w:hint="eastAsia"/>
                <w:bCs/>
                <w:snapToGrid w:val="0"/>
                <w:spacing w:val="6"/>
              </w:rPr>
              <w:t>，</w:t>
            </w:r>
            <w:r>
              <w:rPr>
                <w:rFonts w:hint="eastAsia"/>
              </w:rPr>
              <w:t>并进一步去除</w:t>
            </w:r>
            <w:r>
              <w:t>细小的胶体和悬浮物</w:t>
            </w:r>
            <w:r>
              <w:rPr>
                <w:rFonts w:hint="eastAsia"/>
              </w:rPr>
              <w:t>，保证进入超滤系统的水质；</w:t>
            </w:r>
            <w:r>
              <w:t>超滤系统可基本去除</w:t>
            </w:r>
            <w:r>
              <w:rPr>
                <w:rFonts w:hint="eastAsia"/>
                <w:lang w:val="en-US" w:eastAsia="zh-CN"/>
              </w:rPr>
              <w:t>综合反应池出</w:t>
            </w:r>
            <w:r>
              <w:t>水中的胶体、悬浮物及大分子物质，从而去除部分COD</w:t>
            </w:r>
            <w:r>
              <w:rPr>
                <w:bCs/>
                <w:snapToGrid w:val="0"/>
                <w:spacing w:val="6"/>
                <w:vertAlign w:val="subscript"/>
              </w:rPr>
              <w:t>cr</w:t>
            </w:r>
            <w:r>
              <w:rPr>
                <w:rFonts w:hint="eastAsia"/>
                <w:bCs/>
                <w:snapToGrid w:val="0"/>
                <w:spacing w:val="6"/>
              </w:rPr>
              <w:t>及</w:t>
            </w:r>
            <w:r>
              <w:t>BOD</w:t>
            </w:r>
            <w:r>
              <w:rPr>
                <w:bCs/>
                <w:snapToGrid w:val="0"/>
                <w:spacing w:val="6"/>
                <w:vertAlign w:val="subscript"/>
              </w:rPr>
              <w:t>5</w:t>
            </w:r>
            <w:r>
              <w:t>。</w:t>
            </w:r>
          </w:p>
          <w:p>
            <w:pPr>
              <w:pageBreakBefore w:val="0"/>
              <w:widowControl w:val="0"/>
              <w:kinsoku/>
              <w:wordWrap/>
              <w:overflowPunct/>
              <w:topLinePunct w:val="0"/>
              <w:autoSpaceDE/>
              <w:autoSpaceDN/>
              <w:bidi w:val="0"/>
              <w:adjustRightInd w:val="0"/>
              <w:snapToGrid w:val="0"/>
              <w:spacing w:line="480" w:lineRule="exact"/>
              <w:ind w:firstLine="480"/>
              <w:textAlignment w:val="auto"/>
            </w:pPr>
            <w:r>
              <w:t>混凝反应沉淀可将水中的煤粉、胶体物质等物质通过投加絮凝剂和助凝剂与这些物质形成絮团而去除，絮团在形成过程中包裹COD</w:t>
            </w:r>
            <w:r>
              <w:rPr>
                <w:bCs/>
                <w:snapToGrid w:val="0"/>
                <w:spacing w:val="6"/>
                <w:vertAlign w:val="subscript"/>
              </w:rPr>
              <w:t>cr</w:t>
            </w:r>
            <w:r>
              <w:rPr>
                <w:rFonts w:hint="eastAsia"/>
                <w:bCs/>
                <w:snapToGrid w:val="0"/>
                <w:spacing w:val="6"/>
                <w:vertAlign w:val="baseline"/>
                <w:lang w:eastAsia="zh-CN"/>
              </w:rPr>
              <w:t>、</w:t>
            </w:r>
            <w:r>
              <w:rPr>
                <w:rFonts w:hint="eastAsia"/>
                <w:bCs/>
                <w:snapToGrid w:val="0"/>
                <w:spacing w:val="6"/>
                <w:vertAlign w:val="baseline"/>
                <w:lang w:val="en-US" w:eastAsia="zh-CN"/>
              </w:rPr>
              <w:t>BOD</w:t>
            </w:r>
            <w:r>
              <w:rPr>
                <w:rFonts w:hint="eastAsia"/>
                <w:bCs/>
                <w:snapToGrid w:val="0"/>
                <w:spacing w:val="6"/>
                <w:vertAlign w:val="subscript"/>
                <w:lang w:val="en-US" w:eastAsia="zh-CN"/>
              </w:rPr>
              <w:t>5</w:t>
            </w:r>
            <w:r>
              <w:t>等物质，从而达到去除煤粉的同时去除COD</w:t>
            </w:r>
            <w:r>
              <w:rPr>
                <w:bCs/>
                <w:snapToGrid w:val="0"/>
                <w:spacing w:val="6"/>
                <w:vertAlign w:val="subscript"/>
              </w:rPr>
              <w:t>cr</w:t>
            </w:r>
            <w:r>
              <w:t>、</w:t>
            </w:r>
            <w:r>
              <w:rPr>
                <w:rFonts w:hint="eastAsia"/>
                <w:bCs/>
                <w:snapToGrid w:val="0"/>
                <w:spacing w:val="6"/>
                <w:vertAlign w:val="baseline"/>
                <w:lang w:val="en-US" w:eastAsia="zh-CN"/>
              </w:rPr>
              <w:t>BOD</w:t>
            </w:r>
            <w:r>
              <w:rPr>
                <w:rFonts w:hint="eastAsia"/>
                <w:bCs/>
                <w:snapToGrid w:val="0"/>
                <w:spacing w:val="6"/>
                <w:vertAlign w:val="subscript"/>
                <w:lang w:val="en-US" w:eastAsia="zh-CN"/>
              </w:rPr>
              <w:t>5</w:t>
            </w:r>
            <w:r>
              <w:t>等物质。形成的絮团通过重力沉淀至设备的泥斗，泥斗定时排泥至污泥脱水系统，脱水后的煤泥外运处置而使得污染物得以去除。</w:t>
            </w:r>
          </w:p>
          <w:p>
            <w:pPr>
              <w:pageBreakBefore w:val="0"/>
              <w:widowControl w:val="0"/>
              <w:kinsoku/>
              <w:wordWrap/>
              <w:overflowPunct/>
              <w:topLinePunct w:val="0"/>
              <w:autoSpaceDE/>
              <w:autoSpaceDN/>
              <w:bidi w:val="0"/>
              <w:adjustRightInd w:val="0"/>
              <w:snapToGrid w:val="0"/>
              <w:spacing w:line="480" w:lineRule="exact"/>
              <w:ind w:firstLine="480"/>
              <w:textAlignment w:val="auto"/>
            </w:pPr>
            <w:r>
              <w:t>COD</w:t>
            </w:r>
            <w:r>
              <w:rPr>
                <w:bCs/>
                <w:snapToGrid w:val="0"/>
                <w:spacing w:val="6"/>
                <w:vertAlign w:val="subscript"/>
              </w:rPr>
              <w:t>cr</w:t>
            </w:r>
            <w:r>
              <w:t>、</w:t>
            </w:r>
            <w:r>
              <w:rPr>
                <w:rFonts w:hint="eastAsia"/>
                <w:bCs/>
                <w:snapToGrid w:val="0"/>
                <w:spacing w:val="6"/>
                <w:vertAlign w:val="baseline"/>
                <w:lang w:val="en-US" w:eastAsia="zh-CN"/>
              </w:rPr>
              <w:t>BOD</w:t>
            </w:r>
            <w:r>
              <w:rPr>
                <w:rFonts w:hint="eastAsia"/>
                <w:bCs/>
                <w:snapToGrid w:val="0"/>
                <w:spacing w:val="6"/>
                <w:vertAlign w:val="subscript"/>
                <w:lang w:val="en-US" w:eastAsia="zh-CN"/>
              </w:rPr>
              <w:t>5</w:t>
            </w:r>
            <w:r>
              <w:t>在煤泥和药剂形成絮团时，能附着及包裹在胶体和悬浮物上，混凝沉淀后的出水水中还含有部分细小的胶体和悬浮物；通过</w:t>
            </w:r>
            <w:r>
              <w:rPr>
                <w:rFonts w:hint="eastAsia"/>
              </w:rPr>
              <w:t>活性炭过滤器吸附拦截去除水中的</w:t>
            </w:r>
            <w:r>
              <w:t>COD</w:t>
            </w:r>
            <w:r>
              <w:rPr>
                <w:bCs/>
                <w:snapToGrid w:val="0"/>
                <w:spacing w:val="6"/>
                <w:vertAlign w:val="subscript"/>
              </w:rPr>
              <w:t>cr</w:t>
            </w:r>
            <w:r>
              <w:t>和</w:t>
            </w:r>
            <w:r>
              <w:rPr>
                <w:rFonts w:hint="eastAsia"/>
                <w:bCs/>
                <w:snapToGrid w:val="0"/>
                <w:spacing w:val="6"/>
                <w:vertAlign w:val="baseline"/>
                <w:lang w:val="en-US" w:eastAsia="zh-CN"/>
              </w:rPr>
              <w:t>BOD</w:t>
            </w:r>
            <w:r>
              <w:rPr>
                <w:rFonts w:hint="eastAsia"/>
                <w:bCs/>
                <w:snapToGrid w:val="0"/>
                <w:spacing w:val="6"/>
                <w:vertAlign w:val="subscript"/>
                <w:lang w:val="en-US" w:eastAsia="zh-CN"/>
              </w:rPr>
              <w:t>5</w:t>
            </w:r>
            <w:r>
              <w:rPr>
                <w:rFonts w:hint="eastAsia"/>
                <w:bCs/>
                <w:snapToGrid w:val="0"/>
                <w:spacing w:val="6"/>
              </w:rPr>
              <w:t>，</w:t>
            </w:r>
            <w:r>
              <w:rPr>
                <w:rFonts w:hint="eastAsia"/>
              </w:rPr>
              <w:t>并进一步去除</w:t>
            </w:r>
            <w:r>
              <w:t>细小的胶体和悬浮物</w:t>
            </w:r>
            <w:r>
              <w:rPr>
                <w:rFonts w:hint="eastAsia"/>
              </w:rPr>
              <w:t>，保证进入超滤系统的水质；</w:t>
            </w:r>
            <w:r>
              <w:t>超滤系统可基本去除混凝沉淀后水中的胶体、悬浮物及大分子物质，从而去除部分COD</w:t>
            </w:r>
            <w:r>
              <w:rPr>
                <w:bCs/>
                <w:snapToGrid w:val="0"/>
                <w:spacing w:val="6"/>
                <w:vertAlign w:val="subscript"/>
              </w:rPr>
              <w:t>cr</w:t>
            </w:r>
            <w:r>
              <w:rPr>
                <w:rFonts w:hint="eastAsia"/>
                <w:bCs/>
                <w:snapToGrid w:val="0"/>
                <w:spacing w:val="6"/>
              </w:rPr>
              <w:t>及</w:t>
            </w:r>
            <w:r>
              <w:rPr>
                <w:rFonts w:hint="eastAsia"/>
                <w:bCs/>
                <w:snapToGrid w:val="0"/>
                <w:spacing w:val="6"/>
                <w:vertAlign w:val="baseline"/>
                <w:lang w:val="en-US" w:eastAsia="zh-CN"/>
              </w:rPr>
              <w:t>BOD</w:t>
            </w:r>
            <w:r>
              <w:rPr>
                <w:rFonts w:hint="eastAsia"/>
                <w:bCs/>
                <w:snapToGrid w:val="0"/>
                <w:spacing w:val="6"/>
                <w:vertAlign w:val="subscript"/>
                <w:lang w:val="en-US" w:eastAsia="zh-CN"/>
              </w:rPr>
              <w:t>5</w:t>
            </w:r>
            <w:r>
              <w:t>。</w:t>
            </w:r>
          </w:p>
          <w:p>
            <w:pPr>
              <w:spacing w:line="480" w:lineRule="exact"/>
              <w:ind w:firstLine="480"/>
              <w:rPr>
                <w:rFonts w:hint="eastAsia"/>
              </w:rPr>
            </w:pPr>
            <w:r>
              <w:rPr>
                <w:rFonts w:hint="eastAsia"/>
              </w:rPr>
              <w:t>针对氨氮超标，采取折点加氯法投加次氯酸钠来去除。</w:t>
            </w:r>
          </w:p>
          <w:p>
            <w:pPr>
              <w:spacing w:line="480" w:lineRule="exact"/>
              <w:ind w:firstLine="480"/>
              <w:rPr>
                <w:rFonts w:hint="eastAsia"/>
              </w:rPr>
            </w:pPr>
            <w:r>
              <w:rPr>
                <w:rFonts w:hint="eastAsia"/>
              </w:rPr>
              <w:t>折点加氯法是将氯气或次氯酸钠通入废水中将废水中的NH</w:t>
            </w:r>
            <w:r>
              <w:rPr>
                <w:rFonts w:hint="eastAsia"/>
                <w:vertAlign w:val="subscript"/>
              </w:rPr>
              <w:t>3</w:t>
            </w:r>
            <w:r>
              <w:rPr>
                <w:rFonts w:hint="eastAsia"/>
              </w:rPr>
              <w:t>-N氧化成N</w:t>
            </w:r>
            <w:r>
              <w:rPr>
                <w:rFonts w:hint="eastAsia"/>
                <w:vertAlign w:val="subscript"/>
              </w:rPr>
              <w:t>2</w:t>
            </w:r>
            <w:r>
              <w:rPr>
                <w:rFonts w:hint="eastAsia"/>
              </w:rPr>
              <w:t>的化学脱氮工艺。当氯气通入废水中达到某一点时水中游离氯含量最低，氨的浓度降为零。当氯气通入量超过该点时，水中的游离氯就会增多。因此该点称为折点，该状态下的氯化称为折点氯化。进行氨氮污水处理所需的实际氯气量取决于温度、pH值及氨氮浓度。氧化每克氨氮需要9～10mg氯气。pH值在6～7时为最佳反应区间，接触时间为0.5～2小时。折点加氯法处理后的出水在排放前一般需要用活性碳进行反氯化，以去除水中残留的氯。</w:t>
            </w:r>
          </w:p>
          <w:p>
            <w:pPr>
              <w:spacing w:line="480" w:lineRule="exact"/>
              <w:ind w:firstLine="480"/>
            </w:pPr>
            <w:r>
              <w:rPr>
                <w:rFonts w:hint="eastAsia"/>
              </w:rPr>
              <w:t>折点氯化法最突出的优点是可通过正确控制加氯量和对流量进行均化，使废水中全部氨氮降为零，同时使废水达到消毒的目的。对于氨氮浓度低（小于50mg/L）的废水来说，用这种方法较为经济。</w:t>
            </w:r>
          </w:p>
          <w:p>
            <w:pPr>
              <w:spacing w:line="480" w:lineRule="exact"/>
              <w:ind w:firstLine="480"/>
              <w:rPr>
                <w:rFonts w:hint="default" w:ascii="Times New Roman" w:hAnsi="Times New Roman" w:eastAsia="宋体" w:cs="Times New Roman"/>
                <w:bCs/>
                <w:color w:val="000000" w:themeColor="text1"/>
                <w:kern w:val="0"/>
                <w:highlight w:val="red"/>
                <w14:textFill>
                  <w14:solidFill>
                    <w14:schemeClr w14:val="tx1"/>
                  </w14:solidFill>
                </w14:textFill>
              </w:rPr>
            </w:pPr>
            <w:r>
              <w:t>综上所述；</w:t>
            </w:r>
            <w:r>
              <w:rPr>
                <w:rFonts w:hint="eastAsia"/>
                <w:lang w:eastAsia="zh-CN"/>
              </w:rPr>
              <w:t>本项目的</w:t>
            </w:r>
            <w:r>
              <w:rPr>
                <w:rFonts w:hint="eastAsia"/>
                <w:lang w:val="en-US" w:eastAsia="zh-CN"/>
              </w:rPr>
              <w:t>COD去除效率可达50%以上，氨氮的去除效率可达20%以上，可以保证本项目</w:t>
            </w:r>
            <w:r>
              <w:rPr>
                <w:rFonts w:hint="eastAsia"/>
                <w:highlight w:val="none"/>
                <w:lang w:val="en-US" w:eastAsia="zh-CN"/>
              </w:rPr>
              <w:t>外排的</w:t>
            </w:r>
            <w:r>
              <w:rPr>
                <w:highlight w:val="none"/>
              </w:rPr>
              <w:t>矿井</w:t>
            </w:r>
            <w:r>
              <w:rPr>
                <w:rFonts w:hint="default" w:ascii="Times New Roman" w:hAnsi="Times New Roman" w:eastAsia="宋体" w:cs="Times New Roman"/>
                <w:color w:val="000000" w:themeColor="text1"/>
                <w:highlight w:val="none"/>
                <w14:textFill>
                  <w14:solidFill>
                    <w14:schemeClr w14:val="tx1"/>
                  </w14:solidFill>
                </w14:textFill>
              </w:rPr>
              <w:t>水化学需氧量、氨氮、总磷三项主要污染物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需</w:t>
            </w:r>
            <w:r>
              <w:rPr>
                <w:rFonts w:hint="default" w:ascii="Times New Roman" w:hAnsi="Times New Roman" w:eastAsia="宋体" w:cs="Times New Roman"/>
                <w:color w:val="000000" w:themeColor="text1"/>
                <w:highlight w:val="none"/>
                <w14:textFill>
                  <w14:solidFill>
                    <w14:schemeClr w14:val="tx1"/>
                  </w14:solidFill>
                </w14:textFill>
              </w:rPr>
              <w:t>达地表水环境质量Ⅲ类标准。</w:t>
            </w:r>
          </w:p>
          <w:p>
            <w:pPr>
              <w:pStyle w:val="4"/>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主要污染工序：</w:t>
            </w:r>
          </w:p>
          <w:p>
            <w:pPr>
              <w:ind w:firstLine="480"/>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1、大气污染源</w:t>
            </w:r>
          </w:p>
          <w:p>
            <w:pPr>
              <w:ind w:firstLine="480"/>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本项目为矿井水处理达地表水</w: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III</w: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14:textFill>
                  <w14:solidFill>
                    <w14:schemeClr w14:val="tx1"/>
                  </w14:solidFill>
                </w14:textFill>
              </w:rPr>
              <w:t>类改造工程，基本无废气产生；</w:t>
            </w:r>
          </w:p>
          <w:p>
            <w:pPr>
              <w:ind w:firstLine="480"/>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2、水污染源</w:t>
            </w:r>
          </w:p>
          <w:p>
            <w:pPr>
              <w:ind w:firstLine="480"/>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本次改造工程不新增劳动定员，不新增生活废水；</w:t>
            </w:r>
          </w:p>
          <w:p>
            <w:pPr>
              <w:ind w:firstLine="480"/>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矿井水</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经处理</w:t>
            </w:r>
            <w:r>
              <w:rPr>
                <w:rFonts w:hint="default" w:ascii="Times New Roman" w:hAnsi="Times New Roman" w:eastAsia="宋体" w:cs="Times New Roman"/>
                <w:color w:val="000000" w:themeColor="text1"/>
                <w:szCs w:val="24"/>
                <w:highlight w:val="none"/>
                <w14:textFill>
                  <w14:solidFill>
                    <w14:schemeClr w14:val="tx1"/>
                  </w14:solidFill>
                </w14:textFill>
              </w:rPr>
              <w:t>达到《地表水环境质量表》（GB3838-2002）</w: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III</w:t>
            </w:r>
            <w:r>
              <w:rPr>
                <w:rFonts w:hint="default" w:ascii="Times New Roman" w:hAnsi="Times New Roman" w:eastAsia="宋体" w:cs="Times New Roman"/>
                <w:color w:val="000000" w:themeColor="text1"/>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14:textFill>
                  <w14:solidFill>
                    <w14:schemeClr w14:val="tx1"/>
                  </w14:solidFill>
                </w14:textFill>
              </w:rPr>
              <w:t>类水标准后</w:t>
            </w:r>
            <w:r>
              <w:rPr>
                <w:rFonts w:hint="default"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不能回用的部分通过明渠</w:t>
            </w:r>
            <w:r>
              <w:rPr>
                <w:rFonts w:hint="default" w:ascii="Times New Roman" w:hAnsi="Times New Roman" w:eastAsia="宋体" w:cs="Times New Roman"/>
                <w:color w:val="000000" w:themeColor="text1"/>
                <w:szCs w:val="24"/>
                <w:highlight w:val="none"/>
                <w14:textFill>
                  <w14:solidFill>
                    <w14:schemeClr w14:val="tx1"/>
                  </w14:solidFill>
                </w14:textFill>
              </w:rPr>
              <w:t>外排</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到大沙沟</w:t>
            </w:r>
            <w:r>
              <w:rPr>
                <w:rFonts w:hint="default" w:ascii="Times New Roman" w:hAnsi="Times New Roman" w:eastAsia="宋体" w:cs="Times New Roman"/>
                <w:color w:val="000000" w:themeColor="text1"/>
                <w:szCs w:val="24"/>
                <w:highlight w:val="none"/>
                <w14:textFill>
                  <w14:solidFill>
                    <w14:schemeClr w14:val="tx1"/>
                  </w14:solidFill>
                </w14:textFill>
              </w:rPr>
              <w:t>；</w:t>
            </w:r>
          </w:p>
          <w:p>
            <w:pPr>
              <w:ind w:firstLine="480"/>
              <w:jc w:val="left"/>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3、固体废物</w:t>
            </w:r>
          </w:p>
          <w:p>
            <w:pPr>
              <w:ind w:firstLine="480"/>
              <w:jc w:val="left"/>
              <w:textAlignment w:val="center"/>
              <w:outlineLvl w:val="2"/>
              <w:rPr>
                <w:rFonts w:hint="default" w:ascii="Times New Roman" w:hAnsi="Times New Roman" w:eastAsia="宋体" w:cs="Times New Roman"/>
                <w:color w:val="000000" w:themeColor="text1"/>
                <w:szCs w:val="24"/>
                <w:highlight w:val="red"/>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因本工程无新增人员，因此不新增生活垃圾；</w:t>
            </w:r>
          </w:p>
          <w:p>
            <w:pPr>
              <w:ind w:firstLine="480"/>
              <w:jc w:val="left"/>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本次技改新增的固废主要是废活性炭</w:t>
            </w:r>
            <w:r>
              <w:rPr>
                <w:rFonts w:hint="default"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药剂废弃包装。</w:t>
            </w:r>
          </w:p>
          <w:p>
            <w:pPr>
              <w:ind w:firstLine="480"/>
              <w:jc w:val="left"/>
              <w:textAlignment w:val="center"/>
              <w:outlineLvl w:val="2"/>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4、噪声</w:t>
            </w:r>
          </w:p>
          <w:p>
            <w:pPr>
              <w:ind w:firstLine="480"/>
              <w:rPr>
                <w:rFonts w:hint="default" w:ascii="Times New Roman" w:hAnsi="Times New Roman" w:eastAsia="宋体" w:cs="Times New Roman"/>
                <w:color w:val="000000" w:themeColor="text1"/>
                <w:szCs w:val="24"/>
                <w:highlight w:val="red"/>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污水处理站主要噪声源是运转设备的噪声，主要噪声源有污泥压滤机、水泵、污泥泵等，噪声值在70~90dB（A）之间。</w:t>
            </w: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420"/>
              <w:rPr>
                <w:rFonts w:hint="default" w:ascii="Times New Roman" w:hAnsi="Times New Roman" w:eastAsia="宋体" w:cs="Times New Roman"/>
                <w:color w:val="000000" w:themeColor="text1"/>
                <w:sz w:val="2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sz w:val="21"/>
                <w:highlight w:val="red"/>
                <w14:textFill>
                  <w14:solidFill>
                    <w14:schemeClr w14:val="tx1"/>
                  </w14:solidFill>
                </w14:textFill>
              </w:rPr>
            </w:pPr>
          </w:p>
        </w:tc>
      </w:tr>
    </w:tbl>
    <w:p>
      <w:pPr>
        <w:ind w:firstLine="480"/>
        <w:rPr>
          <w:rFonts w:hint="default" w:ascii="Times New Roman" w:hAnsi="Times New Roman" w:eastAsia="宋体" w:cs="Times New Roman"/>
          <w:color w:val="000000" w:themeColor="text1"/>
          <w:highlight w:val="red"/>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六、</w:t>
      </w:r>
      <w:r>
        <w:rPr>
          <w:rFonts w:hint="default" w:ascii="Times New Roman" w:hAnsi="Times New Roman" w:eastAsia="宋体" w:cs="Times New Roman"/>
          <w:color w:val="000000" w:themeColor="text1"/>
          <w:highlight w:val="none"/>
          <w14:textFill>
            <w14:solidFill>
              <w14:schemeClr w14:val="tx1"/>
            </w14:solidFill>
          </w14:textFill>
        </w:rPr>
        <w:t>项目主要污染物产生及预计排放情况</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77"/>
        <w:gridCol w:w="1596"/>
        <w:gridCol w:w="1425"/>
        <w:gridCol w:w="1188"/>
        <w:gridCol w:w="1425"/>
        <w:gridCol w:w="12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restart"/>
            <w:vAlign w:val="center"/>
          </w:tcPr>
          <w:p>
            <w:pPr>
              <w:pStyle w:val="4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z w:val="21"/>
              </w:rPr>
              <mc:AlternateContent>
                <mc:Choice Requires="wps">
                  <w:drawing>
                    <wp:anchor distT="0" distB="0" distL="114300" distR="114300" simplePos="0" relativeHeight="251757568" behindDoc="0" locked="0" layoutInCell="1" allowOverlap="1">
                      <wp:simplePos x="0" y="0"/>
                      <wp:positionH relativeFrom="column">
                        <wp:posOffset>-58420</wp:posOffset>
                      </wp:positionH>
                      <wp:positionV relativeFrom="paragraph">
                        <wp:posOffset>1905</wp:posOffset>
                      </wp:positionV>
                      <wp:extent cx="603250" cy="673100"/>
                      <wp:effectExtent l="3810" t="3175" r="21590" b="9525"/>
                      <wp:wrapNone/>
                      <wp:docPr id="15" name="直接连接符 15"/>
                      <wp:cNvGraphicFramePr/>
                      <a:graphic xmlns:a="http://schemas.openxmlformats.org/drawingml/2006/main">
                        <a:graphicData uri="http://schemas.microsoft.com/office/word/2010/wordprocessingShape">
                          <wps:wsp>
                            <wps:cNvCnPr/>
                            <wps:spPr>
                              <a:xfrm>
                                <a:off x="836930" y="1308100"/>
                                <a:ext cx="603250" cy="673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pt;margin-top:0.15pt;height:53pt;width:47.5pt;z-index:251757568;mso-width-relative:page;mso-height-relative:page;" filled="f" stroked="t" coordsize="21600,21600" o:gfxdata="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TihqdQAAAAG&#10;AQAADwAAAAAAAAABACAAAAAiAAAAZHJzL2Rvd25yZXYueG1sUEsBAhQAFAAAAAgAh07iQBS4Dqjn&#10;AQAAqwMAAA4AAAAAAAAAAQAgAAAAIwEAAGRycy9lMm9Eb2MueG1sUEsFBgAAAAAGAAYAWQEAAHwF&#10;AAAAAA==&#10;">
                      <v:fill on="f" focussize="0,0"/>
                      <v:stroke color="#000000 [3213]" joinstyle="round"/>
                      <v:imagedata o:title=""/>
                      <o:lock v:ext="edit" aspectratio="f"/>
                    </v:lin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t>内容</w:t>
            </w:r>
          </w:p>
          <w:p>
            <w:pPr>
              <w:pStyle w:val="40"/>
              <w:rPr>
                <w:rFonts w:hint="default" w:ascii="Times New Roman" w:hAnsi="Times New Roman" w:eastAsia="宋体" w:cs="Times New Roman"/>
                <w:color w:val="000000" w:themeColor="text1"/>
                <w:highlight w:val="none"/>
                <w14:textFill>
                  <w14:solidFill>
                    <w14:schemeClr w14:val="tx1"/>
                  </w14:solidFill>
                </w14:textFill>
              </w:rPr>
            </w:pPr>
          </w:p>
          <w:p>
            <w:pPr>
              <w:pStyle w:val="4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类型</w:t>
            </w:r>
          </w:p>
        </w:tc>
        <w:tc>
          <w:tcPr>
            <w:tcW w:w="796" w:type="pct"/>
            <w:vMerge w:val="restar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排放源</w:t>
            </w:r>
          </w:p>
        </w:tc>
        <w:tc>
          <w:tcPr>
            <w:tcW w:w="860" w:type="pct"/>
            <w:vMerge w:val="restar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w:t>
            </w:r>
          </w:p>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名称</w:t>
            </w:r>
          </w:p>
        </w:tc>
        <w:tc>
          <w:tcPr>
            <w:tcW w:w="1408"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处理前产生浓度及产生量</w:t>
            </w:r>
          </w:p>
        </w:tc>
        <w:tc>
          <w:tcPr>
            <w:tcW w:w="1421"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排放浓度及排放量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96"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860"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68"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产生浓度mg/L</w:t>
            </w:r>
          </w:p>
        </w:tc>
        <w:tc>
          <w:tcPr>
            <w:tcW w:w="639"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产生量t/a</w:t>
            </w:r>
          </w:p>
        </w:tc>
        <w:tc>
          <w:tcPr>
            <w:tcW w:w="768"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排放浓度mg/L</w:t>
            </w:r>
          </w:p>
        </w:tc>
        <w:tc>
          <w:tcPr>
            <w:tcW w:w="652"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大气污染物</w:t>
            </w:r>
          </w:p>
        </w:tc>
        <w:tc>
          <w:tcPr>
            <w:tcW w:w="796" w:type="pct"/>
            <w:vAlign w:val="center"/>
          </w:tcPr>
          <w:p>
            <w:pPr>
              <w:pStyle w:val="4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860"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768" w:type="pct"/>
            <w:vAlign w:val="center"/>
          </w:tcPr>
          <w:p>
            <w:pPr>
              <w:pStyle w:val="4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w:t>
            </w:r>
          </w:p>
        </w:tc>
        <w:tc>
          <w:tcPr>
            <w:tcW w:w="639"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768" w:type="pct"/>
            <w:vAlign w:val="center"/>
          </w:tcPr>
          <w:p>
            <w:pPr>
              <w:pStyle w:val="4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w:t>
            </w:r>
          </w:p>
        </w:tc>
        <w:tc>
          <w:tcPr>
            <w:tcW w:w="652"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restar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水污</w:t>
            </w:r>
          </w:p>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染物</w:t>
            </w:r>
          </w:p>
        </w:tc>
        <w:tc>
          <w:tcPr>
            <w:tcW w:w="796" w:type="pct"/>
            <w:vMerge w:val="restar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矿井水</w:t>
            </w:r>
          </w:p>
        </w:tc>
        <w:tc>
          <w:tcPr>
            <w:tcW w:w="860"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水量</w:t>
            </w:r>
          </w:p>
        </w:tc>
        <w:tc>
          <w:tcPr>
            <w:tcW w:w="768" w:type="pct"/>
            <w:vAlign w:val="center"/>
          </w:tcPr>
          <w:p>
            <w:pPr>
              <w:pStyle w:val="40"/>
              <w:spacing w:line="320" w:lineRule="exact"/>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639" w:type="pct"/>
            <w:vAlign w:val="center"/>
          </w:tcPr>
          <w:p>
            <w:pPr>
              <w:pStyle w:val="40"/>
              <w:spacing w:line="320" w:lineRule="exact"/>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332470.05</w:t>
            </w:r>
          </w:p>
        </w:tc>
        <w:tc>
          <w:tcPr>
            <w:tcW w:w="768" w:type="pct"/>
            <w:vAlign w:val="center"/>
          </w:tcPr>
          <w:p>
            <w:pPr>
              <w:pStyle w:val="40"/>
              <w:spacing w:line="320" w:lineRule="exact"/>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652" w:type="pct"/>
            <w:vAlign w:val="center"/>
          </w:tcPr>
          <w:p>
            <w:pPr>
              <w:pStyle w:val="40"/>
              <w:spacing w:line="320" w:lineRule="exact"/>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78750.9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96"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860" w:type="pct"/>
            <w:vAlign w:val="center"/>
          </w:tcPr>
          <w:p>
            <w:pPr>
              <w:spacing w:line="320" w:lineRule="exact"/>
              <w:ind w:firstLine="0" w:firstLineChars="0"/>
              <w:jc w:val="center"/>
              <w:rPr>
                <w:rFonts w:hint="default" w:ascii="Times New Roman" w:hAnsi="Times New Roman" w:eastAsia="宋体" w:cs="Times New Roman"/>
                <w:bCs/>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COD</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60</w:t>
            </w:r>
          </w:p>
        </w:tc>
        <w:tc>
          <w:tcPr>
            <w:tcW w:w="1188" w:type="dxa"/>
            <w:vAlign w:val="center"/>
          </w:tcPr>
          <w:p>
            <w:pPr>
              <w:pStyle w:val="4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19.9</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20</w:t>
            </w:r>
          </w:p>
        </w:tc>
        <w:tc>
          <w:tcPr>
            <w:tcW w:w="652"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96"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860" w:type="pct"/>
            <w:vAlign w:val="center"/>
          </w:tcPr>
          <w:p>
            <w:pPr>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NH</w:t>
            </w:r>
            <w:r>
              <w:rPr>
                <w:rFonts w:hint="default" w:ascii="Times New Roman" w:hAnsi="Times New Roman" w:eastAsia="宋体" w:cs="Times New Roman"/>
                <w:color w:val="000000" w:themeColor="text1"/>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highlight w:val="none"/>
                <w14:textFill>
                  <w14:solidFill>
                    <w14:schemeClr w14:val="tx1"/>
                  </w14:solidFill>
                </w14:textFill>
              </w:rPr>
              <w:t>-N</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2.5</w:t>
            </w:r>
          </w:p>
        </w:tc>
        <w:tc>
          <w:tcPr>
            <w:tcW w:w="1188" w:type="dxa"/>
            <w:vAlign w:val="center"/>
          </w:tcPr>
          <w:p>
            <w:pPr>
              <w:pStyle w:val="4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0.831</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652"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96"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860" w:type="pct"/>
            <w:vAlign w:val="center"/>
          </w:tcPr>
          <w:p>
            <w:pPr>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TP</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0.5</w:t>
            </w:r>
          </w:p>
        </w:tc>
        <w:tc>
          <w:tcPr>
            <w:tcW w:w="1188" w:type="dxa"/>
            <w:vAlign w:val="center"/>
          </w:tcPr>
          <w:p>
            <w:pPr>
              <w:pStyle w:val="4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0.166</w:t>
            </w:r>
          </w:p>
        </w:tc>
        <w:tc>
          <w:tcPr>
            <w:tcW w:w="768"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652"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Merge w:val="restar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固体</w:t>
            </w:r>
          </w:p>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废物</w:t>
            </w:r>
          </w:p>
        </w:tc>
        <w:tc>
          <w:tcPr>
            <w:tcW w:w="796" w:type="pct"/>
            <w:vMerge w:val="restar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污水处理车间</w:t>
            </w:r>
          </w:p>
        </w:tc>
        <w:tc>
          <w:tcPr>
            <w:tcW w:w="860"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废活性炭</w:t>
            </w:r>
          </w:p>
        </w:tc>
        <w:tc>
          <w:tcPr>
            <w:tcW w:w="1408"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1.0t/a</w:t>
            </w:r>
          </w:p>
        </w:tc>
        <w:tc>
          <w:tcPr>
            <w:tcW w:w="1421"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513"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796" w:type="pct"/>
            <w:vMerge w:val="continue"/>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p>
        </w:tc>
        <w:tc>
          <w:tcPr>
            <w:tcW w:w="860"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药剂废弃包装</w:t>
            </w:r>
          </w:p>
        </w:tc>
        <w:tc>
          <w:tcPr>
            <w:tcW w:w="1408" w:type="pct"/>
            <w:gridSpan w:val="2"/>
            <w:vAlign w:val="center"/>
          </w:tcPr>
          <w:p>
            <w:pPr>
              <w:pStyle w:val="40"/>
              <w:ind w:firstLine="0" w:firstLineChars="0"/>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0.005t/a</w:t>
            </w:r>
          </w:p>
        </w:tc>
        <w:tc>
          <w:tcPr>
            <w:tcW w:w="1421" w:type="pct"/>
            <w:gridSpan w:val="2"/>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796"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生产设备</w:t>
            </w:r>
          </w:p>
        </w:tc>
        <w:tc>
          <w:tcPr>
            <w:tcW w:w="860"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1408"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~85dB(A)</w:t>
            </w:r>
          </w:p>
        </w:tc>
        <w:tc>
          <w:tcPr>
            <w:tcW w:w="1421" w:type="pct"/>
            <w:gridSpan w:val="2"/>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厂界达标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3" w:type="pct"/>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其他</w:t>
            </w:r>
          </w:p>
        </w:tc>
        <w:tc>
          <w:tcPr>
            <w:tcW w:w="4486" w:type="pct"/>
            <w:gridSpan w:val="6"/>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000" w:type="pct"/>
            <w:gridSpan w:val="7"/>
            <w:vAlign w:val="center"/>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主要生态影响：</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1、施工期：本项目排水明渠的修建过程中会占用现有的天然排水沟壑，会造成沟壑中草丛植被的破坏，但是随着排水明渠的修建完成以及</w:t>
            </w:r>
            <w:r>
              <w:rPr>
                <w:rFonts w:hint="eastAsia" w:ascii="Times New Roman" w:hAnsi="Times New Roman" w:eastAsia="宋体" w:cs="Times New Roman"/>
                <w:snapToGrid w:val="0"/>
                <w:spacing w:val="4"/>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的生态措施，本项目施工期对生态造成的影响会随之消失。</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2、运营期：</w:t>
            </w:r>
            <w:r>
              <w:rPr>
                <w:rFonts w:hint="default" w:ascii="Times New Roman" w:hAnsi="Times New Roman" w:eastAsia="宋体" w:cs="Times New Roman"/>
                <w:color w:val="000000" w:themeColor="text1"/>
                <w:highlight w:val="none"/>
                <w14:textFill>
                  <w14:solidFill>
                    <w14:schemeClr w14:val="tx1"/>
                  </w14:solidFill>
                </w14:textFill>
              </w:rPr>
              <w:t>本项目为矿井水</w:t>
            </w:r>
            <w:r>
              <w:rPr>
                <w:rFonts w:hint="eastAsia" w:cs="Times New Roman"/>
                <w:color w:val="000000" w:themeColor="text1"/>
                <w:highlight w:val="none"/>
                <w:lang w:val="en-US" w:eastAsia="zh-CN"/>
                <w14:textFill>
                  <w14:solidFill>
                    <w14:schemeClr w14:val="tx1"/>
                  </w14:solidFill>
                </w14:textFill>
              </w:rPr>
              <w:t>提标改造</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无</w:t>
            </w:r>
            <w:r>
              <w:rPr>
                <w:rFonts w:hint="default" w:ascii="Times New Roman" w:hAnsi="Times New Roman" w:eastAsia="宋体" w:cs="Times New Roman"/>
                <w:color w:val="000000" w:themeColor="text1"/>
                <w:highlight w:val="none"/>
                <w14:textFill>
                  <w14:solidFill>
                    <w14:schemeClr w14:val="tx1"/>
                  </w14:solidFill>
                </w14:textFill>
              </w:rPr>
              <w:t>废气产生，矿井水处理后可以达到地表水</w:t>
            </w:r>
            <w:r>
              <w:rPr>
                <w:rFonts w:hint="eastAsia" w:cs="Times New Roman"/>
                <w:color w:val="000000" w:themeColor="text1"/>
                <w:highlight w:val="none"/>
                <w:lang w:eastAsia="zh-CN"/>
                <w14:textFill>
                  <w14:solidFill>
                    <w14:schemeClr w14:val="tx1"/>
                  </w14:solidFill>
                </w14:textFill>
              </w:rPr>
              <w:t>Ⅲ类</w:t>
            </w:r>
            <w:r>
              <w:rPr>
                <w:rFonts w:hint="default" w:ascii="Times New Roman" w:hAnsi="Times New Roman" w:eastAsia="宋体" w:cs="Times New Roman"/>
                <w:color w:val="000000" w:themeColor="text1"/>
                <w:highlight w:val="none"/>
                <w14:textFill>
                  <w14:solidFill>
                    <w14:schemeClr w14:val="tx1"/>
                  </w14:solidFill>
                </w14:textFill>
              </w:rPr>
              <w:t>标准，受纳水体为</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为Ⅳ类水体</w:t>
            </w:r>
            <w:r>
              <w:rPr>
                <w:rFonts w:hint="default" w:ascii="Times New Roman" w:hAnsi="Times New Roman" w:eastAsia="宋体" w:cs="Times New Roman"/>
                <w:color w:val="000000" w:themeColor="text1"/>
                <w:highlight w:val="none"/>
                <w14:textFill>
                  <w14:solidFill>
                    <w14:schemeClr w14:val="tx1"/>
                  </w14:solidFill>
                </w14:textFill>
              </w:rPr>
              <w:t>。项目在运营期</w:t>
            </w:r>
            <w:r>
              <w:rPr>
                <w:rFonts w:hint="eastAsia" w:cs="Times New Roman"/>
                <w:color w:val="000000" w:themeColor="text1"/>
                <w:highlight w:val="none"/>
                <w:lang w:val="en-US" w:eastAsia="zh-CN"/>
                <w14:textFill>
                  <w14:solidFill>
                    <w14:schemeClr w14:val="tx1"/>
                  </w14:solidFill>
                </w14:textFill>
              </w:rPr>
              <w:t>通过</w:t>
            </w:r>
            <w:r>
              <w:rPr>
                <w:rFonts w:hint="default" w:ascii="Times New Roman" w:hAnsi="Times New Roman" w:eastAsia="宋体" w:cs="Times New Roman"/>
                <w:color w:val="000000" w:themeColor="text1"/>
                <w:highlight w:val="none"/>
                <w14:textFill>
                  <w14:solidFill>
                    <w14:schemeClr w14:val="tx1"/>
                  </w14:solidFill>
                </w14:textFill>
              </w:rPr>
              <w:t>加强对生产设施的管理，保证各项设施正常运行，保证废水长期稳定达标排放，</w:t>
            </w:r>
            <w:r>
              <w:rPr>
                <w:rFonts w:hint="default" w:ascii="Times New Roman" w:hAnsi="Times New Roman" w:eastAsia="宋体" w:cs="Times New Roman"/>
                <w:bCs/>
                <w:color w:val="000000" w:themeColor="text1"/>
                <w:highlight w:val="none"/>
                <w:lang w:eastAsia="zh-CN"/>
                <w14:textFill>
                  <w14:solidFill>
                    <w14:schemeClr w14:val="tx1"/>
                  </w14:solidFill>
                </w14:textFill>
              </w:rPr>
              <w:t>本项目排污口上游的大沙沟的流量为</w:t>
            </w:r>
            <w:r>
              <w:rPr>
                <w:rFonts w:hint="eastAsia" w:cs="Times New Roman"/>
                <w:bCs/>
                <w:color w:val="000000" w:themeColor="text1"/>
                <w:highlight w:val="none"/>
                <w:lang w:val="en-US" w:eastAsia="zh-CN"/>
                <w14:textFill>
                  <w14:solidFill>
                    <w14:schemeClr w14:val="tx1"/>
                  </w14:solidFill>
                </w14:textFill>
              </w:rPr>
              <w:t>0.463</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r>
              <w:rPr>
                <w:rFonts w:hint="default" w:ascii="Times New Roman" w:hAnsi="Times New Roman" w:eastAsia="宋体" w:cs="Times New Roman"/>
                <w:color w:val="000000" w:themeColor="text1"/>
                <w:highlight w:val="none"/>
                <w:lang w:eastAsia="zh-CN"/>
                <w14:textFill>
                  <w14:solidFill>
                    <w14:schemeClr w14:val="tx1"/>
                  </w14:solidFill>
                </w14:textFill>
              </w:rPr>
              <w:t>，水深为</w:t>
            </w:r>
            <w:r>
              <w:rPr>
                <w:rFonts w:hint="eastAsia" w:cs="Times New Roman"/>
                <w:color w:val="000000" w:themeColor="text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m，排污口下游汇入的源子河的</w:t>
            </w:r>
            <w:r>
              <w:rPr>
                <w:rFonts w:hint="default" w:ascii="Times New Roman" w:hAnsi="Times New Roman" w:eastAsia="宋体" w:cs="Times New Roman"/>
                <w:bCs/>
                <w:color w:val="000000" w:themeColor="text1"/>
                <w:highlight w:val="none"/>
                <w:lang w:eastAsia="zh-CN"/>
                <w14:textFill>
                  <w14:solidFill>
                    <w14:schemeClr w14:val="tx1"/>
                  </w14:solidFill>
                </w14:textFill>
              </w:rPr>
              <w:t>流量为</w:t>
            </w:r>
            <w:r>
              <w:rPr>
                <w:rFonts w:hint="eastAsia" w:cs="Times New Roman"/>
                <w:bCs/>
                <w:color w:val="000000" w:themeColor="text1"/>
                <w:highlight w:val="none"/>
                <w:lang w:val="en-US" w:eastAsia="zh-CN"/>
                <w14:textFill>
                  <w14:solidFill>
                    <w14:schemeClr w14:val="tx1"/>
                  </w14:solidFill>
                </w14:textFill>
              </w:rPr>
              <w:t>0.415</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r>
              <w:rPr>
                <w:rFonts w:hint="default" w:ascii="Times New Roman" w:hAnsi="Times New Roman" w:eastAsia="宋体" w:cs="Times New Roman"/>
                <w:color w:val="000000" w:themeColor="text1"/>
                <w:highlight w:val="none"/>
                <w:lang w:eastAsia="zh-CN"/>
                <w14:textFill>
                  <w14:solidFill>
                    <w14:schemeClr w14:val="tx1"/>
                  </w14:solidFill>
                </w14:textFill>
              </w:rPr>
              <w:t>，水深为</w:t>
            </w:r>
            <w:r>
              <w:rPr>
                <w:rFonts w:hint="eastAsia" w:cs="Times New Roman"/>
                <w:color w:val="000000" w:themeColor="text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lang w:eastAsia="zh-CN"/>
                <w14:textFill>
                  <w14:solidFill>
                    <w14:schemeClr w14:val="tx1"/>
                  </w14:solidFill>
                </w14:textFill>
              </w:rPr>
              <w:t>本项目日排水量最大为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0.0025</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/s，约占大沙沟、源子河的水流量的0.</w:t>
            </w:r>
            <w:r>
              <w:rPr>
                <w:rFonts w:hint="eastAsia" w:cs="Times New Roman"/>
                <w:color w:val="000000" w:themeColor="text1"/>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%左右，占比很小，影响小，且本项目外排水为Ⅲ类水质，大沙沟和源子河执行Ⅳ类水质标准，</w:t>
            </w:r>
            <w:r>
              <w:rPr>
                <w:rFonts w:hint="default" w:ascii="Times New Roman" w:hAnsi="Times New Roman" w:eastAsia="宋体" w:cs="Times New Roman"/>
                <w:color w:val="000000" w:themeColor="text1"/>
                <w:highlight w:val="none"/>
                <w14:textFill>
                  <w14:solidFill>
                    <w14:schemeClr w14:val="tx1"/>
                  </w14:solidFill>
                </w14:textFill>
              </w:rPr>
              <w:t>外排矿井水</w:t>
            </w:r>
            <w:r>
              <w:rPr>
                <w:rFonts w:hint="eastAsia" w:cs="Times New Roman"/>
                <w:color w:val="000000" w:themeColor="text1"/>
                <w:highlight w:val="none"/>
                <w:lang w:val="en-US" w:eastAsia="zh-CN"/>
                <w14:textFill>
                  <w14:solidFill>
                    <w14:schemeClr w14:val="tx1"/>
                  </w14:solidFill>
                </w14:textFill>
              </w:rPr>
              <w:t>不会对水生生态造成影响</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并且</w:t>
            </w:r>
            <w:r>
              <w:rPr>
                <w:rFonts w:hint="eastAsia" w:cs="Times New Roman"/>
                <w:color w:val="000000" w:themeColor="text1"/>
                <w:highlight w:val="none"/>
                <w:lang w:val="en-US" w:eastAsia="zh-CN"/>
                <w14:textFill>
                  <w14:solidFill>
                    <w14:schemeClr w14:val="tx1"/>
                  </w14:solidFill>
                </w14:textFill>
              </w:rPr>
              <w:t>会对大沙沟的水体流量起到一定的补充，</w:t>
            </w:r>
            <w:r>
              <w:rPr>
                <w:rFonts w:hint="default" w:ascii="Times New Roman" w:hAnsi="Times New Roman" w:eastAsia="宋体" w:cs="Times New Roman"/>
                <w:color w:val="000000" w:themeColor="text1"/>
                <w:highlight w:val="none"/>
                <w14:textFill>
                  <w14:solidFill>
                    <w14:schemeClr w14:val="tx1"/>
                  </w14:solidFill>
                </w14:textFill>
              </w:rPr>
              <w:t>对当地</w:t>
            </w:r>
            <w:r>
              <w:rPr>
                <w:rFonts w:hint="default" w:ascii="Times New Roman" w:hAnsi="Times New Roman" w:eastAsia="宋体" w:cs="Times New Roman"/>
                <w:color w:val="000000" w:themeColor="text1"/>
                <w:highlight w:val="none"/>
                <w:lang w:eastAsia="zh-CN"/>
                <w14:textFill>
                  <w14:solidFill>
                    <w14:schemeClr w14:val="tx1"/>
                  </w14:solidFill>
                </w14:textFill>
              </w:rPr>
              <w:t>水</w:t>
            </w:r>
            <w:r>
              <w:rPr>
                <w:rFonts w:hint="default" w:ascii="Times New Roman" w:hAnsi="Times New Roman" w:eastAsia="宋体" w:cs="Times New Roman"/>
                <w:color w:val="000000" w:themeColor="text1"/>
                <w:highlight w:val="none"/>
                <w14:textFill>
                  <w14:solidFill>
                    <w14:schemeClr w14:val="tx1"/>
                  </w14:solidFill>
                </w14:textFill>
              </w:rPr>
              <w:t>环境</w:t>
            </w:r>
            <w:r>
              <w:rPr>
                <w:rFonts w:hint="default" w:ascii="Times New Roman" w:hAnsi="Times New Roman" w:eastAsia="宋体" w:cs="Times New Roman"/>
                <w:color w:val="000000" w:themeColor="text1"/>
                <w:highlight w:val="none"/>
                <w:lang w:eastAsia="zh-CN"/>
                <w14:textFill>
                  <w14:solidFill>
                    <w14:schemeClr w14:val="tx1"/>
                  </w14:solidFill>
                </w14:textFill>
              </w:rPr>
              <w:t>起正面影响</w:t>
            </w:r>
            <w:r>
              <w:rPr>
                <w:rFonts w:hint="default" w:ascii="Times New Roman" w:hAnsi="Times New Roman" w:eastAsia="宋体" w:cs="Times New Roman"/>
                <w:color w:val="000000" w:themeColor="text1"/>
                <w:highlight w:val="none"/>
                <w14:textFill>
                  <w14:solidFill>
                    <w14:schemeClr w14:val="tx1"/>
                  </w14:solidFill>
                </w14:textFill>
              </w:rPr>
              <w:t>。</w:t>
            </w: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482"/>
              <w:rPr>
                <w:rFonts w:hint="default" w:ascii="Times New Roman" w:hAnsi="Times New Roman" w:eastAsia="宋体" w:cs="Times New Roman"/>
                <w:b/>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b/>
                <w:color w:val="000000" w:themeColor="text1"/>
                <w:highlight w:val="red"/>
                <w14:textFill>
                  <w14:solidFill>
                    <w14:schemeClr w14:val="tx1"/>
                  </w14:solidFill>
                </w14:textFill>
              </w:rPr>
            </w:pPr>
          </w:p>
        </w:tc>
      </w:tr>
    </w:tbl>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七、</w:t>
      </w:r>
      <w:r>
        <w:rPr>
          <w:rFonts w:hint="default" w:ascii="Times New Roman" w:hAnsi="Times New Roman" w:eastAsia="宋体" w:cs="Times New Roman"/>
          <w:color w:val="000000" w:themeColor="text1"/>
          <w:highlight w:val="none"/>
          <w14:textFill>
            <w14:solidFill>
              <w14:schemeClr w14:val="tx1"/>
            </w14:solidFill>
          </w14:textFill>
        </w:rPr>
        <w:t>环境影响分析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000" w:type="pct"/>
            <w:tcBorders>
              <w:bottom w:val="single" w:color="auto" w:sz="4" w:space="0"/>
            </w:tcBorders>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施工期环境影响分析：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本项目施工活动主要为设备安装和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明渠的硬化</w:t>
            </w:r>
            <w:r>
              <w:rPr>
                <w:rFonts w:hint="default" w:ascii="Times New Roman" w:hAnsi="Times New Roman" w:eastAsia="宋体" w:cs="Times New Roman"/>
                <w:color w:val="000000" w:themeColor="text1"/>
                <w:highlight w:val="none"/>
                <w14:textFill>
                  <w14:solidFill>
                    <w14:schemeClr w14:val="tx1"/>
                  </w14:solidFill>
                </w14:textFill>
              </w:rPr>
              <w:t>等影响。相对于生产运营期来说，施工期较短，随着施工期的结束，施工期污染源也随之消失。故施工期各污染物排放对环境的影响是短期可逆的。</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山西省打赢蓝天保卫战2019年行动计划》（晋政办发〔2019〕39号）中关于施工扬尘管控：要求建设单位应当在施工工地公示扬尘污染防治措施、负责人、扬尘监督管理主管部门等信息，确保做到工地周边围挡、物料堆放覆盖、土方挖开湿法作业、路面硬化、出入车辆清洗、渣土车辆密闭运输。实施建筑施工全过程控制：确保建筑施工扬尘达到“6个100%”，即工地周边100%围挡、物料堆放100%覆盖、出入车辆100%冲洗、施工现场地面100%硬化、拆迁工地100%湿法作业、渣土车辆100%密闭运输。</w:t>
            </w:r>
          </w:p>
          <w:p>
            <w:pPr>
              <w:pStyle w:val="115"/>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1、大气环境影响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项目施工期间，对大气环境产生影响的环节主要有：①</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明渠修建</w:t>
            </w:r>
            <w:r>
              <w:rPr>
                <w:rFonts w:hint="default" w:ascii="Times New Roman" w:hAnsi="Times New Roman" w:eastAsia="宋体" w:cs="Times New Roman"/>
                <w:color w:val="000000" w:themeColor="text1"/>
                <w:highlight w:val="none"/>
                <w14:textFill>
                  <w14:solidFill>
                    <w14:schemeClr w14:val="tx1"/>
                  </w14:solidFill>
                </w14:textFill>
              </w:rPr>
              <w:t>开挖回填、清运、场地平整、临时堆土在大风的情况下产生的扬尘污染。②道路运输扬尘；③施工机械设备、运输车辆等排放的尾气对环境也会造成一定的影响，属间歇或流动性污染源。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针对上述各污染产生环节，评价要求采取以下措施：</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明渠修建</w:t>
            </w:r>
            <w:r>
              <w:rPr>
                <w:rFonts w:hint="default" w:ascii="Times New Roman" w:hAnsi="Times New Roman" w:eastAsia="宋体" w:cs="Times New Roman"/>
                <w:color w:val="000000" w:themeColor="text1"/>
                <w:highlight w:val="none"/>
                <w14:textFill>
                  <w14:solidFill>
                    <w14:schemeClr w14:val="tx1"/>
                  </w14:solidFill>
                </w14:textFill>
              </w:rPr>
              <w:t>开挖时，对作业面和土堆适当洒水，使其保持一定湿度，以减少扬尘量；</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明渠修建</w:t>
            </w:r>
            <w:r>
              <w:rPr>
                <w:rFonts w:hint="default" w:ascii="Times New Roman" w:hAnsi="Times New Roman" w:eastAsia="宋体" w:cs="Times New Roman"/>
                <w:color w:val="000000" w:themeColor="text1"/>
                <w:highlight w:val="none"/>
                <w14:textFill>
                  <w14:solidFill>
                    <w14:schemeClr w14:val="tx1"/>
                  </w14:solidFill>
                </w14:textFill>
              </w:rPr>
              <w:t>开挖土方应有计划地堆置在现场，且要及时回填；回填土方要及时碾压，临时堆土需对其进行覆盖，防止风蚀起尘；大风天气不得进行挖掘土方作业等；对施工场地内裸露的地面，也应经常洒水防止扬尘。</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②易产生扬尘的物料应堆放在简易棚内，或用蓬布遮盖，不得露天堆放；在棚内卸车并尽可能轻装慢卸，遇大风天气时停止装卸作业。</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运输散装物料的车辆应控制装车量、不得超载、并用篷布盖严以减少抛洒；车辆运输过程中要限速行驶，尤其是从居民区经过时更要减速慢行；对施工现场及附近路段车辆来往抛撒下来的的灰土要及时清扫干净，严格按交管部门划定的路线行驶；减少车辆怠速时间，以减少机动车尾气的排放量；施工过程中严禁将废弃的建筑材料焚烧。</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在采取上述措施后，可将施工期间大气污染物（主要是扬尘）排放对周围环境的影响程度降低至最小。</w:t>
            </w:r>
          </w:p>
          <w:p>
            <w:pPr>
              <w:pStyle w:val="115"/>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2、声环境影响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本项目施工期噪声影响为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明渠修建</w:t>
            </w:r>
            <w:r>
              <w:rPr>
                <w:rFonts w:hint="default" w:ascii="Times New Roman" w:hAnsi="Times New Roman" w:eastAsia="宋体" w:cs="Times New Roman"/>
                <w:color w:val="000000" w:themeColor="text1"/>
                <w:highlight w:val="none"/>
                <w14:textFill>
                  <w14:solidFill>
                    <w14:schemeClr w14:val="tx1"/>
                  </w14:solidFill>
                </w14:textFill>
              </w:rPr>
              <w:t>施工时的噪声，主要是推土机、挖掘机等。矿井水改造项目施工期噪声主要是一些小型机修机械作业噪声，不涉及大型机械设备，噪声强度约75-90dB（A），由此产生的噪声对周围环境有一定的影响。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本项目施工均在昼间作业，为避免施工过程对周围环境产生不利影响，建设单位要严格按照本环评提出的噪声污染防治措施，尽量减小施工噪声对周围环境影响。采取的噪声控制措施如下：</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严格操作规程，加强施工机械管理，降低人为噪声影响。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采取有效的隔声、减振措施，降低噪声级。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经以上措施，可有效降低施工期产生的噪声，对周围声环境的影响较小。并且施工期噪声影响是一定时间、一定范围的，随着施工期的结束，噪声影响也随之消失。</w:t>
            </w:r>
          </w:p>
          <w:p>
            <w:pPr>
              <w:pStyle w:val="115"/>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3、水环境影响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期废水主要来自车辆和设备冲洗等产生的施工废水及施工人员产生的生活污水。其中设备冲洗过程中中跑、冒、滴、漏溢流水仅含有少量的泥沙，不含其他杂质。施工生活污水所含污染物主要为COD、BOD及SS等，但产生量很少。</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为避免施工过程中产生的废水对地表水造成不良影响，评价要求施工过程中产生的废水要进行严格控制和管理，设施工废水防渗收集池，要求施工废水处理后全部回用于施工场地洒水抑尘或绿化用水，不外排；施工人员生活污水依托矿区生活污水处理站处理后回用。因此矿井水处理达地表水</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III</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类改造工程施工不会对区域水环境造成不良影响。</w:t>
            </w:r>
          </w:p>
          <w:p>
            <w:pPr>
              <w:pStyle w:val="115"/>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4、固体废弃物影响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施工期产生的固体废物主要为建筑垃圾和生活垃圾等。</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明渠修建</w:t>
            </w:r>
            <w:r>
              <w:rPr>
                <w:rFonts w:hint="default" w:ascii="Times New Roman" w:hAnsi="Times New Roman" w:eastAsia="宋体" w:cs="Times New Roman"/>
                <w:color w:val="000000" w:themeColor="text1"/>
                <w:highlight w:val="none"/>
                <w14:textFill>
                  <w14:solidFill>
                    <w14:schemeClr w14:val="tx1"/>
                  </w14:solidFill>
                </w14:textFill>
              </w:rPr>
              <w:t>工程挖填方基本平衡。矿井水处理站内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主要为设备安装，基本不涉及土方作业，因此本项目</w:t>
            </w:r>
            <w:r>
              <w:rPr>
                <w:rFonts w:hint="default" w:ascii="Times New Roman" w:hAnsi="Times New Roman" w:eastAsia="宋体" w:cs="Times New Roman"/>
                <w:color w:val="000000" w:themeColor="text1"/>
                <w:highlight w:val="none"/>
                <w14:textFill>
                  <w14:solidFill>
                    <w14:schemeClr w14:val="tx1"/>
                  </w14:solidFill>
                </w14:textFill>
              </w:rPr>
              <w:t>不再单设弃土场，以免二次污染。</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对施工期产生的不能回收处理的废弃建筑材料，应及时清运，为防止运输过程垃圾遗撒，运输时应采用封盖、防风措施。</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生活垃圾同矿区其它生活垃圾统一收集处理。</w:t>
            </w:r>
          </w:p>
          <w:p>
            <w:pPr>
              <w:pStyle w:val="115"/>
              <w:ind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5、施工期生态环境影响</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根据《环境影响评价技术导则 生态影响》（HJ19-2011），本项目占地面积约</w:t>
            </w:r>
            <w:r>
              <w:rPr>
                <w:rFonts w:hint="eastAsia" w:ascii="Times New Roman" w:hAnsi="Times New Roman" w:eastAsia="宋体" w:cs="Times New Roman"/>
                <w:snapToGrid w:val="0"/>
                <w:kern w:val="0"/>
                <w:sz w:val="24"/>
                <w:szCs w:val="24"/>
                <w:highlight w:val="none"/>
                <w:lang w:val="en-US" w:eastAsia="zh-CN" w:bidi="ar-SA"/>
              </w:rPr>
              <w:t>0.001</w:t>
            </w:r>
            <w:r>
              <w:rPr>
                <w:rFonts w:hint="default" w:ascii="Times New Roman" w:hAnsi="Times New Roman" w:eastAsia="宋体" w:cs="Times New Roman"/>
                <w:snapToGrid w:val="0"/>
                <w:kern w:val="0"/>
                <w:sz w:val="24"/>
                <w:szCs w:val="24"/>
                <w:highlight w:val="none"/>
                <w:lang w:val="en-US" w:eastAsia="zh-CN" w:bidi="ar-SA"/>
              </w:rPr>
              <w:t>km</w:t>
            </w:r>
            <w:r>
              <w:rPr>
                <w:rFonts w:hint="default" w:ascii="Times New Roman" w:hAnsi="Times New Roman" w:eastAsia="宋体" w:cs="Times New Roman"/>
                <w:snapToGrid w:val="0"/>
                <w:kern w:val="0"/>
                <w:sz w:val="24"/>
                <w:szCs w:val="24"/>
                <w:highlight w:val="none"/>
                <w:vertAlign w:val="superscript"/>
                <w:lang w:val="en-US" w:eastAsia="zh-CN" w:bidi="ar-SA"/>
              </w:rPr>
              <w:t>2</w:t>
            </w:r>
            <w:r>
              <w:rPr>
                <w:rFonts w:hint="default" w:ascii="Times New Roman" w:hAnsi="Times New Roman" w:eastAsia="宋体" w:cs="Times New Roman"/>
                <w:snapToGrid w:val="0"/>
                <w:kern w:val="0"/>
                <w:sz w:val="24"/>
                <w:szCs w:val="24"/>
                <w:highlight w:val="none"/>
                <w:lang w:val="en-US" w:eastAsia="zh-CN" w:bidi="ar-SA"/>
              </w:rPr>
              <w:t>，小于2km</w:t>
            </w:r>
            <w:r>
              <w:rPr>
                <w:rFonts w:hint="default" w:ascii="Times New Roman" w:hAnsi="Times New Roman" w:eastAsia="宋体" w:cs="Times New Roman"/>
                <w:snapToGrid w:val="0"/>
                <w:kern w:val="0"/>
                <w:sz w:val="24"/>
                <w:szCs w:val="24"/>
                <w:highlight w:val="none"/>
                <w:vertAlign w:val="superscript"/>
                <w:lang w:val="en-US" w:eastAsia="zh-CN" w:bidi="ar-SA"/>
              </w:rPr>
              <w:t>2</w:t>
            </w:r>
            <w:r>
              <w:rPr>
                <w:rFonts w:hint="default" w:ascii="Times New Roman" w:hAnsi="Times New Roman" w:eastAsia="宋体" w:cs="Times New Roman"/>
                <w:snapToGrid w:val="0"/>
                <w:kern w:val="0"/>
                <w:sz w:val="24"/>
                <w:szCs w:val="24"/>
                <w:highlight w:val="none"/>
                <w:lang w:val="en-US" w:eastAsia="zh-CN" w:bidi="ar-SA"/>
              </w:rPr>
              <w:t>，根据水利部办公厅关于印发《全国水土保持规划国家级水土流失重点预防区和重点治理区复核划分成果》（办水保﹝2013﹞188号）的通知规定，本项目所在地为山西省“永定河上游水土流失重点治理区”，属于重要生态敏感区，因此确定本项目生态环境影响评价为三级评价。</w:t>
            </w:r>
          </w:p>
          <w:p>
            <w:pPr>
              <w:widowControl w:val="0"/>
              <w:adjustRightInd w:val="0"/>
              <w:snapToGrid w:val="0"/>
              <w:spacing w:before="156" w:beforeLines="50" w:line="240" w:lineRule="auto"/>
              <w:ind w:firstLine="0"/>
              <w:jc w:val="center"/>
              <w:outlineLvl w:val="9"/>
              <w:rPr>
                <w:rFonts w:hint="default" w:ascii="Times New Roman" w:hAnsi="Times New Roman" w:eastAsia="宋体" w:cs="Times New Roman"/>
                <w:b/>
                <w:bCs/>
                <w:snapToGrid w:val="0"/>
                <w:spacing w:val="0"/>
                <w:kern w:val="0"/>
                <w:sz w:val="24"/>
                <w:szCs w:val="24"/>
                <w:highlight w:val="none"/>
                <w:lang w:val="en-US" w:eastAsia="zh-CN" w:bidi="ar-SA"/>
              </w:rPr>
            </w:pPr>
            <w:r>
              <w:rPr>
                <w:rFonts w:hint="default" w:ascii="Times New Roman" w:hAnsi="Times New Roman" w:eastAsia="宋体" w:cs="Times New Roman"/>
                <w:b/>
                <w:bCs/>
                <w:snapToGrid w:val="0"/>
                <w:spacing w:val="0"/>
                <w:kern w:val="0"/>
                <w:sz w:val="24"/>
                <w:szCs w:val="24"/>
                <w:highlight w:val="none"/>
                <w:lang w:val="en-US" w:eastAsia="zh-CN" w:bidi="ar-SA"/>
              </w:rPr>
              <w:t>表</w:t>
            </w:r>
            <w:r>
              <w:rPr>
                <w:rFonts w:hint="eastAsia" w:ascii="Times New Roman" w:hAnsi="Times New Roman" w:eastAsia="宋体" w:cs="Times New Roman"/>
                <w:b/>
                <w:bCs/>
                <w:snapToGrid w:val="0"/>
                <w:spacing w:val="0"/>
                <w:kern w:val="0"/>
                <w:sz w:val="24"/>
                <w:szCs w:val="24"/>
                <w:highlight w:val="none"/>
                <w:lang w:val="en-US" w:eastAsia="zh-CN" w:bidi="ar-SA"/>
              </w:rPr>
              <w:t>7-1</w:t>
            </w:r>
            <w:r>
              <w:rPr>
                <w:rFonts w:hint="default" w:ascii="Times New Roman" w:hAnsi="Times New Roman" w:eastAsia="宋体" w:cs="Times New Roman"/>
                <w:b/>
                <w:bCs/>
                <w:snapToGrid w:val="0"/>
                <w:spacing w:val="0"/>
                <w:kern w:val="0"/>
                <w:sz w:val="24"/>
                <w:szCs w:val="24"/>
                <w:highlight w:val="none"/>
                <w:lang w:val="en-US" w:eastAsia="zh-CN" w:bidi="ar-SA"/>
              </w:rPr>
              <w:t xml:space="preserve">    生态评价等级</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2205"/>
              <w:gridCol w:w="2234"/>
              <w:gridCol w:w="2281"/>
              <w:gridCol w:w="222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影响区域生态敏感性</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工程占地（水域）范围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p>
              </w:tc>
              <w:tc>
                <w:tcPr>
                  <w:tcW w:w="2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面积≥20km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或长度≥100km</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面积2km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~20km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或长度50km~100km</w:t>
                  </w:r>
                </w:p>
              </w:tc>
              <w:tc>
                <w:tcPr>
                  <w:tcW w:w="22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面积≤2km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或长度≤50km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特殊生态敏感区</w:t>
                  </w:r>
                </w:p>
              </w:tc>
              <w:tc>
                <w:tcPr>
                  <w:tcW w:w="2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一级</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一级</w:t>
                  </w:r>
                </w:p>
              </w:tc>
              <w:tc>
                <w:tcPr>
                  <w:tcW w:w="22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一级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重要生态敏感区</w:t>
                  </w:r>
                </w:p>
              </w:tc>
              <w:tc>
                <w:tcPr>
                  <w:tcW w:w="2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一级</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二级</w:t>
                  </w:r>
                </w:p>
              </w:tc>
              <w:tc>
                <w:tcPr>
                  <w:tcW w:w="22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一般区域</w:t>
                  </w:r>
                </w:p>
              </w:tc>
              <w:tc>
                <w:tcPr>
                  <w:tcW w:w="2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二级</w:t>
                  </w:r>
                </w:p>
              </w:tc>
              <w:tc>
                <w:tcPr>
                  <w:tcW w:w="22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三级</w:t>
                  </w:r>
                </w:p>
              </w:tc>
              <w:tc>
                <w:tcPr>
                  <w:tcW w:w="22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2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本项目</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snapToGrid w:val="0"/>
                      <w:kern w:val="0"/>
                      <w:sz w:val="21"/>
                      <w:szCs w:val="21"/>
                      <w:highlight w:val="none"/>
                      <w:lang w:val="en-US" w:eastAsia="zh-CN" w:bidi="ar-SA"/>
                    </w:rPr>
                    <w:t>工程占地范围</w:t>
                  </w:r>
                  <w:r>
                    <w:rPr>
                      <w:rFonts w:hint="eastAsia" w:ascii="Times New Roman" w:hAnsi="Times New Roman" w:eastAsia="宋体" w:cs="Times New Roman"/>
                      <w:snapToGrid w:val="0"/>
                      <w:kern w:val="0"/>
                      <w:sz w:val="21"/>
                      <w:szCs w:val="21"/>
                      <w:highlight w:val="none"/>
                      <w:lang w:val="en-US" w:eastAsia="zh-CN" w:bidi="ar-SA"/>
                    </w:rPr>
                    <w:t>0.001</w:t>
                  </w:r>
                  <w:r>
                    <w:rPr>
                      <w:rFonts w:hint="default" w:ascii="Times New Roman" w:hAnsi="Times New Roman" w:eastAsia="宋体" w:cs="Times New Roman"/>
                      <w:snapToGrid w:val="0"/>
                      <w:kern w:val="0"/>
                      <w:sz w:val="21"/>
                      <w:szCs w:val="21"/>
                      <w:highlight w:val="none"/>
                      <w:lang w:val="en-US" w:eastAsia="zh-CN" w:bidi="ar-SA"/>
                    </w:rPr>
                    <w:t>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＜2km</w:t>
                  </w:r>
                  <w:r>
                    <w:rPr>
                      <w:rFonts w:hint="default" w:ascii="Times New Roman" w:hAnsi="Times New Roman" w:eastAsia="宋体" w:cs="Times New Roman"/>
                      <w:snapToGrid w:val="0"/>
                      <w:kern w:val="0"/>
                      <w:sz w:val="21"/>
                      <w:szCs w:val="21"/>
                      <w:highlight w:val="none"/>
                      <w:vertAlign w:val="superscript"/>
                      <w:lang w:val="en-US" w:eastAsia="zh-CN" w:bidi="ar-SA"/>
                    </w:rPr>
                    <w:t>2</w:t>
                  </w:r>
                  <w:r>
                    <w:rPr>
                      <w:rFonts w:hint="default" w:ascii="Times New Roman" w:hAnsi="Times New Roman" w:eastAsia="宋体" w:cs="Times New Roman"/>
                      <w:snapToGrid w:val="0"/>
                      <w:kern w:val="0"/>
                      <w:sz w:val="21"/>
                      <w:szCs w:val="21"/>
                      <w:highlight w:val="none"/>
                      <w:lang w:val="en-US" w:eastAsia="zh-CN" w:bidi="ar-SA"/>
                    </w:rPr>
                    <w:t>，工程影响区域属于重要生态敏感区，因此，本项目评价等级为三级</w:t>
                  </w:r>
                </w:p>
              </w:tc>
            </w:tr>
          </w:tbl>
          <w:p>
            <w:pPr>
              <w:kinsoku w:val="0"/>
              <w:overflowPunct w:val="0"/>
              <w:spacing w:line="480" w:lineRule="exact"/>
              <w:ind w:firstLine="480" w:firstLineChars="200"/>
              <w:rPr>
                <w:rFonts w:hint="default" w:ascii="Times New Roman" w:hAnsi="Times New Roman" w:eastAsia="宋体" w:cs="Times New Roman"/>
                <w:b w:val="0"/>
                <w:bCs/>
                <w:szCs w:val="24"/>
                <w:highlight w:val="none"/>
              </w:rPr>
            </w:pPr>
            <w:r>
              <w:rPr>
                <w:rFonts w:hint="default" w:ascii="Times New Roman" w:hAnsi="Times New Roman" w:eastAsia="宋体" w:cs="Times New Roman"/>
                <w:b w:val="0"/>
                <w:bCs/>
                <w:szCs w:val="24"/>
                <w:highlight w:val="none"/>
              </w:rPr>
              <w:t>根据《环境影响评价技术导则·生态影响》（HJ19-2011）中对评价范围的规定：生态影响评价应能够充分体现生态完整性，涵盖评价项目全部活动的直接和间接影响区域。评价工作范围应依据评价项目对生态因子的影响方式、影响程度和生态因子之间的相互影响和相互依存关系确定。综合考虑本项目施工期影响，确定本项目生态环境影响评价范围为项目</w:t>
            </w:r>
            <w:r>
              <w:rPr>
                <w:rFonts w:hint="eastAsia" w:cs="Times New Roman"/>
                <w:b w:val="0"/>
                <w:bCs/>
                <w:szCs w:val="24"/>
                <w:highlight w:val="none"/>
                <w:lang w:eastAsia="zh-CN"/>
              </w:rPr>
              <w:t>明渠占地</w:t>
            </w:r>
            <w:r>
              <w:rPr>
                <w:rFonts w:hint="default" w:ascii="Times New Roman" w:hAnsi="Times New Roman" w:eastAsia="宋体" w:cs="Times New Roman"/>
                <w:b w:val="0"/>
                <w:bCs/>
                <w:szCs w:val="24"/>
                <w:highlight w:val="none"/>
              </w:rPr>
              <w:t>外扩500m范围内。</w:t>
            </w:r>
          </w:p>
          <w:p>
            <w:pPr>
              <w:kinsoku w:val="0"/>
              <w:overflowPunct w:val="0"/>
              <w:spacing w:line="480" w:lineRule="exact"/>
              <w:ind w:firstLine="482" w:firstLineChars="200"/>
              <w:rPr>
                <w:rFonts w:hint="default" w:ascii="Times New Roman" w:hAnsi="Times New Roman" w:eastAsia="宋体" w:cs="Times New Roman"/>
                <w:b/>
                <w:szCs w:val="24"/>
                <w:highlight w:val="none"/>
              </w:rPr>
            </w:pPr>
            <w:r>
              <w:rPr>
                <w:rFonts w:hint="default" w:ascii="Times New Roman" w:hAnsi="Times New Roman" w:eastAsia="宋体" w:cs="Times New Roman"/>
                <w:b/>
                <w:szCs w:val="24"/>
                <w:highlight w:val="none"/>
              </w:rPr>
              <w:t>1</w:t>
            </w:r>
            <w:r>
              <w:rPr>
                <w:rFonts w:hint="eastAsia" w:ascii="Times New Roman" w:hAnsi="Times New Roman" w:eastAsia="宋体" w:cs="Times New Roman"/>
                <w:b/>
                <w:szCs w:val="24"/>
                <w:highlight w:val="none"/>
                <w:lang w:eastAsia="zh-CN"/>
              </w:rPr>
              <w:t>）</w:t>
            </w:r>
            <w:r>
              <w:rPr>
                <w:rFonts w:hint="eastAsia" w:ascii="Times New Roman" w:hAnsi="Times New Roman" w:eastAsia="宋体" w:cs="Times New Roman"/>
                <w:b/>
                <w:szCs w:val="24"/>
                <w:highlight w:val="none"/>
                <w:lang w:val="en-US" w:eastAsia="zh-CN"/>
              </w:rPr>
              <w:t>明渠</w:t>
            </w:r>
            <w:r>
              <w:rPr>
                <w:rFonts w:hint="default" w:ascii="Times New Roman" w:hAnsi="Times New Roman" w:eastAsia="宋体" w:cs="Times New Roman"/>
                <w:b/>
                <w:spacing w:val="4"/>
                <w:szCs w:val="24"/>
                <w:highlight w:val="none"/>
              </w:rPr>
              <w:t>占地对</w:t>
            </w:r>
            <w:r>
              <w:rPr>
                <w:rFonts w:hint="default" w:ascii="Times New Roman" w:hAnsi="Times New Roman" w:eastAsia="宋体" w:cs="Times New Roman"/>
                <w:b/>
                <w:spacing w:val="4"/>
                <w:szCs w:val="24"/>
                <w:highlight w:val="none"/>
                <w:lang w:eastAsia="zh-CN"/>
              </w:rPr>
              <w:t>地形地貌</w:t>
            </w:r>
            <w:r>
              <w:rPr>
                <w:rFonts w:hint="default" w:ascii="Times New Roman" w:hAnsi="Times New Roman" w:eastAsia="宋体" w:cs="Times New Roman"/>
                <w:b/>
                <w:spacing w:val="4"/>
                <w:szCs w:val="24"/>
                <w:highlight w:val="none"/>
              </w:rPr>
              <w:t>影响分析</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拟选</w:t>
            </w:r>
            <w:r>
              <w:rPr>
                <w:rFonts w:hint="eastAsia" w:ascii="Times New Roman" w:hAnsi="Times New Roman" w:eastAsia="宋体" w:cs="Times New Roman"/>
                <w:snapToGrid w:val="0"/>
                <w:kern w:val="0"/>
                <w:sz w:val="24"/>
                <w:szCs w:val="24"/>
                <w:highlight w:val="none"/>
                <w:lang w:val="en-US" w:eastAsia="zh-CN" w:bidi="ar-SA"/>
              </w:rPr>
              <w:t>排水明渠现状为一自然排水沟壑</w:t>
            </w:r>
            <w:r>
              <w:rPr>
                <w:rFonts w:hint="default" w:ascii="Times New Roman" w:hAnsi="Times New Roman" w:eastAsia="宋体" w:cs="Times New Roman"/>
                <w:snapToGrid w:val="0"/>
                <w:kern w:val="0"/>
                <w:sz w:val="24"/>
                <w:szCs w:val="24"/>
                <w:highlight w:val="none"/>
                <w:lang w:val="en-US" w:eastAsia="zh-CN" w:bidi="ar-SA"/>
              </w:rPr>
              <w:t>，沟</w:t>
            </w:r>
            <w:r>
              <w:rPr>
                <w:rFonts w:hint="eastAsia" w:ascii="Times New Roman" w:hAnsi="Times New Roman" w:eastAsia="宋体" w:cs="Times New Roman"/>
                <w:snapToGrid w:val="0"/>
                <w:kern w:val="0"/>
                <w:sz w:val="24"/>
                <w:szCs w:val="24"/>
                <w:highlight w:val="none"/>
                <w:lang w:val="en-US" w:eastAsia="zh-CN" w:bidi="ar-SA"/>
              </w:rPr>
              <w:t>底</w:t>
            </w:r>
            <w:r>
              <w:rPr>
                <w:rFonts w:hint="default" w:ascii="Times New Roman" w:hAnsi="Times New Roman" w:eastAsia="宋体" w:cs="Times New Roman"/>
                <w:snapToGrid w:val="0"/>
                <w:kern w:val="0"/>
                <w:sz w:val="24"/>
                <w:szCs w:val="24"/>
                <w:highlight w:val="none"/>
                <w:lang w:val="en-US" w:eastAsia="zh-CN" w:bidi="ar-SA"/>
              </w:rPr>
              <w:t>无基本农田，主要分布有</w:t>
            </w:r>
            <w:r>
              <w:rPr>
                <w:rFonts w:hint="eastAsia" w:ascii="Times New Roman" w:hAnsi="Times New Roman" w:eastAsia="宋体" w:cs="Times New Roman"/>
                <w:snapToGrid w:val="0"/>
                <w:kern w:val="0"/>
                <w:sz w:val="24"/>
                <w:szCs w:val="24"/>
                <w:highlight w:val="none"/>
                <w:lang w:val="en-US" w:eastAsia="zh-CN" w:bidi="ar-SA"/>
              </w:rPr>
              <w:t>其他草地</w:t>
            </w:r>
            <w:r>
              <w:rPr>
                <w:rFonts w:hint="default" w:ascii="Times New Roman" w:hAnsi="Times New Roman" w:eastAsia="宋体" w:cs="Times New Roman"/>
                <w:snapToGrid w:val="0"/>
                <w:kern w:val="0"/>
                <w:sz w:val="24"/>
                <w:szCs w:val="24"/>
                <w:highlight w:val="none"/>
                <w:lang w:val="en-US" w:eastAsia="zh-CN" w:bidi="ar-SA"/>
              </w:rPr>
              <w:t>，无国家保护动物出现，无自然保护区等敏感区域分布；远离居民区，地形地貌价值较低。</w:t>
            </w:r>
            <w:r>
              <w:rPr>
                <w:rFonts w:hint="eastAsia" w:ascii="Times New Roman" w:hAnsi="Times New Roman" w:eastAsia="宋体" w:cs="Times New Roman"/>
                <w:snapToGrid w:val="0"/>
                <w:kern w:val="0"/>
                <w:sz w:val="24"/>
                <w:szCs w:val="24"/>
                <w:highlight w:val="none"/>
                <w:lang w:val="en-US" w:eastAsia="zh-CN" w:bidi="ar-SA"/>
              </w:rPr>
              <w:t>本项目外排明渠不占沟壑外部区域</w:t>
            </w:r>
            <w:r>
              <w:rPr>
                <w:rFonts w:hint="default" w:ascii="Times New Roman" w:hAnsi="Times New Roman" w:eastAsia="宋体" w:cs="Times New Roman"/>
                <w:snapToGrid w:val="0"/>
                <w:kern w:val="0"/>
                <w:sz w:val="24"/>
                <w:szCs w:val="24"/>
                <w:highlight w:val="none"/>
                <w:lang w:val="en-US" w:eastAsia="zh-CN" w:bidi="ar-SA"/>
              </w:rPr>
              <w:t>，就此情况来讲，选择其作为</w:t>
            </w:r>
            <w:r>
              <w:rPr>
                <w:rFonts w:hint="eastAsia" w:ascii="Times New Roman" w:hAnsi="Times New Roman" w:eastAsia="宋体" w:cs="Times New Roman"/>
                <w:snapToGrid w:val="0"/>
                <w:kern w:val="0"/>
                <w:sz w:val="24"/>
                <w:szCs w:val="24"/>
                <w:highlight w:val="none"/>
                <w:lang w:val="en-US" w:eastAsia="zh-CN" w:bidi="ar-SA"/>
              </w:rPr>
              <w:t>外排明渠</w:t>
            </w:r>
            <w:r>
              <w:rPr>
                <w:rFonts w:hint="default" w:ascii="Times New Roman" w:hAnsi="Times New Roman" w:eastAsia="宋体" w:cs="Times New Roman"/>
                <w:snapToGrid w:val="0"/>
                <w:kern w:val="0"/>
                <w:sz w:val="24"/>
                <w:szCs w:val="24"/>
                <w:highlight w:val="none"/>
                <w:lang w:val="en-US" w:eastAsia="zh-CN" w:bidi="ar-SA"/>
              </w:rPr>
              <w:t>对当地地形地貌影响较小，不会对本区的生态系统中的物种变化造成大的影响，不会对其土地功能产生明显的恶化性影响</w:t>
            </w:r>
            <w:r>
              <w:rPr>
                <w:rFonts w:hint="eastAsia" w:ascii="Times New Roman" w:hAnsi="Times New Roman" w:eastAsia="宋体" w:cs="Times New Roman"/>
                <w:snapToGrid w:val="0"/>
                <w:kern w:val="0"/>
                <w:sz w:val="24"/>
                <w:szCs w:val="24"/>
                <w:highlight w:val="none"/>
                <w:lang w:val="en-US" w:eastAsia="zh-CN" w:bidi="ar-SA"/>
              </w:rPr>
              <w:t>，并且本项目外排明渠修建之后，还可以有效的减少水土流失和沟壑宽度的增大</w:t>
            </w:r>
            <w:r>
              <w:rPr>
                <w:rFonts w:hint="default" w:ascii="Times New Roman" w:hAnsi="Times New Roman" w:eastAsia="宋体" w:cs="Times New Roman"/>
                <w:snapToGrid w:val="0"/>
                <w:kern w:val="0"/>
                <w:sz w:val="24"/>
                <w:szCs w:val="24"/>
                <w:highlight w:val="none"/>
                <w:lang w:val="en-US" w:eastAsia="zh-CN" w:bidi="ar-SA"/>
              </w:rPr>
              <w:t>。</w:t>
            </w:r>
          </w:p>
          <w:p>
            <w:pPr>
              <w:kinsoku w:val="0"/>
              <w:overflowPunct w:val="0"/>
              <w:spacing w:line="480" w:lineRule="exact"/>
              <w:ind w:firstLine="482" w:firstLineChars="200"/>
              <w:rPr>
                <w:rFonts w:hint="default" w:ascii="Times New Roman" w:hAnsi="Times New Roman" w:eastAsia="宋体" w:cs="Times New Roman"/>
                <w:b/>
                <w:szCs w:val="24"/>
                <w:highlight w:val="none"/>
              </w:rPr>
            </w:pPr>
            <w:r>
              <w:rPr>
                <w:rFonts w:hint="default" w:ascii="Times New Roman" w:hAnsi="Times New Roman" w:eastAsia="宋体" w:cs="Times New Roman"/>
                <w:b/>
                <w:szCs w:val="24"/>
                <w:highlight w:val="none"/>
              </w:rPr>
              <w:t>2</w:t>
            </w:r>
            <w:r>
              <w:rPr>
                <w:rFonts w:hint="eastAsia" w:ascii="Times New Roman" w:hAnsi="Times New Roman" w:eastAsia="宋体" w:cs="Times New Roman"/>
                <w:b/>
                <w:szCs w:val="24"/>
                <w:highlight w:val="none"/>
                <w:lang w:eastAsia="zh-CN"/>
              </w:rPr>
              <w:t>）</w:t>
            </w:r>
            <w:r>
              <w:rPr>
                <w:rFonts w:hint="default" w:ascii="Times New Roman" w:hAnsi="Times New Roman" w:eastAsia="宋体" w:cs="Times New Roman"/>
                <w:b/>
                <w:szCs w:val="24"/>
                <w:highlight w:val="none"/>
              </w:rPr>
              <w:t>项目</w:t>
            </w:r>
            <w:r>
              <w:rPr>
                <w:rFonts w:hint="default" w:ascii="Times New Roman" w:hAnsi="Times New Roman" w:eastAsia="宋体" w:cs="Times New Roman"/>
                <w:b/>
                <w:spacing w:val="4"/>
                <w:szCs w:val="24"/>
                <w:highlight w:val="none"/>
              </w:rPr>
              <w:t>占地对</w:t>
            </w:r>
            <w:r>
              <w:rPr>
                <w:rFonts w:hint="default" w:ascii="Times New Roman" w:hAnsi="Times New Roman" w:eastAsia="宋体" w:cs="Times New Roman"/>
                <w:b/>
                <w:szCs w:val="24"/>
                <w:highlight w:val="none"/>
              </w:rPr>
              <w:t>植被的影响分析</w:t>
            </w:r>
          </w:p>
          <w:p>
            <w:pPr>
              <w:widowControl w:val="0"/>
              <w:adjustRightInd w:val="0"/>
              <w:snapToGrid w:val="0"/>
              <w:spacing w:afterLines="0" w:line="500" w:lineRule="exact"/>
              <w:ind w:left="0" w:leftChars="0" w:firstLine="496"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spacing w:val="4"/>
                <w:kern w:val="0"/>
                <w:sz w:val="24"/>
                <w:szCs w:val="24"/>
                <w:highlight w:val="none"/>
                <w:lang w:val="en-US" w:eastAsia="zh-CN" w:bidi="ar-SA"/>
              </w:rPr>
              <w:t>本</w:t>
            </w:r>
            <w:r>
              <w:rPr>
                <w:rFonts w:hint="default" w:ascii="Times New Roman" w:hAnsi="Times New Roman" w:eastAsia="宋体" w:cs="Times New Roman"/>
                <w:snapToGrid w:val="0"/>
                <w:spacing w:val="4"/>
                <w:kern w:val="0"/>
                <w:sz w:val="24"/>
                <w:szCs w:val="24"/>
                <w:highlight w:val="none"/>
                <w:lang w:val="en-US" w:eastAsia="zh-CN" w:bidi="ar-SA"/>
              </w:rPr>
              <w:t>项目</w:t>
            </w:r>
            <w:r>
              <w:rPr>
                <w:rFonts w:hint="eastAsia" w:ascii="Times New Roman" w:hAnsi="Times New Roman" w:eastAsia="宋体" w:cs="Times New Roman"/>
                <w:snapToGrid w:val="0"/>
                <w:spacing w:val="4"/>
                <w:kern w:val="0"/>
                <w:sz w:val="24"/>
                <w:szCs w:val="24"/>
                <w:highlight w:val="none"/>
                <w:lang w:val="en-US" w:eastAsia="zh-CN" w:bidi="ar-SA"/>
              </w:rPr>
              <w:t>明渠修建的</w:t>
            </w:r>
            <w:r>
              <w:rPr>
                <w:rFonts w:hint="default" w:ascii="Times New Roman" w:hAnsi="Times New Roman" w:eastAsia="宋体" w:cs="Times New Roman"/>
                <w:snapToGrid w:val="0"/>
                <w:spacing w:val="4"/>
                <w:kern w:val="0"/>
                <w:sz w:val="24"/>
                <w:szCs w:val="24"/>
                <w:highlight w:val="none"/>
                <w:lang w:val="en-US" w:eastAsia="zh-CN" w:bidi="ar-SA"/>
              </w:rPr>
              <w:t>过程中会对沟内植被造成破坏，使其覆盖率降低。但是</w:t>
            </w:r>
            <w:r>
              <w:rPr>
                <w:rFonts w:hint="eastAsia" w:ascii="Times New Roman" w:hAnsi="Times New Roman" w:eastAsia="宋体" w:cs="Times New Roman"/>
                <w:snapToGrid w:val="0"/>
                <w:spacing w:val="4"/>
                <w:kern w:val="0"/>
                <w:sz w:val="24"/>
                <w:szCs w:val="24"/>
                <w:highlight w:val="none"/>
                <w:lang w:val="en-US" w:eastAsia="zh-CN" w:bidi="ar-SA"/>
              </w:rPr>
              <w:t>本项目明渠修建中破坏的均为一年生的草丛植被</w:t>
            </w:r>
            <w:r>
              <w:rPr>
                <w:rFonts w:hint="default" w:ascii="Times New Roman" w:hAnsi="Times New Roman" w:eastAsia="宋体" w:cs="Times New Roman"/>
                <w:snapToGrid w:val="0"/>
                <w:spacing w:val="4"/>
                <w:kern w:val="0"/>
                <w:sz w:val="24"/>
                <w:szCs w:val="24"/>
                <w:highlight w:val="none"/>
                <w:lang w:val="en-US" w:eastAsia="zh-CN" w:bidi="ar-SA"/>
              </w:rPr>
              <w:t>，</w:t>
            </w:r>
            <w:r>
              <w:rPr>
                <w:rFonts w:hint="eastAsia" w:ascii="Times New Roman" w:hAnsi="Times New Roman" w:eastAsia="宋体" w:cs="Times New Roman"/>
                <w:snapToGrid w:val="0"/>
                <w:spacing w:val="4"/>
                <w:kern w:val="0"/>
                <w:sz w:val="24"/>
                <w:szCs w:val="24"/>
                <w:highlight w:val="none"/>
                <w:lang w:val="en-US" w:eastAsia="zh-CN" w:bidi="ar-SA"/>
              </w:rPr>
              <w:t>并且本项目明渠修建完成后，本次评价要求在明渠两侧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，在完成绿化后，</w:t>
            </w:r>
            <w:r>
              <w:rPr>
                <w:rFonts w:hint="default" w:ascii="Times New Roman" w:hAnsi="Times New Roman" w:eastAsia="宋体" w:cs="Times New Roman"/>
                <w:snapToGrid w:val="0"/>
                <w:spacing w:val="4"/>
                <w:kern w:val="0"/>
                <w:sz w:val="24"/>
                <w:szCs w:val="24"/>
                <w:highlight w:val="none"/>
                <w:lang w:val="en-US" w:eastAsia="zh-CN" w:bidi="ar-SA"/>
              </w:rPr>
              <w:t>会使得该区植被覆盖率恢复，生态环境不会受到影响</w:t>
            </w:r>
            <w:r>
              <w:rPr>
                <w:rFonts w:hint="default" w:ascii="Times New Roman" w:hAnsi="Times New Roman" w:eastAsia="宋体" w:cs="Times New Roman"/>
                <w:snapToGrid w:val="0"/>
                <w:kern w:val="0"/>
                <w:sz w:val="24"/>
                <w:szCs w:val="24"/>
                <w:highlight w:val="none"/>
                <w:lang w:val="en-US" w:eastAsia="zh-CN" w:bidi="ar-SA"/>
              </w:rPr>
              <w:t>，能最大限度补偿造成的生物量损失</w:t>
            </w:r>
            <w:r>
              <w:rPr>
                <w:rFonts w:hint="default" w:ascii="Times New Roman" w:hAnsi="Times New Roman" w:eastAsia="宋体" w:cs="Times New Roman"/>
                <w:snapToGrid w:val="0"/>
                <w:spacing w:val="4"/>
                <w:kern w:val="0"/>
                <w:sz w:val="24"/>
                <w:szCs w:val="24"/>
                <w:highlight w:val="none"/>
                <w:lang w:val="en-US" w:eastAsia="zh-CN" w:bidi="ar-SA"/>
              </w:rPr>
              <w:t>。</w:t>
            </w:r>
          </w:p>
          <w:p>
            <w:pPr>
              <w:snapToGrid w:val="0"/>
              <w:spacing w:line="500" w:lineRule="exact"/>
              <w:ind w:firstLine="480" w:firstLineChars="193"/>
              <w:rPr>
                <w:rFonts w:hint="default" w:ascii="Times New Roman" w:hAnsi="Times New Roman" w:eastAsia="宋体" w:cs="Times New Roman"/>
                <w:b/>
                <w:spacing w:val="4"/>
                <w:szCs w:val="24"/>
                <w:highlight w:val="none"/>
              </w:rPr>
            </w:pPr>
            <w:r>
              <w:rPr>
                <w:rFonts w:hint="default" w:ascii="Times New Roman" w:hAnsi="Times New Roman" w:eastAsia="宋体" w:cs="Times New Roman"/>
                <w:b/>
                <w:spacing w:val="4"/>
                <w:szCs w:val="24"/>
                <w:highlight w:val="none"/>
              </w:rPr>
              <w:t>3</w:t>
            </w:r>
            <w:r>
              <w:rPr>
                <w:rFonts w:hint="eastAsia" w:ascii="Times New Roman" w:hAnsi="Times New Roman" w:eastAsia="宋体" w:cs="Times New Roman"/>
                <w:b/>
                <w:spacing w:val="4"/>
                <w:szCs w:val="24"/>
                <w:highlight w:val="none"/>
                <w:lang w:eastAsia="zh-CN"/>
              </w:rPr>
              <w:t>）</w:t>
            </w:r>
            <w:r>
              <w:rPr>
                <w:rFonts w:hint="default" w:ascii="Times New Roman" w:hAnsi="Times New Roman" w:eastAsia="宋体" w:cs="Times New Roman"/>
                <w:b/>
                <w:spacing w:val="4"/>
                <w:szCs w:val="24"/>
                <w:highlight w:val="none"/>
              </w:rPr>
              <w:t>水土流失</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本项目拟修明渠的沟壑中土壤</w:t>
            </w:r>
            <w:r>
              <w:rPr>
                <w:rFonts w:hint="default" w:ascii="Times New Roman" w:hAnsi="Times New Roman" w:eastAsia="宋体" w:cs="Times New Roman"/>
                <w:snapToGrid w:val="0"/>
                <w:kern w:val="0"/>
                <w:sz w:val="24"/>
                <w:szCs w:val="24"/>
                <w:highlight w:val="none"/>
                <w:lang w:val="en-US" w:eastAsia="zh-CN" w:bidi="ar-SA"/>
              </w:rPr>
              <w:t>松散</w:t>
            </w:r>
            <w:r>
              <w:rPr>
                <w:rFonts w:hint="eastAsia" w:ascii="Times New Roman" w:hAnsi="Times New Roman" w:eastAsia="宋体" w:cs="Times New Roman"/>
                <w:snapToGrid w:val="0"/>
                <w:kern w:val="0"/>
                <w:sz w:val="24"/>
                <w:szCs w:val="24"/>
                <w:highlight w:val="none"/>
                <w:lang w:val="en-US" w:eastAsia="zh-CN" w:bidi="ar-SA"/>
              </w:rPr>
              <w:t>，容易水土流失，在遭遇下雨天气等条件下，更会进一步加重水土的流失。而在本项目的明渠修建完成后，</w:t>
            </w:r>
            <w:r>
              <w:rPr>
                <w:rFonts w:hint="default" w:ascii="Times New Roman" w:hAnsi="Times New Roman" w:eastAsia="宋体" w:cs="Times New Roman"/>
                <w:snapToGrid w:val="0"/>
                <w:kern w:val="0"/>
                <w:sz w:val="24"/>
                <w:szCs w:val="24"/>
                <w:highlight w:val="none"/>
                <w:lang w:val="en-US" w:eastAsia="zh-CN" w:bidi="ar-SA"/>
              </w:rPr>
              <w:t>将原来松散结构压实，同时</w:t>
            </w:r>
            <w:r>
              <w:rPr>
                <w:rFonts w:hint="eastAsia" w:ascii="Times New Roman" w:hAnsi="Times New Roman" w:eastAsia="宋体" w:cs="Times New Roman"/>
                <w:snapToGrid w:val="0"/>
                <w:kern w:val="0"/>
                <w:sz w:val="24"/>
                <w:szCs w:val="24"/>
                <w:highlight w:val="none"/>
                <w:lang w:val="en-US" w:eastAsia="zh-CN" w:bidi="ar-SA"/>
              </w:rPr>
              <w:t>增加了绿化</w:t>
            </w:r>
            <w:r>
              <w:rPr>
                <w:rFonts w:hint="default" w:ascii="Times New Roman" w:hAnsi="Times New Roman" w:eastAsia="宋体" w:cs="Times New Roman"/>
                <w:snapToGrid w:val="0"/>
                <w:kern w:val="0"/>
                <w:sz w:val="24"/>
                <w:szCs w:val="24"/>
                <w:highlight w:val="none"/>
                <w:lang w:val="en-US" w:eastAsia="zh-CN" w:bidi="ar-SA"/>
              </w:rPr>
              <w:t>，最大程度的减轻了水土流失</w:t>
            </w:r>
            <w:r>
              <w:rPr>
                <w:rFonts w:hint="eastAsia" w:ascii="Times New Roman" w:hAnsi="Times New Roman" w:eastAsia="宋体" w:cs="Times New Roman"/>
                <w:snapToGrid w:val="0"/>
                <w:kern w:val="0"/>
                <w:sz w:val="24"/>
                <w:szCs w:val="24"/>
                <w:highlight w:val="none"/>
                <w:lang w:val="en-US" w:eastAsia="zh-CN" w:bidi="ar-SA"/>
              </w:rPr>
              <w:t>，本明渠的修建对防止水土流失起到一定的保护作用</w:t>
            </w:r>
            <w:r>
              <w:rPr>
                <w:rFonts w:hint="default" w:ascii="Times New Roman" w:hAnsi="Times New Roman" w:eastAsia="宋体" w:cs="Times New Roman"/>
                <w:snapToGrid w:val="0"/>
                <w:kern w:val="0"/>
                <w:sz w:val="24"/>
                <w:szCs w:val="24"/>
                <w:highlight w:val="none"/>
                <w:lang w:val="en-US" w:eastAsia="zh-CN" w:bidi="ar-SA"/>
              </w:rPr>
              <w:t>。</w:t>
            </w:r>
          </w:p>
          <w:p>
            <w:pPr>
              <w:spacing w:line="480" w:lineRule="exact"/>
              <w:ind w:firstLine="482" w:firstLineChars="200"/>
              <w:rPr>
                <w:rFonts w:hint="eastAsia" w:ascii="Times New Roman" w:hAnsi="Times New Roman" w:eastAsia="宋体" w:cs="Times New Roman"/>
                <w:b/>
                <w:szCs w:val="24"/>
                <w:highlight w:val="none"/>
                <w:lang w:eastAsia="zh-CN"/>
              </w:rPr>
            </w:pPr>
            <w:r>
              <w:rPr>
                <w:rFonts w:hint="eastAsia" w:ascii="Times New Roman" w:hAnsi="Times New Roman" w:eastAsia="宋体" w:cs="Times New Roman"/>
                <w:b/>
                <w:szCs w:val="24"/>
                <w:highlight w:val="none"/>
                <w:lang w:val="en-US" w:eastAsia="zh-CN"/>
              </w:rPr>
              <w:t>4）土石方</w:t>
            </w:r>
          </w:p>
          <w:p>
            <w:pPr>
              <w:widowControl w:val="0"/>
              <w:adjustRightInd w:val="0"/>
              <w:snapToGrid w:val="0"/>
              <w:spacing w:afterLines="0" w:line="500" w:lineRule="exact"/>
              <w:ind w:left="0" w:leftChars="0" w:firstLine="480" w:firstLineChars="200"/>
              <w:jc w:val="both"/>
              <w:rPr>
                <w:rFonts w:hint="eastAsia"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项目</w:t>
            </w:r>
            <w:r>
              <w:rPr>
                <w:rFonts w:hint="eastAsia" w:ascii="Times New Roman" w:hAnsi="Times New Roman" w:eastAsia="宋体" w:cs="Times New Roman"/>
                <w:snapToGrid w:val="0"/>
                <w:kern w:val="0"/>
                <w:sz w:val="24"/>
                <w:szCs w:val="24"/>
                <w:highlight w:val="none"/>
                <w:lang w:val="en-US" w:eastAsia="zh-CN" w:bidi="ar-SA"/>
              </w:rPr>
              <w:t>修建明渠时由于沟壑底部高低不平需先进行场地平整，但是由于本项目距离短，工期短，开挖较少，因此，本项目基本无弃土，渠内取土用于渠内平整，无弃方</w:t>
            </w:r>
            <w:r>
              <w:rPr>
                <w:rFonts w:hint="default" w:ascii="Times New Roman" w:hAnsi="Times New Roman" w:eastAsia="宋体" w:cs="Times New Roman"/>
                <w:snapToGrid w:val="0"/>
                <w:kern w:val="0"/>
                <w:sz w:val="24"/>
                <w:szCs w:val="24"/>
                <w:highlight w:val="none"/>
                <w:lang w:val="en-US" w:eastAsia="zh-CN" w:bidi="ar-SA"/>
              </w:rPr>
              <w:t>。采取填充完成后逐段绿化的措施，则工程对生态环境的影响可以控制在比较小的范围内</w:t>
            </w:r>
            <w:r>
              <w:rPr>
                <w:rFonts w:hint="eastAsia" w:ascii="Times New Roman" w:hAnsi="Times New Roman" w:eastAsia="宋体" w:cs="Times New Roman"/>
                <w:snapToGrid w:val="0"/>
                <w:kern w:val="0"/>
                <w:sz w:val="24"/>
                <w:szCs w:val="24"/>
                <w:highlight w:val="none"/>
                <w:lang w:val="en-US" w:eastAsia="zh-CN" w:bidi="ar-SA"/>
              </w:rPr>
              <w:t>。</w:t>
            </w:r>
          </w:p>
          <w:p>
            <w:pPr>
              <w:spacing w:line="480" w:lineRule="exact"/>
              <w:ind w:firstLine="482" w:firstLineChars="200"/>
              <w:rPr>
                <w:rFonts w:hint="default" w:ascii="Times New Roman" w:hAnsi="Times New Roman" w:eastAsia="宋体" w:cs="Times New Roman"/>
                <w:b/>
                <w:szCs w:val="24"/>
                <w:highlight w:val="none"/>
              </w:rPr>
            </w:pPr>
            <w:r>
              <w:rPr>
                <w:rFonts w:hint="eastAsia" w:ascii="Times New Roman" w:hAnsi="Times New Roman" w:cs="Times New Roman"/>
                <w:b/>
                <w:szCs w:val="24"/>
                <w:highlight w:val="none"/>
                <w:lang w:val="en-US" w:eastAsia="zh-CN"/>
              </w:rPr>
              <w:t>5）</w:t>
            </w:r>
            <w:r>
              <w:rPr>
                <w:rFonts w:hint="default" w:ascii="Times New Roman" w:hAnsi="Times New Roman" w:eastAsia="宋体" w:cs="Times New Roman"/>
                <w:b/>
                <w:szCs w:val="24"/>
                <w:highlight w:val="none"/>
              </w:rPr>
              <w:t>生态恢复措施</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本项目的建设对场区生态环境不可避免的产生一定影响，因而必须采取切实可行的一般工程措施和生态工程措施来减少这种影响。</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一般工程措施：做好土方填挖过程的抑尘工程；减少或不进行对生态影响较大的活动。</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生态工程措施：在</w:t>
            </w:r>
            <w:r>
              <w:rPr>
                <w:rFonts w:hint="eastAsia" w:ascii="Times New Roman" w:hAnsi="Times New Roman" w:eastAsia="宋体" w:cs="Times New Roman"/>
                <w:snapToGrid w:val="0"/>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w:t>
            </w:r>
            <w:r>
              <w:rPr>
                <w:rFonts w:hint="default" w:ascii="Times New Roman" w:hAnsi="Times New Roman" w:eastAsia="宋体" w:cs="Times New Roman"/>
                <w:snapToGrid w:val="0"/>
                <w:kern w:val="0"/>
                <w:sz w:val="24"/>
                <w:szCs w:val="24"/>
                <w:highlight w:val="none"/>
                <w:lang w:val="en-US" w:eastAsia="zh-CN" w:bidi="ar-SA"/>
              </w:rPr>
              <w:t>改善周围的森林群落结构，</w:t>
            </w:r>
            <w:r>
              <w:rPr>
                <w:rFonts w:hint="eastAsia" w:ascii="Times New Roman" w:hAnsi="Times New Roman" w:eastAsia="宋体" w:cs="Times New Roman"/>
                <w:snapToGrid w:val="0"/>
                <w:kern w:val="0"/>
                <w:sz w:val="24"/>
                <w:szCs w:val="24"/>
                <w:highlight w:val="none"/>
                <w:lang w:val="en-US" w:eastAsia="zh-CN" w:bidi="ar-SA"/>
              </w:rPr>
              <w:t>在有条件的情况下</w:t>
            </w:r>
            <w:r>
              <w:rPr>
                <w:rFonts w:hint="default" w:ascii="Times New Roman" w:hAnsi="Times New Roman" w:eastAsia="宋体" w:cs="Times New Roman"/>
                <w:snapToGrid w:val="0"/>
                <w:kern w:val="0"/>
                <w:sz w:val="24"/>
                <w:szCs w:val="24"/>
                <w:highlight w:val="none"/>
                <w:lang w:val="en-US" w:eastAsia="zh-CN" w:bidi="ar-SA"/>
              </w:rPr>
              <w:t>逐渐引入生态效应和观赏性更高的植物类群，使恢复后的生态系统不断向较理想的顶极群落演替。</w:t>
            </w:r>
          </w:p>
          <w:p>
            <w:pPr>
              <w:widowControl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在采取以上措施后，填沟造地区的生态系统的功能和可持续利用、植被和地形地貌的生态影响得到一定改善。</w:t>
            </w:r>
          </w:p>
          <w:p>
            <w:pPr>
              <w:widowControl w:val="0"/>
              <w:adjustRightInd w:val="0"/>
              <w:snapToGrid w:val="0"/>
              <w:spacing w:afterLines="0" w:line="500" w:lineRule="exact"/>
              <w:ind w:left="0" w:leftChars="0" w:firstLine="482" w:firstLineChars="200"/>
              <w:jc w:val="both"/>
              <w:rPr>
                <w:rFonts w:hint="default" w:ascii="Times New Roman" w:hAnsi="Times New Roman" w:eastAsia="宋体" w:cs="Times New Roman"/>
                <w:b/>
                <w:bCs/>
                <w:snapToGrid w:val="0"/>
                <w:kern w:val="0"/>
                <w:sz w:val="24"/>
                <w:szCs w:val="24"/>
                <w:highlight w:val="none"/>
                <w:lang w:val="en-US" w:eastAsia="zh-CN" w:bidi="ar-SA"/>
              </w:rPr>
            </w:pPr>
            <w:r>
              <w:rPr>
                <w:rFonts w:hint="eastAsia" w:ascii="Times New Roman" w:hAnsi="Times New Roman" w:cs="Times New Roman"/>
                <w:b/>
                <w:bCs/>
                <w:snapToGrid w:val="0"/>
                <w:kern w:val="0"/>
                <w:sz w:val="24"/>
                <w:szCs w:val="24"/>
                <w:highlight w:val="none"/>
                <w:lang w:val="en-US" w:eastAsia="zh-CN" w:bidi="ar-SA"/>
              </w:rPr>
              <w:t>6）</w:t>
            </w:r>
            <w:r>
              <w:rPr>
                <w:rFonts w:hint="default" w:ascii="Times New Roman" w:hAnsi="Times New Roman" w:eastAsia="宋体" w:cs="Times New Roman"/>
                <w:b/>
                <w:bCs/>
                <w:snapToGrid w:val="0"/>
                <w:kern w:val="0"/>
                <w:sz w:val="24"/>
                <w:szCs w:val="24"/>
                <w:highlight w:val="none"/>
                <w:lang w:val="en-US" w:eastAsia="zh-CN" w:bidi="ar-SA"/>
              </w:rPr>
              <w:t>生态恢复效果预测与评价</w:t>
            </w:r>
          </w:p>
          <w:p>
            <w:pPr>
              <w:widowControl w:val="0"/>
              <w:bidi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本项目从施工期到运营期先将现有低覆盖度的</w:t>
            </w:r>
            <w:r>
              <w:rPr>
                <w:rFonts w:hint="eastAsia" w:ascii="Times New Roman" w:hAnsi="Times New Roman" w:eastAsia="宋体" w:cs="Times New Roman"/>
                <w:snapToGrid w:val="0"/>
                <w:kern w:val="0"/>
                <w:sz w:val="24"/>
                <w:szCs w:val="24"/>
                <w:highlight w:val="none"/>
                <w:lang w:val="en-US" w:eastAsia="zh-CN" w:bidi="ar-SA"/>
              </w:rPr>
              <w:t>沟壑</w:t>
            </w:r>
            <w:r>
              <w:rPr>
                <w:rFonts w:hint="default" w:ascii="Times New Roman" w:hAnsi="Times New Roman" w:eastAsia="宋体" w:cs="Times New Roman"/>
                <w:snapToGrid w:val="0"/>
                <w:kern w:val="0"/>
                <w:sz w:val="24"/>
                <w:szCs w:val="24"/>
                <w:highlight w:val="none"/>
                <w:lang w:val="en-US" w:eastAsia="zh-CN" w:bidi="ar-SA"/>
              </w:rPr>
              <w:t>进行平整</w:t>
            </w:r>
            <w:r>
              <w:rPr>
                <w:rFonts w:hint="eastAsia" w:ascii="Times New Roman" w:hAnsi="Times New Roman" w:eastAsia="宋体" w:cs="Times New Roman"/>
                <w:snapToGrid w:val="0"/>
                <w:kern w:val="0"/>
                <w:sz w:val="24"/>
                <w:szCs w:val="24"/>
                <w:highlight w:val="none"/>
                <w:lang w:val="en-US" w:eastAsia="zh-CN" w:bidi="ar-SA"/>
              </w:rPr>
              <w:t>修建明确</w:t>
            </w:r>
            <w:r>
              <w:rPr>
                <w:rFonts w:hint="default" w:ascii="Times New Roman" w:hAnsi="Times New Roman" w:eastAsia="宋体" w:cs="Times New Roman"/>
                <w:snapToGrid w:val="0"/>
                <w:kern w:val="0"/>
                <w:sz w:val="24"/>
                <w:szCs w:val="24"/>
                <w:highlight w:val="none"/>
                <w:lang w:val="en-US" w:eastAsia="zh-CN" w:bidi="ar-SA"/>
              </w:rPr>
              <w:t>，随后再通过在</w:t>
            </w:r>
            <w:r>
              <w:rPr>
                <w:rFonts w:hint="eastAsia" w:ascii="Times New Roman" w:hAnsi="Times New Roman" w:eastAsia="宋体" w:cs="Times New Roman"/>
                <w:snapToGrid w:val="0"/>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default" w:ascii="Times New Roman" w:hAnsi="Times New Roman" w:eastAsia="宋体" w:cs="Times New Roman"/>
                <w:snapToGrid w:val="0"/>
                <w:kern w:val="0"/>
                <w:sz w:val="24"/>
                <w:szCs w:val="24"/>
                <w:highlight w:val="none"/>
                <w:lang w:val="en-US" w:eastAsia="zh-CN" w:bidi="ar-SA"/>
              </w:rPr>
              <w:t>，将植被覆盖度进一步提升，引起土地利用类型、植被类型以及土壤侵蚀度等一系列的变化。</w:t>
            </w:r>
          </w:p>
          <w:p>
            <w:pPr>
              <w:widowControl w:val="0"/>
              <w:bidi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default" w:ascii="Times New Roman" w:hAnsi="Times New Roman" w:eastAsia="宋体" w:cs="Times New Roman"/>
                <w:snapToGrid w:val="0"/>
                <w:kern w:val="0"/>
                <w:sz w:val="24"/>
                <w:szCs w:val="24"/>
                <w:highlight w:val="none"/>
                <w:lang w:val="en-US" w:eastAsia="zh-CN" w:bidi="ar-SA"/>
              </w:rPr>
              <w:t>本项目</w:t>
            </w:r>
            <w:r>
              <w:rPr>
                <w:rFonts w:hint="eastAsia" w:ascii="Times New Roman" w:hAnsi="Times New Roman" w:eastAsia="宋体" w:cs="Times New Roman"/>
                <w:snapToGrid w:val="0"/>
                <w:kern w:val="0"/>
                <w:sz w:val="24"/>
                <w:szCs w:val="24"/>
                <w:highlight w:val="none"/>
                <w:lang w:val="en-US" w:eastAsia="zh-CN" w:bidi="ar-SA"/>
              </w:rPr>
              <w:t>拟建明渠占地</w:t>
            </w:r>
            <w:r>
              <w:rPr>
                <w:rFonts w:hint="default" w:ascii="Times New Roman" w:hAnsi="Times New Roman" w:eastAsia="宋体" w:cs="Times New Roman"/>
                <w:snapToGrid w:val="0"/>
                <w:kern w:val="0"/>
                <w:sz w:val="24"/>
                <w:szCs w:val="24"/>
                <w:highlight w:val="none"/>
                <w:lang w:val="en-US" w:eastAsia="zh-CN" w:bidi="ar-SA"/>
              </w:rPr>
              <w:t>范围内土地利用类型以其他草地为主，而在完成本项目后，</w:t>
            </w:r>
            <w:r>
              <w:rPr>
                <w:rFonts w:hint="eastAsia" w:ascii="Times New Roman" w:hAnsi="Times New Roman" w:eastAsia="宋体" w:cs="Times New Roman"/>
                <w:snapToGrid w:val="0"/>
                <w:kern w:val="0"/>
                <w:sz w:val="24"/>
                <w:szCs w:val="24"/>
                <w:highlight w:val="none"/>
                <w:lang w:val="en-US" w:eastAsia="zh-CN" w:bidi="ar-SA"/>
              </w:rPr>
              <w:t>均硬化；</w:t>
            </w:r>
            <w:r>
              <w:rPr>
                <w:rFonts w:hint="default" w:ascii="Times New Roman" w:hAnsi="Times New Roman" w:eastAsia="宋体" w:cs="Times New Roman"/>
                <w:snapToGrid w:val="0"/>
                <w:kern w:val="0"/>
                <w:sz w:val="24"/>
                <w:szCs w:val="24"/>
                <w:highlight w:val="none"/>
                <w:lang w:val="en-US" w:eastAsia="zh-CN" w:bidi="ar-SA"/>
              </w:rPr>
              <w:t>本项目</w:t>
            </w:r>
            <w:r>
              <w:rPr>
                <w:rFonts w:hint="eastAsia" w:ascii="Times New Roman" w:hAnsi="Times New Roman" w:eastAsia="宋体" w:cs="Times New Roman"/>
                <w:snapToGrid w:val="0"/>
                <w:kern w:val="0"/>
                <w:sz w:val="24"/>
                <w:szCs w:val="24"/>
                <w:highlight w:val="none"/>
                <w:lang w:val="en-US" w:eastAsia="zh-CN" w:bidi="ar-SA"/>
              </w:rPr>
              <w:t>拟建明渠占地</w:t>
            </w:r>
            <w:r>
              <w:rPr>
                <w:rFonts w:hint="default" w:ascii="Times New Roman" w:hAnsi="Times New Roman" w:eastAsia="宋体" w:cs="Times New Roman"/>
                <w:snapToGrid w:val="0"/>
                <w:kern w:val="0"/>
                <w:sz w:val="24"/>
                <w:szCs w:val="24"/>
                <w:highlight w:val="none"/>
                <w:lang w:val="en-US" w:eastAsia="zh-CN" w:bidi="ar-SA"/>
              </w:rPr>
              <w:t>范围植被以草丛植被为主，而在完成本项目后，</w:t>
            </w:r>
            <w:r>
              <w:rPr>
                <w:rFonts w:hint="eastAsia" w:ascii="Times New Roman" w:hAnsi="Times New Roman" w:eastAsia="宋体" w:cs="Times New Roman"/>
                <w:snapToGrid w:val="0"/>
                <w:kern w:val="0"/>
                <w:sz w:val="24"/>
                <w:szCs w:val="24"/>
                <w:highlight w:val="none"/>
                <w:lang w:val="en-US" w:eastAsia="zh-CN" w:bidi="ar-SA"/>
              </w:rPr>
              <w:t>均硬化，通过</w:t>
            </w:r>
            <w:r>
              <w:rPr>
                <w:rFonts w:hint="default" w:ascii="Times New Roman" w:hAnsi="Times New Roman" w:eastAsia="宋体" w:cs="Times New Roman"/>
                <w:snapToGrid w:val="0"/>
                <w:kern w:val="0"/>
                <w:sz w:val="24"/>
                <w:szCs w:val="24"/>
                <w:highlight w:val="none"/>
                <w:lang w:val="en-US" w:eastAsia="zh-CN" w:bidi="ar-SA"/>
              </w:rPr>
              <w:t>在</w:t>
            </w:r>
            <w:r>
              <w:rPr>
                <w:rFonts w:hint="eastAsia" w:ascii="Times New Roman" w:hAnsi="Times New Roman" w:eastAsia="宋体" w:cs="Times New Roman"/>
                <w:snapToGrid w:val="0"/>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进行生态补偿</w:t>
            </w:r>
            <w:r>
              <w:rPr>
                <w:rFonts w:hint="eastAsia" w:ascii="Times New Roman" w:hAnsi="Times New Roman" w:eastAsia="宋体" w:cs="Times New Roman"/>
                <w:snapToGrid w:val="0"/>
                <w:kern w:val="0"/>
                <w:sz w:val="24"/>
                <w:szCs w:val="24"/>
                <w:highlight w:val="none"/>
                <w:lang w:val="en-US" w:eastAsia="zh-CN" w:bidi="ar-SA"/>
              </w:rPr>
              <w:t>；</w:t>
            </w:r>
            <w:r>
              <w:rPr>
                <w:rFonts w:hint="default" w:ascii="Times New Roman" w:hAnsi="Times New Roman" w:eastAsia="宋体" w:cs="Times New Roman"/>
                <w:snapToGrid w:val="0"/>
                <w:kern w:val="0"/>
                <w:sz w:val="24"/>
                <w:szCs w:val="24"/>
                <w:highlight w:val="none"/>
                <w:lang w:val="en-US" w:eastAsia="zh-CN" w:bidi="ar-SA"/>
              </w:rPr>
              <w:t>本项目</w:t>
            </w:r>
            <w:r>
              <w:rPr>
                <w:rFonts w:hint="eastAsia" w:ascii="Times New Roman" w:hAnsi="Times New Roman" w:eastAsia="宋体" w:cs="Times New Roman"/>
                <w:snapToGrid w:val="0"/>
                <w:kern w:val="0"/>
                <w:sz w:val="24"/>
                <w:szCs w:val="24"/>
                <w:highlight w:val="none"/>
                <w:lang w:val="en-US" w:eastAsia="zh-CN" w:bidi="ar-SA"/>
              </w:rPr>
              <w:t>拟建明渠占地</w:t>
            </w:r>
            <w:r>
              <w:rPr>
                <w:rFonts w:hint="default" w:ascii="Times New Roman" w:hAnsi="Times New Roman" w:eastAsia="宋体" w:cs="Times New Roman"/>
                <w:snapToGrid w:val="0"/>
                <w:kern w:val="0"/>
                <w:sz w:val="24"/>
                <w:szCs w:val="24"/>
                <w:highlight w:val="none"/>
                <w:lang w:val="en-US" w:eastAsia="zh-CN" w:bidi="ar-SA"/>
              </w:rPr>
              <w:t>范围土壤侵蚀以</w:t>
            </w:r>
            <w:r>
              <w:rPr>
                <w:rFonts w:hint="eastAsia" w:ascii="Times New Roman" w:hAnsi="Times New Roman" w:eastAsia="宋体" w:cs="Times New Roman"/>
                <w:snapToGrid w:val="0"/>
                <w:kern w:val="0"/>
                <w:sz w:val="24"/>
                <w:szCs w:val="24"/>
                <w:highlight w:val="none"/>
                <w:lang w:val="en-US" w:eastAsia="zh-CN" w:bidi="ar-SA"/>
              </w:rPr>
              <w:t>轻、中</w:t>
            </w:r>
            <w:r>
              <w:rPr>
                <w:rFonts w:hint="default" w:ascii="Times New Roman" w:hAnsi="Times New Roman" w:eastAsia="宋体" w:cs="Times New Roman"/>
                <w:snapToGrid w:val="0"/>
                <w:kern w:val="0"/>
                <w:sz w:val="24"/>
                <w:szCs w:val="24"/>
                <w:highlight w:val="none"/>
                <w:lang w:val="en-US" w:eastAsia="zh-CN" w:bidi="ar-SA"/>
              </w:rPr>
              <w:t>度侵蚀为主，而在完成本项目后，土壤侵蚀度可以减弱至</w:t>
            </w:r>
            <w:r>
              <w:rPr>
                <w:rFonts w:hint="eastAsia" w:ascii="Times New Roman" w:hAnsi="Times New Roman" w:eastAsia="宋体" w:cs="Times New Roman"/>
                <w:snapToGrid w:val="0"/>
                <w:kern w:val="0"/>
                <w:sz w:val="24"/>
                <w:szCs w:val="24"/>
                <w:highlight w:val="none"/>
                <w:lang w:val="en-US" w:eastAsia="zh-CN" w:bidi="ar-SA"/>
              </w:rPr>
              <w:t>微</w:t>
            </w:r>
            <w:r>
              <w:rPr>
                <w:rFonts w:hint="default" w:ascii="Times New Roman" w:hAnsi="Times New Roman" w:eastAsia="宋体" w:cs="Times New Roman"/>
                <w:snapToGrid w:val="0"/>
                <w:kern w:val="0"/>
                <w:sz w:val="24"/>
                <w:szCs w:val="24"/>
                <w:highlight w:val="none"/>
                <w:lang w:val="en-US" w:eastAsia="zh-CN" w:bidi="ar-SA"/>
              </w:rPr>
              <w:t>度侵蚀，有利于防风防沙</w:t>
            </w:r>
            <w:r>
              <w:rPr>
                <w:rFonts w:hint="eastAsia" w:ascii="Times New Roman" w:hAnsi="Times New Roman" w:eastAsia="宋体" w:cs="Times New Roman"/>
                <w:snapToGrid w:val="0"/>
                <w:kern w:val="0"/>
                <w:sz w:val="24"/>
                <w:szCs w:val="24"/>
                <w:highlight w:val="none"/>
                <w:lang w:val="en-US" w:eastAsia="zh-CN" w:bidi="ar-SA"/>
              </w:rPr>
              <w:t>。</w:t>
            </w:r>
          </w:p>
          <w:p>
            <w:pPr>
              <w:widowControl w:val="0"/>
              <w:bidi w:val="0"/>
              <w:adjustRightInd w:val="0"/>
              <w:snapToGrid w:val="0"/>
              <w:spacing w:afterLines="0" w:line="500" w:lineRule="exact"/>
              <w:ind w:left="0" w:leftChars="0" w:firstLine="480" w:firstLineChars="200"/>
              <w:jc w:val="both"/>
              <w:rPr>
                <w:rFonts w:hint="default" w:ascii="Times New Roman" w:hAnsi="Times New Roman" w:eastAsia="宋体" w:cs="Times New Roman"/>
                <w:snapToGrid w:val="0"/>
                <w:kern w:val="0"/>
                <w:sz w:val="24"/>
                <w:szCs w:val="24"/>
                <w:highlight w:val="none"/>
                <w:lang w:val="en-US" w:eastAsia="zh-CN" w:bidi="ar-SA"/>
              </w:rPr>
            </w:pPr>
            <w:r>
              <w:rPr>
                <w:rFonts w:hint="eastAsia" w:ascii="Times New Roman" w:hAnsi="Times New Roman" w:eastAsia="宋体" w:cs="Times New Roman"/>
                <w:snapToGrid w:val="0"/>
                <w:kern w:val="0"/>
                <w:sz w:val="24"/>
                <w:szCs w:val="24"/>
                <w:highlight w:val="none"/>
                <w:lang w:val="en-US" w:eastAsia="zh-CN" w:bidi="ar-SA"/>
              </w:rPr>
              <w:t>因此，</w:t>
            </w:r>
            <w:r>
              <w:rPr>
                <w:rFonts w:hint="default" w:ascii="Times New Roman" w:hAnsi="Times New Roman" w:eastAsia="宋体" w:cs="Times New Roman"/>
                <w:snapToGrid w:val="0"/>
                <w:kern w:val="0"/>
                <w:sz w:val="24"/>
                <w:szCs w:val="24"/>
                <w:highlight w:val="none"/>
                <w:lang w:val="en-US" w:eastAsia="zh-CN" w:bidi="ar-SA"/>
              </w:rPr>
              <w:t>随着本项目的进行，人为活动将对区域内生态系统的干预预逐渐增加，本项目范围内的土地利用状况发生了一定变化并表现出一定的变化趋势，原来的土地利用类型发生变化。</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snapToGrid w:val="0"/>
                <w:kern w:val="0"/>
                <w:sz w:val="24"/>
                <w:szCs w:val="24"/>
                <w:highlight w:val="none"/>
                <w:lang w:val="en-US" w:eastAsia="zh-CN" w:bidi="ar-SA"/>
              </w:rPr>
              <w:t>拟建明渠占地</w:t>
            </w:r>
            <w:r>
              <w:rPr>
                <w:rFonts w:hint="eastAsia" w:ascii="Times New Roman" w:hAnsi="Times New Roman" w:cs="Times New Roman"/>
                <w:snapToGrid w:val="0"/>
                <w:kern w:val="0"/>
                <w:sz w:val="24"/>
                <w:szCs w:val="24"/>
                <w:highlight w:val="none"/>
                <w:lang w:val="en-US" w:eastAsia="zh-CN" w:bidi="ar-SA"/>
              </w:rPr>
              <w:t>范围的</w:t>
            </w:r>
            <w:r>
              <w:rPr>
                <w:rFonts w:hint="default" w:ascii="Times New Roman" w:hAnsi="Times New Roman" w:eastAsia="宋体" w:cs="Times New Roman"/>
                <w:snapToGrid w:val="0"/>
                <w:kern w:val="0"/>
                <w:sz w:val="24"/>
                <w:szCs w:val="24"/>
                <w:highlight w:val="none"/>
                <w:lang w:val="en-US" w:eastAsia="zh-CN" w:bidi="ar-SA"/>
              </w:rPr>
              <w:t>土地</w:t>
            </w:r>
            <w:r>
              <w:rPr>
                <w:rFonts w:hint="eastAsia" w:ascii="Times New Roman" w:hAnsi="Times New Roman" w:eastAsia="宋体" w:cs="Times New Roman"/>
                <w:snapToGrid w:val="0"/>
                <w:kern w:val="0"/>
                <w:sz w:val="24"/>
                <w:szCs w:val="24"/>
                <w:highlight w:val="none"/>
                <w:lang w:val="en-US" w:eastAsia="zh-CN" w:bidi="ar-SA"/>
              </w:rPr>
              <w:t>均硬化</w:t>
            </w:r>
            <w:r>
              <w:rPr>
                <w:rFonts w:hint="default" w:ascii="Times New Roman" w:hAnsi="Times New Roman" w:eastAsia="宋体" w:cs="Times New Roman"/>
                <w:snapToGrid w:val="0"/>
                <w:kern w:val="0"/>
                <w:sz w:val="24"/>
                <w:szCs w:val="24"/>
                <w:highlight w:val="none"/>
                <w:lang w:val="en-US" w:eastAsia="zh-CN" w:bidi="ar-SA"/>
              </w:rPr>
              <w:t>，</w:t>
            </w:r>
            <w:r>
              <w:rPr>
                <w:rFonts w:hint="eastAsia" w:ascii="Times New Roman" w:hAnsi="Times New Roman" w:eastAsia="宋体" w:cs="Times New Roman"/>
                <w:snapToGrid w:val="0"/>
                <w:kern w:val="0"/>
                <w:sz w:val="24"/>
                <w:szCs w:val="24"/>
                <w:highlight w:val="none"/>
                <w:lang w:val="en-US" w:eastAsia="zh-CN" w:bidi="ar-SA"/>
              </w:rPr>
              <w:t>拟建明渠占地</w:t>
            </w:r>
            <w:r>
              <w:rPr>
                <w:rFonts w:hint="eastAsia" w:ascii="Times New Roman" w:hAnsi="Times New Roman" w:cs="Times New Roman"/>
                <w:snapToGrid w:val="0"/>
                <w:kern w:val="0"/>
                <w:sz w:val="24"/>
                <w:szCs w:val="24"/>
                <w:highlight w:val="none"/>
                <w:lang w:val="en-US" w:eastAsia="zh-CN" w:bidi="ar-SA"/>
              </w:rPr>
              <w:t>范围内无植被，通过</w:t>
            </w:r>
            <w:r>
              <w:rPr>
                <w:rFonts w:hint="default" w:ascii="Times New Roman" w:hAnsi="Times New Roman" w:eastAsia="宋体" w:cs="Times New Roman"/>
                <w:snapToGrid w:val="0"/>
                <w:kern w:val="0"/>
                <w:sz w:val="24"/>
                <w:szCs w:val="24"/>
                <w:highlight w:val="none"/>
                <w:lang w:val="en-US" w:eastAsia="zh-CN" w:bidi="ar-SA"/>
              </w:rPr>
              <w:t>在</w:t>
            </w:r>
            <w:r>
              <w:rPr>
                <w:rFonts w:hint="eastAsia" w:ascii="Times New Roman" w:hAnsi="Times New Roman" w:eastAsia="宋体" w:cs="Times New Roman"/>
                <w:snapToGrid w:val="0"/>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进行生态补偿</w:t>
            </w:r>
            <w:r>
              <w:rPr>
                <w:rFonts w:hint="default" w:ascii="Times New Roman" w:hAnsi="Times New Roman" w:eastAsia="宋体" w:cs="Times New Roman"/>
                <w:snapToGrid w:val="0"/>
                <w:kern w:val="0"/>
                <w:sz w:val="24"/>
                <w:szCs w:val="24"/>
                <w:highlight w:val="none"/>
                <w:lang w:val="en-US" w:eastAsia="zh-CN" w:bidi="ar-SA"/>
              </w:rPr>
              <w:t>，土壤侵蚀程度减弱，</w:t>
            </w:r>
            <w:r>
              <w:rPr>
                <w:rFonts w:hint="eastAsia" w:ascii="Times New Roman" w:hAnsi="Times New Roman" w:eastAsia="宋体" w:cs="Times New Roman"/>
                <w:snapToGrid w:val="0"/>
                <w:kern w:val="0"/>
                <w:sz w:val="24"/>
                <w:szCs w:val="24"/>
                <w:highlight w:val="none"/>
                <w:lang w:val="en-US" w:eastAsia="zh-CN" w:bidi="ar-SA"/>
              </w:rPr>
              <w:t>因此，</w:t>
            </w:r>
            <w:r>
              <w:rPr>
                <w:rFonts w:hint="default" w:ascii="Times New Roman" w:hAnsi="Times New Roman" w:eastAsia="宋体" w:cs="Times New Roman"/>
                <w:snapToGrid w:val="0"/>
                <w:kern w:val="0"/>
                <w:sz w:val="24"/>
                <w:szCs w:val="24"/>
                <w:highlight w:val="none"/>
                <w:lang w:val="en-US" w:eastAsia="zh-CN" w:bidi="ar-SA"/>
              </w:rPr>
              <w:t>本项目完成后，土地质量较之前有所提高。</w:t>
            </w:r>
          </w:p>
          <w:p>
            <w:pPr>
              <w:pStyle w:val="115"/>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6、</w:t>
            </w:r>
            <w:r>
              <w:rPr>
                <w:rFonts w:hint="default" w:ascii="Times New Roman" w:hAnsi="Times New Roman" w:eastAsia="宋体" w:cs="Times New Roman"/>
                <w:b/>
                <w:bCs/>
                <w:color w:val="000000" w:themeColor="text1"/>
                <w:highlight w:val="none"/>
                <w14:textFill>
                  <w14:solidFill>
                    <w14:schemeClr w14:val="tx1"/>
                  </w14:solidFill>
                </w14:textFill>
              </w:rPr>
              <w:t>施工期环保监管内容</w:t>
            </w:r>
          </w:p>
          <w:p>
            <w:pPr>
              <w:pStyle w:val="24"/>
              <w:spacing w:before="0" w:beforeAutospacing="0" w:after="0" w:afterAutospacing="0" w:line="480" w:lineRule="exact"/>
              <w:ind w:firstLine="480" w:firstLineChars="20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针对施工期主要的环境问题，重点采取三方面环境保护措施：</w:t>
            </w:r>
          </w:p>
          <w:p>
            <w:pPr>
              <w:pStyle w:val="24"/>
              <w:spacing w:before="0" w:beforeAutospacing="0" w:after="0" w:afterAutospacing="0" w:line="480" w:lineRule="exact"/>
              <w:ind w:firstLine="480" w:firstLineChars="20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（1）治理施工扬尘污染。禁止在施工现场露天堆放水泥和石灰，减少扬尘污染。</w:t>
            </w:r>
          </w:p>
          <w:p>
            <w:pPr>
              <w:pStyle w:val="24"/>
              <w:spacing w:before="0" w:beforeAutospacing="0" w:after="0" w:afterAutospacing="0" w:line="480" w:lineRule="exact"/>
              <w:ind w:firstLine="480" w:firstLineChars="200"/>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（2）严格施工现场材料堆放管理，施工现场的各种设施、建筑材料等物料应当按照施工总平面图划定的区域存放，并设置标识，禁止混放。道路工程施工时，必须按照道路标准设置临时辅路，配备洒水降尘措施</w:t>
            </w:r>
            <w:r>
              <w:rPr>
                <w:rFonts w:hint="default" w:ascii="Times New Roman" w:hAnsi="Times New Roman" w:eastAsia="宋体" w:cs="Times New Roman"/>
                <w:color w:val="000000" w:themeColor="text1"/>
                <w:highlight w:val="none"/>
                <w14:textFill>
                  <w14:solidFill>
                    <w14:schemeClr w14:val="tx1"/>
                  </w14:solidFill>
                </w14:textFill>
              </w:rPr>
              <w:t>，施工期间废弃的建筑材料合理处置。</w:t>
            </w:r>
          </w:p>
          <w:p>
            <w:pPr>
              <w:pStyle w:val="11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kern w:val="0"/>
                <w:highlight w:val="none"/>
                <w14:textFill>
                  <w14:solidFill>
                    <w14:schemeClr w14:val="tx1"/>
                  </w14:solidFill>
                </w14:textFill>
              </w:rPr>
              <w:t>3）严格控制建设施工作业时间。对施工现场的强噪声设备须合理布局，远离边界和敏感区，并采取封闭隔声措施，确保噪声达标排放，减少噪声扰民。对车辆装卸、敲击等人为噪声须加强管理，最大限度降低噪声影响。</w:t>
            </w: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000" w:type="pct"/>
            <w:tcBorders>
              <w:bottom w:val="single" w:color="auto" w:sz="4" w:space="0"/>
            </w:tcBorders>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运营期环境影响分析：</w:t>
            </w:r>
          </w:p>
          <w:p>
            <w:pPr>
              <w:pStyle w:val="5"/>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大气环境影响分析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本项目只对矿井水进行物化处理，无生化处理过程，因此无恶臭气体产生。</w:t>
            </w:r>
          </w:p>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2、地表水环境影响分析</w:t>
            </w:r>
          </w:p>
          <w:p>
            <w:pPr>
              <w:pStyle w:val="5"/>
              <w:pageBreakBefore w:val="0"/>
              <w:widowControl w:val="0"/>
              <w:numPr>
                <w:ilvl w:val="0"/>
                <w:numId w:val="0"/>
              </w:numPr>
              <w:tabs>
                <w:tab w:val="left" w:pos="1304"/>
              </w:tabs>
              <w:kinsoku/>
              <w:wordWrap/>
              <w:overflowPunct/>
              <w:topLinePunct w:val="0"/>
              <w:autoSpaceDE/>
              <w:autoSpaceDN/>
              <w:bidi w:val="0"/>
              <w:adjustRightInd w:val="0"/>
              <w:snapToGrid w:val="0"/>
              <w:spacing w:after="0" w:line="480" w:lineRule="exact"/>
              <w:ind w:left="0" w:leftChars="0" w:right="0" w:rightChars="0" w:firstLine="482"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2.1、</w:t>
            </w:r>
            <w:r>
              <w:rPr>
                <w:rFonts w:hint="default" w:ascii="Times New Roman" w:hAnsi="Times New Roman" w:eastAsia="宋体" w:cs="Times New Roman"/>
              </w:rPr>
              <w:t>评价工作等级确定</w:t>
            </w:r>
          </w:p>
          <w:p>
            <w:pPr>
              <w:spacing w:line="480" w:lineRule="exact"/>
              <w:ind w:firstLine="480"/>
              <w:textAlignment w:val="center"/>
              <w:outlineLvl w:val="2"/>
              <w:rPr>
                <w:rFonts w:hint="default" w:ascii="Times New Roman" w:hAnsi="Times New Roman" w:eastAsia="宋体" w:cs="Times New Roman"/>
                <w:bCs/>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由表</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1-7、1-8可知，本项目采暖期日排水量为278.96m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/d，非采暖期日排水量为154.26m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w:t>
            </w:r>
            <w:r>
              <w:rPr>
                <w:rFonts w:hint="default" w:ascii="Times New Roman" w:hAnsi="Times New Roman" w:eastAsia="宋体" w:cs="Times New Roman"/>
                <w:bCs/>
                <w:color w:val="000000" w:themeColor="text1"/>
                <w:kern w:val="0"/>
                <w:highlight w:val="none"/>
                <w14:textFill>
                  <w14:solidFill>
                    <w14:schemeClr w14:val="tx1"/>
                  </w14:solidFill>
                </w14:textFill>
              </w:rPr>
              <w:t>。</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则，本项目各污染物排放情况见下表。</w:t>
            </w:r>
          </w:p>
          <w:p>
            <w:pPr>
              <w:pStyle w:val="122"/>
              <w:bidi w:val="0"/>
              <w:rPr>
                <w:rFonts w:hint="default" w:ascii="Times New Roman" w:hAnsi="Times New Roman" w:eastAsia="宋体" w:cs="Times New Roman"/>
                <w:lang w:val="en-US" w:eastAsia="zh-CN"/>
              </w:rPr>
            </w:pP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2</w:t>
            </w:r>
            <w:r>
              <w:rPr>
                <w:rFonts w:hint="default" w:ascii="Times New Roman" w:hAnsi="Times New Roman" w:eastAsia="宋体" w:cs="Times New Roman"/>
                <w:lang w:val="en-US" w:eastAsia="zh-CN"/>
              </w:rPr>
              <w:t xml:space="preserve">    废水污染物源强</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67"/>
              <w:gridCol w:w="2072"/>
              <w:gridCol w:w="3250"/>
              <w:gridCol w:w="15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Merge w:val="restart"/>
                  <w:vAlign w:val="center"/>
                </w:tcPr>
                <w:p>
                  <w:pPr>
                    <w:spacing w:line="240" w:lineRule="auto"/>
                    <w:ind w:left="420" w:hanging="422" w:hangingChars="20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污染物</w:t>
                  </w:r>
                </w:p>
              </w:tc>
              <w:tc>
                <w:tcPr>
                  <w:tcW w:w="2944" w:type="pct"/>
                  <w:gridSpan w:val="2"/>
                  <w:vAlign w:val="center"/>
                </w:tcPr>
                <w:p>
                  <w:pPr>
                    <w:spacing w:line="240" w:lineRule="auto"/>
                    <w:ind w:left="420" w:hanging="422" w:hangingChars="20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lang w:eastAsia="zh-CN"/>
                      <w14:textFill>
                        <w14:solidFill>
                          <w14:schemeClr w14:val="tx1"/>
                        </w14:solidFill>
                      </w14:textFill>
                    </w:rPr>
                    <w:t>外排水</w:t>
                  </w:r>
                  <w:r>
                    <w:rPr>
                      <w:rFonts w:hint="default" w:ascii="Times New Roman" w:hAnsi="Times New Roman" w:eastAsia="宋体" w:cs="Times New Roman"/>
                      <w:b/>
                      <w:bCs/>
                      <w:color w:val="000000" w:themeColor="text1"/>
                      <w:sz w:val="21"/>
                      <w:highlight w:val="none"/>
                      <w14:textFill>
                        <w14:solidFill>
                          <w14:schemeClr w14:val="tx1"/>
                        </w14:solidFill>
                      </w14:textFill>
                    </w:rPr>
                    <w:t>排放量</w:t>
                  </w:r>
                </w:p>
              </w:tc>
              <w:tc>
                <w:tcPr>
                  <w:tcW w:w="855" w:type="pct"/>
                  <w:vMerge w:val="restart"/>
                  <w:vAlign w:val="center"/>
                </w:tcPr>
                <w:p>
                  <w:pPr>
                    <w:spacing w:line="240" w:lineRule="auto"/>
                    <w:ind w:left="420" w:hanging="422" w:hangingChars="200"/>
                    <w:jc w:val="center"/>
                    <w:rPr>
                      <w:rFonts w:hint="default" w:ascii="Times New Roman" w:hAnsi="Times New Roman" w:eastAsia="宋体" w:cs="Times New Roman"/>
                      <w:color w:val="000000" w:themeColor="text1"/>
                      <w:sz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highlight w:val="none"/>
                      <w:lang w:eastAsia="zh-CN"/>
                      <w14:textFill>
                        <w14:solidFill>
                          <w14:schemeClr w14:val="tx1"/>
                        </w14:solidFill>
                      </w14:textFill>
                    </w:rPr>
                    <w:t>废水量（</w:t>
                  </w:r>
                  <w:r>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t>/s</w:t>
                  </w:r>
                  <w:r>
                    <w:rPr>
                      <w:rFonts w:hint="default" w:ascii="Times New Roman" w:hAnsi="Times New Roman" w:eastAsia="宋体" w:cs="Times New Roman"/>
                      <w:b/>
                      <w:bCs/>
                      <w:color w:val="000000" w:themeColor="text1"/>
                      <w:sz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Merge w:val="continue"/>
                  <w:vAlign w:val="center"/>
                </w:tcPr>
                <w:p>
                  <w:pPr>
                    <w:spacing w:line="240" w:lineRule="auto"/>
                    <w:ind w:left="420" w:hanging="422" w:hangingChars="20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p>
              </w:tc>
              <w:tc>
                <w:tcPr>
                  <w:tcW w:w="1146" w:type="pct"/>
                  <w:vAlign w:val="center"/>
                </w:tcPr>
                <w:p>
                  <w:pPr>
                    <w:spacing w:line="240" w:lineRule="auto"/>
                    <w:ind w:left="420" w:hanging="422" w:hangingChars="20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水质mg/L</w:t>
                  </w:r>
                </w:p>
              </w:tc>
              <w:tc>
                <w:tcPr>
                  <w:tcW w:w="1798" w:type="pct"/>
                  <w:vAlign w:val="center"/>
                </w:tcPr>
                <w:p>
                  <w:pPr>
                    <w:spacing w:line="240" w:lineRule="auto"/>
                    <w:ind w:left="420" w:hanging="422" w:hangingChars="20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污染物排放量t/a</w:t>
                  </w:r>
                </w:p>
              </w:tc>
              <w:tc>
                <w:tcPr>
                  <w:tcW w:w="855" w:type="pct"/>
                  <w:vMerge w:val="continue"/>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废水量</w:t>
                  </w:r>
                </w:p>
              </w:tc>
              <w:tc>
                <w:tcPr>
                  <w:tcW w:w="2944" w:type="pct"/>
                  <w:gridSpan w:val="2"/>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78750.9</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/a</w:t>
                  </w:r>
                </w:p>
              </w:tc>
              <w:tc>
                <w:tcPr>
                  <w:tcW w:w="855" w:type="pct"/>
                  <w:vMerge w:val="continue"/>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COD</w:t>
                  </w:r>
                  <w:r>
                    <w:rPr>
                      <w:rFonts w:hint="default" w:ascii="Times New Roman" w:hAnsi="Times New Roman" w:eastAsia="宋体" w:cs="Times New Roman"/>
                      <w:color w:val="000000" w:themeColor="text1"/>
                      <w:sz w:val="21"/>
                      <w:highlight w:val="none"/>
                      <w:vertAlign w:val="subscript"/>
                      <w14:textFill>
                        <w14:solidFill>
                          <w14:schemeClr w14:val="tx1"/>
                        </w14:solidFill>
                      </w14:textFill>
                    </w:rPr>
                    <w:t>cr</w:t>
                  </w:r>
                </w:p>
              </w:tc>
              <w:tc>
                <w:tcPr>
                  <w:tcW w:w="1146"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20</w:t>
                  </w:r>
                </w:p>
              </w:tc>
              <w:tc>
                <w:tcPr>
                  <w:tcW w:w="3173" w:type="dxa"/>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c>
                <w:tcPr>
                  <w:tcW w:w="855" w:type="pct"/>
                  <w:vMerge w:val="restart"/>
                  <w:vAlign w:val="center"/>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t>0.0025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NH</w:t>
                  </w:r>
                  <w:r>
                    <w:rPr>
                      <w:rFonts w:hint="default" w:ascii="Times New Roman" w:hAnsi="Times New Roman" w:eastAsia="宋体" w:cs="Times New Roman"/>
                      <w:color w:val="000000" w:themeColor="text1"/>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highlight w:val="none"/>
                      <w14:textFill>
                        <w14:solidFill>
                          <w14:schemeClr w14:val="tx1"/>
                        </w14:solidFill>
                      </w14:textFill>
                    </w:rPr>
                    <w:t>-N</w:t>
                  </w:r>
                </w:p>
              </w:tc>
              <w:tc>
                <w:tcPr>
                  <w:tcW w:w="1146"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3173" w:type="dxa"/>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c>
                <w:tcPr>
                  <w:tcW w:w="855" w:type="pct"/>
                  <w:vMerge w:val="continue"/>
                  <w:vAlign w:val="center"/>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99" w:type="pct"/>
                  <w:vAlign w:val="center"/>
                </w:tcPr>
                <w:p>
                  <w:pPr>
                    <w:spacing w:line="240" w:lineRule="auto"/>
                    <w:ind w:left="420" w:hanging="420" w:hangingChars="20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TP</w:t>
                  </w:r>
                </w:p>
              </w:tc>
              <w:tc>
                <w:tcPr>
                  <w:tcW w:w="1146"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3173" w:type="dxa"/>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c>
                <w:tcPr>
                  <w:tcW w:w="855" w:type="pct"/>
                  <w:vMerge w:val="continue"/>
                  <w:vAlign w:val="center"/>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p>
              </w:tc>
            </w:tr>
          </w:tbl>
          <w:p>
            <w:pPr>
              <w:pStyle w:val="12"/>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本项目属于水污染影响型建设项目，按《环境影响评价技术导则—地表水环境》（HJ</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2.3-2018）</w:t>
            </w:r>
            <w:r>
              <w:rPr>
                <w:rFonts w:hint="default" w:ascii="Times New Roman" w:hAnsi="Times New Roman" w:eastAsia="宋体" w:cs="Times New Roman"/>
                <w:spacing w:val="-5"/>
              </w:rPr>
              <w:t>，水污染物当量数核算见表</w:t>
            </w:r>
            <w:r>
              <w:rPr>
                <w:rFonts w:hint="default" w:ascii="Times New Roman" w:hAnsi="Times New Roman" w:eastAsia="宋体" w:cs="Times New Roman"/>
              </w:rPr>
              <w:t>7-</w:t>
            </w:r>
            <w:r>
              <w:rPr>
                <w:rFonts w:hint="eastAsia" w:cs="Times New Roman"/>
                <w:lang w:val="en-US" w:eastAsia="zh-CN"/>
              </w:rPr>
              <w:t>3</w:t>
            </w:r>
            <w:r>
              <w:rPr>
                <w:rFonts w:hint="default" w:ascii="Times New Roman" w:hAnsi="Times New Roman" w:eastAsia="宋体" w:cs="Times New Roman"/>
                <w:spacing w:val="-1"/>
              </w:rPr>
              <w:t>；建设项目地表水环境影响评价等级按照影</w:t>
            </w:r>
            <w:r>
              <w:rPr>
                <w:rFonts w:hint="default" w:ascii="Times New Roman" w:hAnsi="Times New Roman" w:eastAsia="宋体" w:cs="Times New Roman"/>
              </w:rPr>
              <w:t>响类型、排放方式、排放量或影响情况、受纳水体环境质量现状、水环境保护目标等综合</w:t>
            </w:r>
            <w:r>
              <w:rPr>
                <w:rFonts w:hint="default" w:ascii="Times New Roman" w:hAnsi="Times New Roman" w:eastAsia="宋体" w:cs="Times New Roman"/>
                <w:spacing w:val="-5"/>
              </w:rPr>
              <w:t>确定，划分评价等级见表</w:t>
            </w:r>
            <w:r>
              <w:rPr>
                <w:rFonts w:hint="default" w:ascii="Times New Roman" w:hAnsi="Times New Roman" w:eastAsia="宋体" w:cs="Times New Roman"/>
              </w:rPr>
              <w:t>7-</w:t>
            </w:r>
            <w:r>
              <w:rPr>
                <w:rFonts w:hint="eastAsia" w:cs="Times New Roman"/>
                <w:lang w:val="en-US" w:eastAsia="zh-CN"/>
              </w:rPr>
              <w:t>4</w:t>
            </w:r>
            <w:r>
              <w:rPr>
                <w:rFonts w:hint="default" w:ascii="Times New Roman" w:hAnsi="Times New Roman" w:eastAsia="宋体" w:cs="Times New Roman"/>
              </w:rPr>
              <w:t>。</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3</w:t>
            </w:r>
            <w:r>
              <w:rPr>
                <w:rFonts w:hint="default" w:ascii="Times New Roman" w:hAnsi="Times New Roman" w:eastAsia="宋体" w:cs="Times New Roman"/>
                <w:lang w:val="en-US" w:eastAsia="zh-CN"/>
              </w:rPr>
              <w:t xml:space="preserve">    水污染当量数核算表</w:t>
            </w:r>
          </w:p>
          <w:tbl>
            <w:tblPr>
              <w:tblStyle w:val="27"/>
              <w:tblW w:w="498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88"/>
              <w:gridCol w:w="1580"/>
              <w:gridCol w:w="1811"/>
              <w:gridCol w:w="2634"/>
              <w:gridCol w:w="17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60" w:type="pct"/>
                  <w:tcBorders>
                    <w:tl2br w:val="nil"/>
                    <w:tr2bl w:val="nil"/>
                  </w:tcBorders>
                  <w:vAlign w:val="center"/>
                </w:tcPr>
                <w:p>
                  <w:pPr>
                    <w:pStyle w:val="77"/>
                    <w:keepNext w:val="0"/>
                    <w:keepLines w:val="0"/>
                    <w:pageBreakBefore w:val="0"/>
                    <w:widowControl w:val="0"/>
                    <w:kinsoku/>
                    <w:wordWrap/>
                    <w:overflowPunct/>
                    <w:topLinePunct w:val="0"/>
                    <w:autoSpaceDE w:val="0"/>
                    <w:autoSpaceDN w:val="0"/>
                    <w:bidi w:val="0"/>
                    <w:adjustRightInd w:val="0"/>
                    <w:snapToGrid/>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877" w:type="pct"/>
                  <w:tcBorders>
                    <w:tl2br w:val="nil"/>
                    <w:tr2bl w:val="nil"/>
                  </w:tcBorders>
                  <w:vAlign w:val="center"/>
                </w:tcPr>
                <w:p>
                  <w:pPr>
                    <w:pStyle w:val="77"/>
                    <w:keepNext w:val="0"/>
                    <w:keepLines w:val="0"/>
                    <w:pageBreakBefore w:val="0"/>
                    <w:widowControl w:val="0"/>
                    <w:kinsoku/>
                    <w:wordWrap/>
                    <w:overflowPunct/>
                    <w:topLinePunct w:val="0"/>
                    <w:bidi w:val="0"/>
                    <w:snapToGrid/>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污染物</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sz w:val="21"/>
                      <w:szCs w:val="21"/>
                    </w:rPr>
                  </w:pPr>
                  <w:r>
                    <w:rPr>
                      <w:rFonts w:hint="default"/>
                      <w:b/>
                      <w:bCs/>
                      <w:sz w:val="21"/>
                      <w:szCs w:val="21"/>
                    </w:rPr>
                    <w:t>年排放量（kg）</w:t>
                  </w:r>
                </w:p>
              </w:tc>
              <w:tc>
                <w:tcPr>
                  <w:tcW w:w="14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sz w:val="21"/>
                      <w:szCs w:val="21"/>
                    </w:rPr>
                  </w:pPr>
                  <w:r>
                    <w:rPr>
                      <w:rFonts w:hint="default"/>
                      <w:b/>
                      <w:bCs/>
                      <w:sz w:val="21"/>
                      <w:szCs w:val="21"/>
                    </w:rPr>
                    <w:t>污染物污染当量值（kg）</w:t>
                  </w:r>
                </w:p>
              </w:tc>
              <w:tc>
                <w:tcPr>
                  <w:tcW w:w="994" w:type="pct"/>
                  <w:tcBorders>
                    <w:tl2br w:val="nil"/>
                    <w:tr2bl w:val="nil"/>
                  </w:tcBorders>
                  <w:vAlign w:val="center"/>
                </w:tcPr>
                <w:p>
                  <w:pPr>
                    <w:pStyle w:val="77"/>
                    <w:keepNext w:val="0"/>
                    <w:keepLines w:val="0"/>
                    <w:pageBreakBefore w:val="0"/>
                    <w:widowControl w:val="0"/>
                    <w:kinsoku/>
                    <w:wordWrap/>
                    <w:overflowPunct/>
                    <w:topLinePunct w:val="0"/>
                    <w:bidi w:val="0"/>
                    <w:snapToGrid/>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当量数（W）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1</w:t>
                  </w:r>
                </w:p>
              </w:tc>
              <w:tc>
                <w:tcPr>
                  <w:tcW w:w="8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CODcr</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1575</w:t>
                  </w:r>
                </w:p>
              </w:tc>
              <w:tc>
                <w:tcPr>
                  <w:tcW w:w="14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1</w:t>
                  </w:r>
                </w:p>
              </w:tc>
              <w:tc>
                <w:tcPr>
                  <w:tcW w:w="99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1575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2</w:t>
                  </w:r>
                </w:p>
              </w:tc>
              <w:tc>
                <w:tcPr>
                  <w:tcW w:w="8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79</w:t>
                  </w:r>
                </w:p>
              </w:tc>
              <w:tc>
                <w:tcPr>
                  <w:tcW w:w="14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0.8</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98.75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3</w:t>
                  </w:r>
                </w:p>
              </w:tc>
              <w:tc>
                <w:tcPr>
                  <w:tcW w:w="8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TP</w:t>
                  </w:r>
                </w:p>
              </w:tc>
              <w:tc>
                <w:tcPr>
                  <w:tcW w:w="10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16</w:t>
                  </w:r>
                </w:p>
              </w:tc>
              <w:tc>
                <w:tcPr>
                  <w:tcW w:w="14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rPr>
                  </w:pPr>
                  <w:r>
                    <w:rPr>
                      <w:rFonts w:hint="default"/>
                      <w:sz w:val="21"/>
                      <w:szCs w:val="21"/>
                    </w:rPr>
                    <w:t>0.25</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sz w:val="21"/>
                      <w:szCs w:val="21"/>
                      <w:lang w:val="en-US" w:eastAsia="zh-CN"/>
                    </w:rPr>
                  </w:pPr>
                  <w:r>
                    <w:rPr>
                      <w:rFonts w:hint="default"/>
                      <w:sz w:val="21"/>
                      <w:szCs w:val="21"/>
                      <w:lang w:val="en-US" w:eastAsia="zh-CN"/>
                    </w:rPr>
                    <w:t>64</w:t>
                  </w:r>
                </w:p>
              </w:tc>
            </w:tr>
          </w:tbl>
          <w:p>
            <w:pPr>
              <w:spacing w:line="480" w:lineRule="exact"/>
              <w:ind w:firstLine="480"/>
              <w:textAlignment w:val="center"/>
              <w:outlineLvl w:val="2"/>
              <w:rPr>
                <w:rFonts w:hint="default" w:ascii="Times New Roman" w:hAnsi="Times New Roman" w:eastAsia="宋体" w:cs="Times New Roman"/>
                <w:bCs/>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sz w:val="21"/>
              </w:rPr>
              <w:t>注：项目矿井水污染物主要为COD、NH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-N、TP</w:t>
            </w:r>
            <w:r>
              <w:rPr>
                <w:rFonts w:hint="default" w:ascii="Times New Roman" w:hAnsi="Times New Roman" w:eastAsia="宋体" w:cs="Times New Roman"/>
                <w:sz w:val="21"/>
                <w:lang w:eastAsia="zh-CN"/>
              </w:rPr>
              <w:t>，因此本次用</w:t>
            </w:r>
            <w:r>
              <w:rPr>
                <w:rFonts w:hint="default" w:ascii="Times New Roman" w:hAnsi="Times New Roman" w:eastAsia="宋体" w:cs="Times New Roman"/>
                <w:sz w:val="21"/>
              </w:rPr>
              <w:t>COD、NH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-N、TP进行核算。</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4</w:t>
            </w:r>
            <w:r>
              <w:rPr>
                <w:rFonts w:hint="default" w:ascii="Times New Roman" w:hAnsi="Times New Roman" w:eastAsia="宋体" w:cs="Times New Roman"/>
                <w:lang w:val="en-US" w:eastAsia="zh-CN"/>
              </w:rPr>
              <w:t xml:space="preserve">    水污染影响型建设项目评价等级判定</w:t>
            </w:r>
          </w:p>
          <w:tbl>
            <w:tblPr>
              <w:tblStyle w:val="27"/>
              <w:tblW w:w="4999" w:type="pct"/>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54"/>
              <w:gridCol w:w="1747"/>
              <w:gridCol w:w="54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评价等级</w:t>
                  </w:r>
                </w:p>
              </w:tc>
              <w:tc>
                <w:tcPr>
                  <w:tcW w:w="397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判定依据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30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废水排放量Q/（m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/d）；水污染物当量数W/（无量纲）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0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Q≥20000 或 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9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0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三级A</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0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Q＜200且W＜6000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三级B</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间接排放</w:t>
                  </w:r>
                </w:p>
              </w:tc>
              <w:tc>
                <w:tcPr>
                  <w:tcW w:w="30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lang w:eastAsia="zh-CN"/>
              </w:rPr>
            </w:pPr>
            <w:r>
              <w:rPr>
                <w:rFonts w:hint="default" w:ascii="Times New Roman" w:hAnsi="Times New Roman" w:eastAsia="宋体" w:cs="Times New Roman"/>
              </w:rPr>
              <w:t>本项目矿井水经自建</w:t>
            </w:r>
            <w:r>
              <w:rPr>
                <w:rFonts w:hint="default" w:ascii="Times New Roman" w:hAnsi="Times New Roman" w:eastAsia="宋体" w:cs="Times New Roman"/>
                <w:lang w:eastAsia="zh-CN"/>
              </w:rPr>
              <w:t>矿井水</w:t>
            </w:r>
            <w:r>
              <w:rPr>
                <w:rFonts w:hint="default" w:ascii="Times New Roman" w:hAnsi="Times New Roman" w:eastAsia="宋体" w:cs="Times New Roman"/>
              </w:rPr>
              <w:t>处理系统处理后排至</w:t>
            </w:r>
            <w:r>
              <w:rPr>
                <w:rFonts w:hint="default" w:ascii="Times New Roman" w:hAnsi="Times New Roman" w:eastAsia="宋体" w:cs="Times New Roman"/>
                <w:lang w:eastAsia="zh-CN"/>
              </w:rPr>
              <w:t>大沙沟</w:t>
            </w:r>
            <w:r>
              <w:rPr>
                <w:rFonts w:hint="default" w:ascii="Times New Roman" w:hAnsi="Times New Roman" w:eastAsia="宋体" w:cs="Times New Roman"/>
              </w:rPr>
              <w:t>，属于直接排放。</w:t>
            </w:r>
            <w:r>
              <w:rPr>
                <w:rFonts w:hint="default" w:ascii="Times New Roman" w:hAnsi="Times New Roman" w:eastAsia="宋体" w:cs="Times New Roman"/>
                <w:lang w:eastAsia="zh-CN"/>
              </w:rPr>
              <w:t>矿井水采暖期日</w:t>
            </w:r>
            <w:r>
              <w:rPr>
                <w:rFonts w:hint="default" w:ascii="Times New Roman" w:hAnsi="Times New Roman" w:eastAsia="宋体" w:cs="Times New Roman"/>
              </w:rPr>
              <w:t>排放量Q为</w:t>
            </w:r>
            <w:r>
              <w:rPr>
                <w:rFonts w:hint="default" w:ascii="Times New Roman" w:hAnsi="Times New Roman" w:eastAsia="宋体" w:cs="Times New Roman"/>
                <w:lang w:val="en-US" w:eastAsia="zh-CN"/>
              </w:rPr>
              <w:t>278.96</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/d，水污染物最大当量数W为</w:t>
            </w:r>
            <w:r>
              <w:rPr>
                <w:rFonts w:hint="default" w:ascii="Times New Roman" w:hAnsi="Times New Roman" w:eastAsia="宋体" w:cs="Times New Roman"/>
                <w:lang w:val="en-US" w:eastAsia="zh-CN"/>
              </w:rPr>
              <w:t>1575</w:t>
            </w:r>
            <w:r>
              <w:rPr>
                <w:rFonts w:hint="default" w:ascii="Times New Roman" w:hAnsi="Times New Roman" w:eastAsia="宋体" w:cs="Times New Roman"/>
              </w:rPr>
              <w:t>（无量纲），即Q＞200</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W＜6000</w:t>
            </w:r>
            <w:r>
              <w:rPr>
                <w:rFonts w:hint="default" w:ascii="Times New Roman" w:hAnsi="Times New Roman" w:eastAsia="宋体" w:cs="Times New Roman"/>
              </w:rPr>
              <w:t>。因此，本项目地表水影响评价等级为二级。</w:t>
            </w:r>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2.2</w:t>
            </w:r>
            <w:r>
              <w:rPr>
                <w:rFonts w:hint="default" w:ascii="Times New Roman" w:hAnsi="Times New Roman" w:eastAsia="宋体" w:cs="Times New Roman"/>
                <w:b/>
                <w:bCs/>
                <w:color w:val="000000" w:themeColor="text1"/>
                <w:highlight w:val="none"/>
                <w:lang w:eastAsia="zh-CN"/>
                <w14:textFill>
                  <w14:solidFill>
                    <w14:schemeClr w14:val="tx1"/>
                  </w14:solidFill>
                </w14:textFill>
              </w:rPr>
              <w:t>、矿井水处理站达标可行性分析</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根据</w:t>
            </w:r>
            <w:r>
              <w:rPr>
                <w:rFonts w:hint="default" w:ascii="Times New Roman" w:hAnsi="Times New Roman" w:eastAsia="宋体" w:cs="Times New Roman"/>
                <w:bCs/>
                <w:color w:val="000000" w:themeColor="text1"/>
                <w:kern w:val="0"/>
                <w:highlight w:val="none"/>
                <w14:textFill>
                  <w14:solidFill>
                    <w14:schemeClr w14:val="tx1"/>
                  </w14:solidFill>
                </w14:textFill>
              </w:rPr>
              <w:t>山西朔州平鲁区兰花永胜煤业有限公司</w:t>
            </w:r>
            <w:r>
              <w:rPr>
                <w:rFonts w:hint="eastAsia" w:cs="Times New Roman"/>
                <w:bCs/>
                <w:color w:val="000000" w:themeColor="text1"/>
                <w:kern w:val="0"/>
                <w:highlight w:val="none"/>
                <w:lang w:eastAsia="zh-CN"/>
                <w14:textFill>
                  <w14:solidFill>
                    <w14:schemeClr w14:val="tx1"/>
                  </w14:solidFill>
                </w14:textFill>
              </w:rPr>
              <w:t>提供的设计进水水质及矿井水处理方案：</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调节、混凝、沉淀、过滤、超滤、消毒</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w:t>
            </w:r>
            <w:r>
              <w:rPr>
                <w:rFonts w:hint="eastAsia" w:cs="Times New Roman"/>
                <w:bCs/>
                <w:color w:val="000000" w:themeColor="text1"/>
                <w:kern w:val="0"/>
                <w:highlight w:val="none"/>
                <w:lang w:eastAsia="zh-CN"/>
                <w14:textFill>
                  <w14:solidFill>
                    <w14:schemeClr w14:val="tx1"/>
                  </w14:solidFill>
                </w14:textFill>
              </w:rPr>
              <w:t>根据第五章建设项目工程分析可知，本项目外排水</w:t>
            </w:r>
            <w:r>
              <w:rPr>
                <w:rFonts w:hint="default" w:ascii="Times New Roman" w:hAnsi="Times New Roman" w:eastAsia="宋体" w:cs="Times New Roman"/>
                <w:bCs/>
                <w:color w:val="000000" w:themeColor="text1"/>
                <w:kern w:val="0"/>
                <w:highlight w:val="none"/>
                <w14:textFill>
                  <w14:solidFill>
                    <w14:schemeClr w14:val="tx1"/>
                  </w14:solidFill>
                </w14:textFill>
              </w:rPr>
              <w:t>出水中</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各</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污染</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物浓度</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均能</w:t>
            </w:r>
            <w:r>
              <w:rPr>
                <w:rFonts w:hint="eastAsia" w:cs="Times New Roman"/>
                <w:bCs/>
                <w:color w:val="000000" w:themeColor="text1"/>
                <w:kern w:val="0"/>
                <w:highlight w:val="none"/>
                <w:lang w:eastAsia="zh-CN"/>
                <w14:textFill>
                  <w14:solidFill>
                    <w14:schemeClr w14:val="tx1"/>
                  </w14:solidFill>
                </w14:textFill>
              </w:rPr>
              <w:t>保证</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达到</w:t>
            </w:r>
            <w:r>
              <w:rPr>
                <w:rFonts w:hint="default" w:ascii="Times New Roman" w:hAnsi="Times New Roman" w:eastAsia="宋体" w:cs="Times New Roman"/>
                <w:bCs/>
                <w:color w:val="000000" w:themeColor="text1"/>
                <w:kern w:val="0"/>
                <w:highlight w:val="none"/>
                <w14:textFill>
                  <w14:solidFill>
                    <w14:schemeClr w14:val="tx1"/>
                  </w14:solidFill>
                </w14:textFill>
              </w:rPr>
              <w:t>《地表水环境质量标准》（GB 3838-2002）中Ⅲ类水水质标准</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，说明</w:t>
            </w:r>
            <w:r>
              <w:rPr>
                <w:rFonts w:hint="eastAsia" w:cs="Times New Roman"/>
                <w:bCs/>
                <w:color w:val="000000" w:themeColor="text1"/>
                <w:kern w:val="0"/>
                <w:highlight w:val="none"/>
                <w:lang w:eastAsia="zh-CN"/>
                <w14:textFill>
                  <w14:solidFill>
                    <w14:schemeClr w14:val="tx1"/>
                  </w14:solidFill>
                </w14:textFill>
              </w:rPr>
              <w:t>采用的</w:t>
            </w:r>
            <w:r>
              <w:rPr>
                <w:rFonts w:hint="default" w:ascii="Times New Roman" w:hAnsi="Times New Roman" w:eastAsia="宋体" w:cs="Times New Roman"/>
                <w:bCs/>
                <w:color w:val="000000" w:themeColor="text1"/>
                <w:kern w:val="0"/>
                <w:highlight w:val="none"/>
                <w:lang w:eastAsia="zh-CN"/>
                <w14:textFill>
                  <w14:solidFill>
                    <w14:schemeClr w14:val="tx1"/>
                  </w14:solidFill>
                </w14:textFill>
              </w:rPr>
              <w:t>处理工艺</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是可行的，外排水质是达标的。</w:t>
            </w:r>
          </w:p>
          <w:p>
            <w:pPr>
              <w:keepNext w:val="0"/>
              <w:keepLines w:val="0"/>
              <w:pageBreakBefore w:val="0"/>
              <w:widowControl w:val="0"/>
              <w:kinsoku/>
              <w:wordWrap/>
              <w:overflowPunct/>
              <w:topLinePunct w:val="0"/>
              <w:autoSpaceDE/>
              <w:bidi w:val="0"/>
              <w:spacing w:line="480" w:lineRule="exact"/>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、地表水</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现状监测</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w:t>
            </w:r>
            <w:r>
              <w:rPr>
                <w:rFonts w:hint="default" w:ascii="Times New Roman" w:hAnsi="Times New Roman" w:eastAsia="宋体" w:cs="Times New Roman"/>
                <w:b/>
                <w:bCs/>
                <w:sz w:val="24"/>
                <w:szCs w:val="24"/>
                <w:lang w:val="en-US" w:eastAsia="zh-CN"/>
              </w:rPr>
              <w:t>监测点位</w:t>
            </w:r>
          </w:p>
          <w:p>
            <w:pPr>
              <w:pStyle w:val="2"/>
              <w:keepNext w:val="0"/>
              <w:keepLines w:val="0"/>
              <w:pageBreakBefore w:val="0"/>
              <w:widowControl w:val="0"/>
              <w:kinsoku/>
              <w:wordWrap/>
              <w:overflowPunct/>
              <w:topLinePunct w:val="0"/>
              <w:autoSpaceDE/>
              <w:bidi w:val="0"/>
              <w:adjustRightInd w:val="0"/>
              <w:snapToGrid w:val="0"/>
              <w:spacing w:line="480" w:lineRule="exact"/>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监测点位见</w:t>
            </w:r>
            <w:r>
              <w:rPr>
                <w:rFonts w:hint="eastAsia" w:ascii="Times New Roman" w:hAnsi="Times New Roman" w:cs="Times New Roman"/>
                <w:kern w:val="2"/>
                <w:sz w:val="24"/>
                <w:szCs w:val="24"/>
                <w:lang w:val="en-US" w:eastAsia="zh-CN" w:bidi="ar-SA"/>
              </w:rPr>
              <w:t>下</w:t>
            </w:r>
            <w:r>
              <w:rPr>
                <w:rFonts w:hint="default" w:ascii="Times New Roman" w:hAnsi="Times New Roman" w:eastAsia="宋体" w:cs="Times New Roman"/>
                <w:kern w:val="2"/>
                <w:sz w:val="24"/>
                <w:szCs w:val="24"/>
                <w:lang w:val="en-US" w:eastAsia="zh-CN" w:bidi="ar-SA"/>
              </w:rPr>
              <w:t>表和</w:t>
            </w:r>
            <w:r>
              <w:rPr>
                <w:rFonts w:hint="eastAsia" w:ascii="Times New Roman" w:hAnsi="Times New Roman" w:cs="Times New Roman"/>
                <w:kern w:val="2"/>
                <w:sz w:val="24"/>
                <w:szCs w:val="24"/>
                <w:lang w:val="en-US" w:eastAsia="zh-CN" w:bidi="ar-SA"/>
              </w:rPr>
              <w:t>下</w:t>
            </w:r>
            <w:r>
              <w:rPr>
                <w:rFonts w:hint="default" w:ascii="Times New Roman" w:hAnsi="Times New Roman" w:eastAsia="宋体" w:cs="Times New Roman"/>
                <w:kern w:val="2"/>
                <w:sz w:val="24"/>
                <w:szCs w:val="24"/>
                <w:lang w:val="en-US" w:eastAsia="zh-CN" w:bidi="ar-SA"/>
              </w:rPr>
              <w:t>图</w:t>
            </w:r>
            <w:r>
              <w:rPr>
                <w:rFonts w:hint="eastAsia" w:ascii="Times New Roman" w:hAnsi="Times New Roman" w:cs="Times New Roman"/>
                <w:kern w:val="2"/>
                <w:sz w:val="24"/>
                <w:szCs w:val="24"/>
                <w:lang w:val="en-US" w:eastAsia="zh-CN" w:bidi="ar-SA"/>
              </w:rPr>
              <w:t>。</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w:t>
            </w:r>
            <w:r>
              <w:rPr>
                <w:rFonts w:hint="eastAsia" w:cs="Times New Roman"/>
                <w:lang w:val="en-US" w:eastAsia="zh-CN"/>
              </w:rPr>
              <w:t>7-5</w:t>
            </w:r>
            <w:r>
              <w:rPr>
                <w:rFonts w:hint="default" w:ascii="Times New Roman" w:hAnsi="Times New Roman" w:eastAsia="宋体" w:cs="Times New Roman"/>
                <w:lang w:val="en-US" w:eastAsia="zh-CN"/>
              </w:rPr>
              <w:t xml:space="preserve">          地表水监测采样点布一览表</w:t>
            </w:r>
          </w:p>
          <w:tbl>
            <w:tblPr>
              <w:tblStyle w:val="28"/>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948"/>
              <w:gridCol w:w="1897"/>
              <w:gridCol w:w="1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序号</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监测点位</w:t>
                  </w:r>
                </w:p>
              </w:tc>
              <w:tc>
                <w:tcPr>
                  <w:tcW w:w="1049"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监测内容</w:t>
                  </w:r>
                </w:p>
              </w:tc>
              <w:tc>
                <w:tcPr>
                  <w:tcW w:w="74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入河排污口上游500m处1#</w:t>
                  </w:r>
                </w:p>
              </w:tc>
              <w:tc>
                <w:tcPr>
                  <w:tcW w:w="1049"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流量、水深、断面宽、流速、pH、COD、BOD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vertAlign w:val="baseline"/>
                      <w:lang w:val="en-US" w:eastAsia="zh-CN"/>
                    </w:rPr>
                    <w:t>、氨氮、TP</w:t>
                  </w:r>
                </w:p>
              </w:tc>
              <w:tc>
                <w:tcPr>
                  <w:tcW w:w="744"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一期3天，一天一次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入河排污口下游100m处2#</w:t>
                  </w:r>
                </w:p>
              </w:tc>
              <w:tc>
                <w:tcPr>
                  <w:tcW w:w="1049"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c>
                <w:tcPr>
                  <w:tcW w:w="744"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两河交汇处上游100m处（大沙沟支流）3#</w:t>
                  </w:r>
                </w:p>
              </w:tc>
              <w:tc>
                <w:tcPr>
                  <w:tcW w:w="1049"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c>
                <w:tcPr>
                  <w:tcW w:w="744"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两河交汇处上游100m处（源子河支流）4#</w:t>
                  </w:r>
                </w:p>
              </w:tc>
              <w:tc>
                <w:tcPr>
                  <w:tcW w:w="1049"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c>
                <w:tcPr>
                  <w:tcW w:w="744"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273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两河交汇处下游100m处（源子河）5#</w:t>
                  </w:r>
                </w:p>
              </w:tc>
              <w:tc>
                <w:tcPr>
                  <w:tcW w:w="1049"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c>
                <w:tcPr>
                  <w:tcW w:w="744" w:type="pct"/>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p>
              </w:tc>
            </w:tr>
          </w:tbl>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auto"/>
            </w:pPr>
          </w:p>
          <w:p>
            <w:pPr>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center"/>
              <w:textAlignment w:val="auto"/>
              <w:rPr>
                <w:rFonts w:hint="eastAsia" w:ascii="Times New Roman" w:hAnsi="Times New Roman" w:cs="Times New Roman"/>
                <w:b/>
                <w:bCs/>
                <w:sz w:val="24"/>
                <w:szCs w:val="24"/>
                <w:lang w:val="en-US" w:eastAsia="zh-CN"/>
              </w:rPr>
            </w:pPr>
            <w:r>
              <w:drawing>
                <wp:inline distT="0" distB="0" distL="114300" distR="114300">
                  <wp:extent cx="5314315" cy="2821305"/>
                  <wp:effectExtent l="0" t="0" r="4445" b="133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rcRect t="9107"/>
                          <a:stretch>
                            <a:fillRect/>
                          </a:stretch>
                        </pic:blipFill>
                        <pic:spPr>
                          <a:xfrm>
                            <a:off x="0" y="0"/>
                            <a:ext cx="5314315" cy="2821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监测项目</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sz w:val="24"/>
                <w:szCs w:val="24"/>
              </w:rPr>
              <w:t>流量、水深、断面宽、流速、pH、COD、BOD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、氨氮、TP</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监测频次</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监测一期，一期3天，一天一次</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采样方法</w:t>
            </w:r>
          </w:p>
          <w:p>
            <w:pPr>
              <w:keepNext w:val="0"/>
              <w:keepLines w:val="0"/>
              <w:pageBreakBefore w:val="0"/>
              <w:widowControl w:val="0"/>
              <w:kinsoku/>
              <w:wordWrap/>
              <w:overflowPunct/>
              <w:topLinePunct w:val="0"/>
              <w:autoSpaceDE/>
              <w:bidi w:val="0"/>
              <w:adjustRightInd w:val="0"/>
              <w:snapToGrid w:val="0"/>
              <w:spacing w:line="480" w:lineRule="exact"/>
              <w:ind w:firstLine="480" w:firstLineChars="200"/>
              <w:jc w:val="left"/>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采样方法按</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地表水和污水监测技术规范</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HJ/T 91-2002</w:t>
            </w:r>
            <w:r>
              <w:rPr>
                <w:rFonts w:hint="default" w:ascii="Times New Roman" w:hAnsi="Times New Roman" w:cs="Times New Roman"/>
                <w:bCs/>
                <w:sz w:val="24"/>
                <w:szCs w:val="24"/>
                <w:lang w:eastAsia="zh-CN"/>
              </w:rPr>
              <w:t>等相关标准</w:t>
            </w:r>
            <w:r>
              <w:rPr>
                <w:rFonts w:hint="default" w:ascii="Times New Roman" w:hAnsi="Times New Roman" w:cs="Times New Roman"/>
                <w:bCs/>
                <w:sz w:val="24"/>
                <w:szCs w:val="24"/>
              </w:rPr>
              <w:t>中有关规定执行。</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执行标准</w:t>
            </w:r>
          </w:p>
          <w:p>
            <w:pPr>
              <w:keepNext w:val="0"/>
              <w:keepLines w:val="0"/>
              <w:pageBreakBefore w:val="0"/>
              <w:widowControl w:val="0"/>
              <w:kinsoku/>
              <w:wordWrap/>
              <w:overflowPunct/>
              <w:topLinePunct w:val="0"/>
              <w:autoSpaceDE/>
              <w:bidi w:val="0"/>
              <w:adjustRightInd w:val="0"/>
              <w:snapToGrid w:val="0"/>
              <w:spacing w:line="480" w:lineRule="exact"/>
              <w:ind w:firstLine="480" w:firstLineChars="20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Cs/>
                <w:sz w:val="24"/>
                <w:szCs w:val="24"/>
                <w:lang w:val="en-US" w:eastAsia="zh-CN"/>
              </w:rPr>
              <w:t>执行</w:t>
            </w:r>
            <w:r>
              <w:rPr>
                <w:rFonts w:hint="default" w:ascii="Times New Roman" w:hAnsi="Times New Roman" w:eastAsia="宋体" w:cs="Times New Roman"/>
                <w:bCs/>
                <w:sz w:val="24"/>
                <w:szCs w:val="24"/>
              </w:rPr>
              <w:t>《地表水环境质量标准》（GB3838-2002）中</w:t>
            </w:r>
            <w:r>
              <w:rPr>
                <w:rFonts w:hint="default" w:ascii="Times New Roman" w:hAnsi="Times New Roman" w:eastAsia="宋体" w:cs="Times New Roman"/>
                <w:bCs/>
                <w:sz w:val="24"/>
                <w:szCs w:val="24"/>
                <w:lang w:val="en-US" w:eastAsia="zh-CN"/>
              </w:rPr>
              <w:t>Ⅲ</w:t>
            </w:r>
            <w:r>
              <w:rPr>
                <w:rFonts w:hint="default" w:ascii="Times New Roman" w:hAnsi="Times New Roman" w:eastAsia="宋体" w:cs="Times New Roman"/>
                <w:bCs/>
                <w:sz w:val="24"/>
                <w:szCs w:val="24"/>
              </w:rPr>
              <w:t>类标准</w:t>
            </w:r>
            <w:r>
              <w:rPr>
                <w:rFonts w:hint="default" w:ascii="Times New Roman" w:hAnsi="Times New Roman" w:eastAsia="宋体" w:cs="Times New Roman"/>
                <w:bCs/>
                <w:sz w:val="24"/>
                <w:szCs w:val="24"/>
                <w:lang w:eastAsia="zh-CN"/>
              </w:rPr>
              <w:t>。</w:t>
            </w:r>
          </w:p>
          <w:p>
            <w:pPr>
              <w:keepNext w:val="0"/>
              <w:keepLines w:val="0"/>
              <w:pageBreakBefore w:val="0"/>
              <w:widowControl w:val="0"/>
              <w:kinsoku/>
              <w:wordWrap/>
              <w:overflowPunct/>
              <w:topLinePunct w:val="0"/>
              <w:autoSpaceDE/>
              <w:autoSpaceDN w:val="0"/>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w:t>
            </w:r>
            <w:r>
              <w:rPr>
                <w:rFonts w:hint="eastAsia" w:cs="Times New Roman"/>
                <w:b/>
                <w:bCs/>
                <w:sz w:val="24"/>
                <w:szCs w:val="24"/>
                <w:lang w:val="en-US" w:eastAsia="zh-CN"/>
              </w:rPr>
              <w:t>6</w:t>
            </w:r>
            <w:r>
              <w:rPr>
                <w:rFonts w:hint="eastAsia" w:ascii="Times New Roman" w:hAnsi="Times New Roman" w:cs="Times New Roman"/>
                <w:b/>
                <w:bCs/>
                <w:sz w:val="24"/>
                <w:szCs w:val="24"/>
                <w:lang w:val="en-US" w:eastAsia="zh-CN"/>
              </w:rPr>
              <w:t>）</w:t>
            </w:r>
            <w:r>
              <w:rPr>
                <w:rFonts w:hint="eastAsia" w:cs="Times New Roman"/>
                <w:b/>
                <w:bCs/>
                <w:sz w:val="24"/>
                <w:szCs w:val="24"/>
                <w:lang w:val="en-US" w:eastAsia="zh-CN"/>
              </w:rPr>
              <w:t>监测结果</w:t>
            </w:r>
          </w:p>
          <w:p>
            <w:pPr>
              <w:ind w:firstLine="480"/>
              <w:rPr>
                <w:rFonts w:hint="default" w:ascii="Times New Roman" w:hAnsi="Times New Roman" w:eastAsia="宋体" w:cs="Times New Roman"/>
                <w:bCs/>
                <w:sz w:val="24"/>
                <w:szCs w:val="24"/>
                <w:lang w:eastAsia="zh-CN"/>
              </w:rPr>
            </w:pPr>
            <w:r>
              <w:rPr>
                <w:rFonts w:hint="eastAsia" w:cs="Times New Roman"/>
                <w:bCs/>
                <w:sz w:val="24"/>
                <w:szCs w:val="24"/>
                <w:lang w:eastAsia="zh-CN"/>
              </w:rPr>
              <w:t>由于监测期间，</w:t>
            </w:r>
            <w:r>
              <w:rPr>
                <w:rFonts w:hint="eastAsia" w:cs="Times New Roman"/>
                <w:bCs/>
                <w:sz w:val="24"/>
                <w:szCs w:val="24"/>
                <w:lang w:val="en-US" w:eastAsia="zh-CN"/>
              </w:rPr>
              <w:t>4#点位干涸无水，因此，只进行了1#、2#、3#、5#点位的水质取样，其水质</w:t>
            </w:r>
            <w:r>
              <w:rPr>
                <w:rFonts w:hint="eastAsia" w:cs="Times New Roman"/>
                <w:bCs/>
                <w:sz w:val="24"/>
                <w:szCs w:val="24"/>
                <w:lang w:eastAsia="zh-CN"/>
              </w:rPr>
              <w:t>监测结果见下表</w:t>
            </w:r>
            <w:r>
              <w:rPr>
                <w:rFonts w:hint="default" w:ascii="Times New Roman" w:hAnsi="Times New Roman" w:eastAsia="宋体" w:cs="Times New Roman"/>
                <w:bCs/>
                <w:sz w:val="24"/>
                <w:szCs w:val="24"/>
                <w:lang w:eastAsia="zh-CN"/>
              </w:rPr>
              <w:t>。</w:t>
            </w:r>
          </w:p>
          <w:p>
            <w:pPr>
              <w:pStyle w:val="122"/>
              <w:bidi w:val="0"/>
              <w:rPr>
                <w:rFonts w:hint="default"/>
              </w:rPr>
            </w:pPr>
            <w:r>
              <w:rPr>
                <w:rFonts w:hint="default" w:ascii="Times New Roman" w:hAnsi="Times New Roman" w:eastAsia="宋体" w:cs="Times New Roman"/>
                <w:lang w:val="en-US" w:eastAsia="zh-CN"/>
              </w:rPr>
              <w:t>表</w:t>
            </w:r>
            <w:r>
              <w:rPr>
                <w:rFonts w:hint="eastAsia" w:cs="Times New Roman"/>
                <w:lang w:val="en-US" w:eastAsia="zh-CN"/>
              </w:rPr>
              <w:t>7-6</w:t>
            </w:r>
            <w:r>
              <w:rPr>
                <w:rFonts w:hint="default" w:ascii="Times New Roman" w:hAnsi="Times New Roman" w:eastAsia="宋体" w:cs="Times New Roman"/>
                <w:lang w:val="en-US" w:eastAsia="zh-CN"/>
              </w:rPr>
              <w:t xml:space="preserve">          地表水监测</w:t>
            </w:r>
            <w:r>
              <w:rPr>
                <w:rFonts w:hint="eastAsia" w:ascii="Times New Roman" w:hAnsi="Times New Roman" w:cs="Times New Roman"/>
                <w:lang w:val="en-US" w:eastAsia="zh-CN"/>
              </w:rPr>
              <w:t>结果</w:t>
            </w:r>
            <w:r>
              <w:rPr>
                <w:rFonts w:hint="default" w:ascii="Times New Roman" w:hAnsi="Times New Roman" w:eastAsia="宋体" w:cs="Times New Roman"/>
                <w:lang w:val="en-US" w:eastAsia="zh-CN"/>
              </w:rPr>
              <w:t>一览表</w:t>
            </w:r>
          </w:p>
          <w:tbl>
            <w:tblPr>
              <w:tblStyle w:val="28"/>
              <w:tblW w:w="0" w:type="auto"/>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700"/>
              <w:gridCol w:w="1204"/>
              <w:gridCol w:w="1204"/>
              <w:gridCol w:w="1204"/>
              <w:gridCol w:w="1204"/>
              <w:gridCol w:w="1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监测位置</w:t>
                  </w:r>
                </w:p>
              </w:tc>
              <w:tc>
                <w:tcPr>
                  <w:tcW w:w="1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监测日期</w:t>
                  </w:r>
                </w:p>
              </w:tc>
              <w:tc>
                <w:tcPr>
                  <w:tcW w:w="602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eastAsia="zh-CN"/>
                      <w14:textFill>
                        <w14:solidFill>
                          <w14:schemeClr w14:val="tx1"/>
                        </w14:solidFill>
                      </w14:textFill>
                    </w:rPr>
                  </w:pPr>
                </w:p>
              </w:tc>
              <w:tc>
                <w:tcPr>
                  <w:tcW w:w="1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pH</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COD</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BOD</w:t>
                  </w:r>
                  <w:r>
                    <w:rPr>
                      <w:rFonts w:hint="eastAsia" w:cs="Times New Roman"/>
                      <w:b/>
                      <w:bCs/>
                      <w:color w:val="000000" w:themeColor="text1"/>
                      <w:sz w:val="21"/>
                      <w:szCs w:val="21"/>
                      <w:highlight w:val="none"/>
                      <w:vertAlign w:val="subscript"/>
                      <w:lang w:val="en-US" w:eastAsia="zh-CN"/>
                      <w14:textFill>
                        <w14:solidFill>
                          <w14:schemeClr w14:val="tx1"/>
                        </w14:solidFill>
                      </w14:textFill>
                    </w:rPr>
                    <w:t>5</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氨氮</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监测位置</w:t>
                  </w:r>
                </w:p>
              </w:tc>
              <w:tc>
                <w:tcPr>
                  <w:tcW w:w="1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监测日期</w:t>
                  </w:r>
                </w:p>
              </w:tc>
              <w:tc>
                <w:tcPr>
                  <w:tcW w:w="602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eastAsia="zh-CN"/>
                      <w14:textFill>
                        <w14:solidFill>
                          <w14:schemeClr w14:val="tx1"/>
                        </w14:solidFill>
                      </w14:textFill>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val="en-US" w:eastAsia="zh-CN"/>
                      <w14:textFill>
                        <w14:solidFill>
                          <w14:schemeClr w14:val="tx1"/>
                        </w14:solidFill>
                      </w14:textFill>
                    </w:rPr>
                  </w:pPr>
                </w:p>
              </w:tc>
              <w:tc>
                <w:tcPr>
                  <w:tcW w:w="1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水温/℃</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水深/m</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河宽/m</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流速/m/s</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流量/m</w:t>
                  </w:r>
                  <w:r>
                    <w:rPr>
                      <w:rFonts w:hint="eastAsia"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cs="Times New Roman"/>
                      <w:b/>
                      <w:bCs/>
                      <w:color w:val="000000" w:themeColor="text1"/>
                      <w:sz w:val="21"/>
                      <w:szCs w:val="21"/>
                      <w:highlight w:val="none"/>
                      <w:vertAlign w:val="baseline"/>
                      <w:lang w:val="en-US" w:eastAsia="zh-CN"/>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2020-12-6</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2020-12-7</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2020-12-8</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r>
          </w:tbl>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eastAsia="zh-CN"/>
                <w14:textFill>
                  <w14:solidFill>
                    <w14:schemeClr w14:val="tx1"/>
                  </w14:solidFill>
                </w14:textFill>
              </w:rPr>
              <w:t>、地表水环境影响预测</w:t>
            </w:r>
          </w:p>
          <w:p>
            <w:pPr>
              <w:spacing w:line="480" w:lineRule="exact"/>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）预测因子与预测范围</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本评价根据《环境影响评价技术导则</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地表水环境》（HJ</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2.3-2018）的规定以及本项目外排废水特点和受纳水体的水质特征，选择本项目特征污染物COD</w:t>
            </w:r>
            <w:r>
              <w:rPr>
                <w:rFonts w:hint="default" w:ascii="Times New Roman" w:hAnsi="Times New Roman" w:eastAsia="宋体" w:cs="Times New Roman"/>
                <w:color w:val="000000" w:themeColor="text1"/>
                <w:highlight w:val="none"/>
                <w:lang w:eastAsia="zh-CN"/>
                <w14:textFill>
                  <w14:solidFill>
                    <w14:schemeClr w14:val="tx1"/>
                  </w14:solidFill>
                </w14:textFill>
              </w:rPr>
              <w:t>（污染物当量最大）</w:t>
            </w:r>
            <w:r>
              <w:rPr>
                <w:rFonts w:hint="default" w:ascii="Times New Roman" w:hAnsi="Times New Roman" w:eastAsia="宋体" w:cs="Times New Roman"/>
                <w:color w:val="000000" w:themeColor="text1"/>
                <w:highlight w:val="none"/>
                <w14:textFill>
                  <w14:solidFill>
                    <w14:schemeClr w14:val="tx1"/>
                  </w14:solidFill>
                </w14:textFill>
              </w:rPr>
              <w:t>作为预测评价因子。</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本次水环境影响预测范围根据受纳水体情况设为本项目排污口与</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default" w:ascii="Times New Roman" w:hAnsi="Times New Roman" w:eastAsia="宋体" w:cs="Times New Roman"/>
                <w:color w:val="000000" w:themeColor="text1"/>
                <w:highlight w:val="none"/>
                <w14:textFill>
                  <w14:solidFill>
                    <w14:schemeClr w14:val="tx1"/>
                  </w14:solidFill>
                </w14:textFill>
              </w:rPr>
              <w:t>交汇处上游500m至排污口下游</w:t>
            </w:r>
            <w:r>
              <w:rPr>
                <w:rFonts w:hint="default" w:ascii="Times New Roman" w:hAnsi="Times New Roman" w:eastAsia="宋体" w:cs="Times New Roman"/>
                <w:color w:val="000000" w:themeColor="text1"/>
                <w:highlight w:val="none"/>
                <w:lang w:eastAsia="zh-CN"/>
                <w14:textFill>
                  <w14:solidFill>
                    <w14:schemeClr w14:val="tx1"/>
                  </w14:solidFill>
                </w14:textFill>
              </w:rPr>
              <w:t>汇入源子河后</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100m处，</w:t>
            </w:r>
            <w:r>
              <w:rPr>
                <w:rFonts w:hint="default" w:ascii="Times New Roman" w:hAnsi="Times New Roman" w:eastAsia="宋体" w:cs="Times New Roman"/>
                <w:color w:val="000000" w:themeColor="text1"/>
                <w:highlight w:val="none"/>
                <w14:textFill>
                  <w14:solidFill>
                    <w14:schemeClr w14:val="tx1"/>
                  </w14:solidFill>
                </w14:textFill>
              </w:rPr>
              <w:t>共</w:t>
            </w:r>
            <w:r>
              <w:rPr>
                <w:rFonts w:hint="default" w:ascii="Times New Roman" w:hAnsi="Times New Roman" w:eastAsia="宋体" w:cs="Times New Roman"/>
                <w:color w:val="000000" w:themeColor="text1"/>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highlight w:val="none"/>
                <w14:textFill>
                  <w14:solidFill>
                    <w14:schemeClr w14:val="tx1"/>
                  </w14:solidFill>
                </w14:textFill>
              </w:rPr>
              <w:t>00m河段。</w:t>
            </w:r>
          </w:p>
          <w:p>
            <w:pPr>
              <w:numPr>
                <w:ilvl w:val="0"/>
                <w:numId w:val="2"/>
              </w:num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预测时期</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根据《环境影响评价技术导则地表水环境》（HJ2.3-2018）对于水污染影响型（二级）评价等级时期至少枯水期；因此本项目确定评价时期为枯水期。</w:t>
            </w:r>
          </w:p>
          <w:p>
            <w:pPr>
              <w:numPr>
                <w:ilvl w:val="0"/>
                <w:numId w:val="2"/>
              </w:numPr>
              <w:spacing w:line="480" w:lineRule="exact"/>
              <w:ind w:left="0" w:leftChars="0"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预测情景</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本次评价水环境影响预测分为正常工况和非正常工况两种情景，分别预测</w:t>
            </w:r>
            <w:r>
              <w:rPr>
                <w:rFonts w:hint="default" w:ascii="Times New Roman" w:hAnsi="Times New Roman" w:eastAsia="宋体" w:cs="Times New Roman"/>
                <w:color w:val="000000" w:themeColor="text1"/>
                <w:highlight w:val="none"/>
                <w:lang w:eastAsia="zh-CN"/>
                <w14:textFill>
                  <w14:solidFill>
                    <w14:schemeClr w14:val="tx1"/>
                  </w14:solidFill>
                </w14:textFill>
              </w:rPr>
              <w:t>枯水期</w:t>
            </w:r>
            <w:r>
              <w:rPr>
                <w:rFonts w:hint="default" w:ascii="Times New Roman" w:hAnsi="Times New Roman" w:eastAsia="宋体" w:cs="Times New Roman"/>
                <w:color w:val="000000" w:themeColor="text1"/>
                <w:highlight w:val="none"/>
                <w14:textFill>
                  <w14:solidFill>
                    <w14:schemeClr w14:val="tx1"/>
                  </w14:solidFill>
                </w14:textFill>
              </w:rPr>
              <w:t>废水排放对</w:t>
            </w:r>
            <w:r>
              <w:rPr>
                <w:rFonts w:hint="default" w:ascii="Times New Roman" w:hAnsi="Times New Roman" w:eastAsia="宋体" w:cs="Times New Roman"/>
                <w:color w:val="000000" w:themeColor="text1"/>
                <w:highlight w:val="none"/>
                <w:lang w:eastAsia="zh-CN"/>
                <w14:textFill>
                  <w14:solidFill>
                    <w14:schemeClr w14:val="tx1"/>
                  </w14:solidFill>
                </w14:textFill>
              </w:rPr>
              <w:t>大沙沟及源子河的水</w:t>
            </w:r>
            <w:r>
              <w:rPr>
                <w:rFonts w:hint="default" w:ascii="Times New Roman" w:hAnsi="Times New Roman" w:eastAsia="宋体" w:cs="Times New Roman"/>
                <w:color w:val="000000" w:themeColor="text1"/>
                <w:highlight w:val="none"/>
                <w14:textFill>
                  <w14:solidFill>
                    <w14:schemeClr w14:val="tx1"/>
                  </w14:solidFill>
                </w14:textFill>
              </w:rPr>
              <w:t>环境质量影响。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项目投入运行后，项目</w:t>
            </w:r>
            <w:r>
              <w:rPr>
                <w:rFonts w:hint="default" w:ascii="Times New Roman" w:hAnsi="Times New Roman" w:eastAsia="宋体" w:cs="Times New Roman"/>
                <w:color w:val="000000" w:themeColor="text1"/>
                <w:highlight w:val="none"/>
                <w:lang w:eastAsia="zh-CN"/>
                <w14:textFill>
                  <w14:solidFill>
                    <w14:schemeClr w14:val="tx1"/>
                  </w14:solidFill>
                </w14:textFill>
              </w:rPr>
              <w:t>采暖期</w:t>
            </w:r>
            <w:r>
              <w:rPr>
                <w:rFonts w:hint="default" w:ascii="Times New Roman" w:hAnsi="Times New Roman" w:eastAsia="宋体" w:cs="Times New Roman"/>
                <w:color w:val="000000" w:themeColor="text1"/>
                <w:highlight w:val="none"/>
                <w14:textFill>
                  <w14:solidFill>
                    <w14:schemeClr w14:val="tx1"/>
                  </w14:solidFill>
                </w14:textFill>
              </w:rPr>
              <w:t>每天外排废水量</w:t>
            </w:r>
            <w:r>
              <w:rPr>
                <w:rFonts w:hint="default" w:ascii="Times New Roman" w:hAnsi="Times New Roman" w:eastAsia="宋体" w:cs="Times New Roman"/>
                <w:color w:val="000000" w:themeColor="text1"/>
                <w:highlight w:val="none"/>
                <w:lang w:val="en-US" w:eastAsia="zh-CN"/>
                <w14:textFill>
                  <w14:solidFill>
                    <w14:schemeClr w14:val="tx1"/>
                  </w14:solidFill>
                </w14:textFill>
              </w:rPr>
              <w:t>278.96</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，本次预测分两种情况考虑：一是废水经处理后达标排放；另一种是非正常排污</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污水处理站处理失效</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两种排放方式，两种方式排放浓度如下：</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7</w:t>
            </w:r>
            <w:r>
              <w:rPr>
                <w:rFonts w:hint="default" w:ascii="Times New Roman" w:hAnsi="Times New Roman" w:eastAsia="宋体" w:cs="Times New Roman"/>
                <w:lang w:val="en-US" w:eastAsia="zh-CN"/>
              </w:rPr>
              <w:t xml:space="preserve">    废水正常和非正常情况下排放浓度表</w:t>
            </w:r>
          </w:p>
          <w:tbl>
            <w:tblPr>
              <w:tblStyle w:val="27"/>
              <w:tblW w:w="4980" w:type="pct"/>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478"/>
              <w:gridCol w:w="3431"/>
              <w:gridCol w:w="20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931" w:type="pct"/>
                  <w:vMerge w:val="restart"/>
                  <w:tcBorders>
                    <w:tl2br w:val="nil"/>
                    <w:tr2bl w:val="nil"/>
                  </w:tcBorders>
                  <w:vAlign w:val="center"/>
                </w:tcPr>
                <w:p>
                  <w:pPr>
                    <w:pStyle w:val="77"/>
                    <w:ind w:left="758"/>
                    <w:jc w:val="center"/>
                    <w:rPr>
                      <w:rFonts w:hint="default" w:ascii="Times New Roman" w:hAnsi="Times New Roman" w:eastAsia="宋体" w:cs="Times New Roman"/>
                      <w:b/>
                      <w:bCs/>
                      <w:sz w:val="21"/>
                    </w:rPr>
                  </w:pPr>
                  <w:r>
                    <w:rPr>
                      <w:rFonts w:hint="default" w:ascii="Times New Roman" w:hAnsi="Times New Roman" w:eastAsia="宋体" w:cs="Times New Roman"/>
                      <w:b/>
                      <w:bCs/>
                      <w:sz w:val="21"/>
                    </w:rPr>
                    <w:t>污染物排污状态</w:t>
                  </w:r>
                </w:p>
              </w:tc>
              <w:tc>
                <w:tcPr>
                  <w:tcW w:w="1905" w:type="pct"/>
                  <w:tcBorders>
                    <w:tl2br w:val="nil"/>
                    <w:tr2bl w:val="nil"/>
                  </w:tcBorders>
                  <w:vAlign w:val="center"/>
                </w:tcPr>
                <w:p>
                  <w:pPr>
                    <w:pStyle w:val="77"/>
                    <w:spacing w:before="30"/>
                    <w:ind w:left="491" w:right="467"/>
                    <w:jc w:val="center"/>
                    <w:rPr>
                      <w:rFonts w:hint="default" w:ascii="Times New Roman" w:hAnsi="Times New Roman" w:eastAsia="宋体" w:cs="Times New Roman"/>
                      <w:b/>
                      <w:bCs/>
                      <w:position w:val="2"/>
                      <w:sz w:val="21"/>
                      <w:lang w:val="en-US" w:eastAsia="zh-CN"/>
                    </w:rPr>
                  </w:pPr>
                  <w:r>
                    <w:rPr>
                      <w:rFonts w:hint="default" w:ascii="Times New Roman" w:hAnsi="Times New Roman" w:eastAsia="宋体" w:cs="Times New Roman"/>
                      <w:b/>
                      <w:bCs/>
                      <w:sz w:val="21"/>
                    </w:rPr>
                    <w:t>排放浓度(mg/L)</w:t>
                  </w:r>
                </w:p>
              </w:tc>
              <w:tc>
                <w:tcPr>
                  <w:tcW w:w="1163" w:type="pct"/>
                  <w:vMerge w:val="restart"/>
                  <w:tcBorders>
                    <w:tl2br w:val="nil"/>
                    <w:tr2bl w:val="nil"/>
                  </w:tcBorders>
                  <w:vAlign w:val="center"/>
                </w:tcPr>
                <w:p>
                  <w:pPr>
                    <w:pStyle w:val="77"/>
                    <w:spacing w:before="180"/>
                    <w:ind w:left="194"/>
                    <w:jc w:val="center"/>
                    <w:rPr>
                      <w:rFonts w:hint="default" w:ascii="Times New Roman" w:hAnsi="Times New Roman" w:eastAsia="宋体" w:cs="Times New Roman"/>
                      <w:sz w:val="21"/>
                    </w:rPr>
                  </w:pPr>
                  <w:r>
                    <w:rPr>
                      <w:rFonts w:hint="default" w:ascii="Times New Roman" w:hAnsi="Times New Roman" w:eastAsia="宋体" w:cs="Times New Roman"/>
                      <w:b/>
                      <w:bCs/>
                      <w:sz w:val="21"/>
                    </w:rPr>
                    <w:t>废水量(m</w:t>
                  </w:r>
                  <w:r>
                    <w:rPr>
                      <w:rFonts w:hint="default" w:ascii="Times New Roman" w:hAnsi="Times New Roman" w:eastAsia="宋体" w:cs="Times New Roman"/>
                      <w:b/>
                      <w:bCs/>
                      <w:position w:val="7"/>
                      <w:sz w:val="13"/>
                    </w:rPr>
                    <w:t>3</w:t>
                  </w:r>
                  <w:r>
                    <w:rPr>
                      <w:rFonts w:hint="default" w:ascii="Times New Roman" w:hAnsi="Times New Roman" w:eastAsia="宋体" w:cs="Times New Roman"/>
                      <w:b/>
                      <w:bCs/>
                      <w:sz w:val="21"/>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931" w:type="pct"/>
                  <w:vMerge w:val="continue"/>
                  <w:tcBorders>
                    <w:tl2br w:val="nil"/>
                    <w:tr2bl w:val="nil"/>
                  </w:tcBorders>
                  <w:vAlign w:val="center"/>
                </w:tcPr>
                <w:p>
                  <w:pPr>
                    <w:jc w:val="center"/>
                    <w:rPr>
                      <w:rFonts w:hint="default" w:ascii="Times New Roman" w:hAnsi="Times New Roman" w:eastAsia="宋体" w:cs="Times New Roman"/>
                      <w:b/>
                      <w:bCs/>
                      <w:sz w:val="2"/>
                      <w:szCs w:val="2"/>
                    </w:rPr>
                  </w:pPr>
                </w:p>
              </w:tc>
              <w:tc>
                <w:tcPr>
                  <w:tcW w:w="1905" w:type="pct"/>
                  <w:tcBorders>
                    <w:tl2br w:val="nil"/>
                    <w:tr2bl w:val="nil"/>
                  </w:tcBorders>
                  <w:vAlign w:val="center"/>
                </w:tcPr>
                <w:p>
                  <w:pPr>
                    <w:pStyle w:val="77"/>
                    <w:spacing w:before="20"/>
                    <w:ind w:left="341" w:right="317"/>
                    <w:jc w:val="center"/>
                    <w:rPr>
                      <w:rFonts w:hint="default" w:ascii="Times New Roman" w:hAnsi="Times New Roman" w:eastAsia="宋体" w:cs="Times New Roman"/>
                      <w:b/>
                      <w:bCs/>
                      <w:sz w:val="21"/>
                    </w:rPr>
                  </w:pPr>
                  <w:r>
                    <w:rPr>
                      <w:rFonts w:hint="default" w:ascii="Times New Roman" w:hAnsi="Times New Roman" w:eastAsia="宋体" w:cs="Times New Roman"/>
                      <w:b/>
                      <w:bCs/>
                      <w:position w:val="2"/>
                      <w:sz w:val="21"/>
                    </w:rPr>
                    <w:t>COD</w:t>
                  </w:r>
                </w:p>
              </w:tc>
              <w:tc>
                <w:tcPr>
                  <w:tcW w:w="1163" w:type="pct"/>
                  <w:vMerge w:val="continue"/>
                  <w:tcBorders>
                    <w:tl2br w:val="nil"/>
                    <w:tr2bl w:val="nil"/>
                  </w:tcBorders>
                  <w:vAlign w:val="center"/>
                </w:tcPr>
                <w:p>
                  <w:pPr>
                    <w:jc w:val="center"/>
                    <w:rPr>
                      <w:rFonts w:hint="default" w:ascii="Times New Roman" w:hAnsi="Times New Roman" w:eastAsia="宋体" w:cs="Times New Roman"/>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931" w:type="pct"/>
                  <w:tcBorders>
                    <w:tl2br w:val="nil"/>
                    <w:tr2bl w:val="nil"/>
                  </w:tcBorders>
                  <w:vAlign w:val="center"/>
                </w:tcPr>
                <w:p>
                  <w:pPr>
                    <w:pStyle w:val="77"/>
                    <w:spacing w:before="20" w:line="264" w:lineRule="exact"/>
                    <w:ind w:left="347" w:right="321"/>
                    <w:jc w:val="center"/>
                    <w:rPr>
                      <w:rFonts w:hint="default" w:ascii="Times New Roman" w:hAnsi="Times New Roman" w:eastAsia="宋体" w:cs="Times New Roman"/>
                      <w:sz w:val="21"/>
                    </w:rPr>
                  </w:pPr>
                  <w:r>
                    <w:rPr>
                      <w:rFonts w:hint="default" w:ascii="Times New Roman" w:hAnsi="Times New Roman" w:eastAsia="宋体" w:cs="Times New Roman"/>
                      <w:sz w:val="21"/>
                    </w:rPr>
                    <w:t>正常达标排放</w:t>
                  </w:r>
                </w:p>
              </w:tc>
              <w:tc>
                <w:tcPr>
                  <w:tcW w:w="1905" w:type="pct"/>
                  <w:tcBorders>
                    <w:tl2br w:val="nil"/>
                    <w:tr2bl w:val="nil"/>
                  </w:tcBorders>
                  <w:vAlign w:val="center"/>
                </w:tcPr>
                <w:p>
                  <w:pPr>
                    <w:pStyle w:val="77"/>
                    <w:keepNext w:val="0"/>
                    <w:keepLines w:val="0"/>
                    <w:pageBreakBefore w:val="0"/>
                    <w:widowControl w:val="0"/>
                    <w:kinsoku/>
                    <w:wordWrap/>
                    <w:overflowPunct/>
                    <w:topLinePunct w:val="0"/>
                    <w:autoSpaceDE w:val="0"/>
                    <w:autoSpaceDN w:val="0"/>
                    <w:bidi w:val="0"/>
                    <w:adjustRightInd w:val="0"/>
                    <w:snapToGrid/>
                    <w:ind w:left="0" w:right="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20</w:t>
                  </w:r>
                </w:p>
              </w:tc>
              <w:tc>
                <w:tcPr>
                  <w:tcW w:w="1163" w:type="pct"/>
                  <w:vMerge w:val="restart"/>
                  <w:tcBorders>
                    <w:tl2br w:val="nil"/>
                    <w:tr2bl w:val="nil"/>
                  </w:tcBorders>
                  <w:vAlign w:val="center"/>
                </w:tcPr>
                <w:p>
                  <w:pPr>
                    <w:pStyle w:val="77"/>
                    <w:keepNext w:val="0"/>
                    <w:keepLines w:val="0"/>
                    <w:pageBreakBefore w:val="0"/>
                    <w:widowControl w:val="0"/>
                    <w:kinsoku/>
                    <w:wordWrap/>
                    <w:overflowPunct/>
                    <w:topLinePunct w:val="0"/>
                    <w:autoSpaceDE w:val="0"/>
                    <w:autoSpaceDN w:val="0"/>
                    <w:bidi w:val="0"/>
                    <w:adjustRightInd w:val="0"/>
                    <w:snapToGrid/>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0.00</w:t>
                  </w:r>
                  <w:r>
                    <w:rPr>
                      <w:rFonts w:hint="default" w:ascii="Times New Roman" w:hAnsi="Times New Roman" w:eastAsia="宋体" w:cs="Times New Roman"/>
                      <w:sz w:val="21"/>
                      <w:lang w:val="en-US"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931" w:type="pct"/>
                  <w:tcBorders>
                    <w:tl2br w:val="nil"/>
                    <w:tr2bl w:val="nil"/>
                  </w:tcBorders>
                  <w:vAlign w:val="center"/>
                </w:tcPr>
                <w:p>
                  <w:pPr>
                    <w:pStyle w:val="77"/>
                    <w:spacing w:before="8"/>
                    <w:ind w:left="352" w:right="321"/>
                    <w:jc w:val="center"/>
                    <w:rPr>
                      <w:rFonts w:hint="default" w:ascii="Times New Roman" w:hAnsi="Times New Roman" w:eastAsia="宋体" w:cs="Times New Roman"/>
                      <w:sz w:val="21"/>
                    </w:rPr>
                  </w:pPr>
                  <w:r>
                    <w:rPr>
                      <w:rFonts w:hint="default" w:ascii="Times New Roman" w:hAnsi="Times New Roman" w:eastAsia="宋体" w:cs="Times New Roman"/>
                      <w:sz w:val="21"/>
                    </w:rPr>
                    <w:t>非正常达标排放(未处理)</w:t>
                  </w:r>
                </w:p>
              </w:tc>
              <w:tc>
                <w:tcPr>
                  <w:tcW w:w="1905" w:type="pct"/>
                  <w:tcBorders>
                    <w:tl2br w:val="nil"/>
                    <w:tr2bl w:val="nil"/>
                  </w:tcBorders>
                  <w:vAlign w:val="center"/>
                </w:tcPr>
                <w:p>
                  <w:pPr>
                    <w:pStyle w:val="77"/>
                    <w:spacing w:before="21"/>
                    <w:ind w:left="341" w:right="316"/>
                    <w:jc w:val="center"/>
                    <w:rPr>
                      <w:rFonts w:hint="default" w:ascii="Times New Roman" w:hAnsi="Times New Roman" w:eastAsia="宋体" w:cs="Times New Roman"/>
                      <w:sz w:val="21"/>
                      <w:lang w:val="en-US" w:eastAsia="zh-CN"/>
                    </w:rPr>
                  </w:pPr>
                  <w:r>
                    <w:rPr>
                      <w:rFonts w:hint="eastAsia" w:cs="Times New Roman"/>
                      <w:sz w:val="21"/>
                      <w:lang w:val="en-US" w:eastAsia="zh-CN"/>
                    </w:rPr>
                    <w:t>40</w:t>
                  </w:r>
                </w:p>
              </w:tc>
              <w:tc>
                <w:tcPr>
                  <w:tcW w:w="1163" w:type="pct"/>
                  <w:vMerge w:val="continue"/>
                  <w:tcBorders>
                    <w:tl2br w:val="nil"/>
                    <w:tr2bl w:val="nil"/>
                  </w:tcBorders>
                  <w:vAlign w:val="center"/>
                </w:tcPr>
                <w:p>
                  <w:pPr>
                    <w:jc w:val="center"/>
                    <w:rPr>
                      <w:rFonts w:hint="default" w:ascii="Times New Roman" w:hAnsi="Times New Roman" w:eastAsia="宋体" w:cs="Times New Roman"/>
                      <w:sz w:val="2"/>
                      <w:szCs w:val="2"/>
                    </w:rPr>
                  </w:pPr>
                </w:p>
              </w:tc>
            </w:tr>
          </w:tbl>
          <w:p>
            <w:pPr>
              <w:numPr>
                <w:ilvl w:val="0"/>
                <w:numId w:val="0"/>
              </w:numPr>
              <w:spacing w:line="480" w:lineRule="exact"/>
              <w:ind w:left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预测内容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项目排污口下游</w:t>
            </w:r>
            <w:r>
              <w:rPr>
                <w:rFonts w:hint="default" w:ascii="Times New Roman" w:hAnsi="Times New Roman" w:eastAsia="宋体" w:cs="Times New Roman"/>
                <w:color w:val="000000" w:themeColor="text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highlight w:val="none"/>
                <w14:textFill>
                  <w14:solidFill>
                    <w14:schemeClr w14:val="tx1"/>
                  </w14:solidFill>
                </w14:textFill>
              </w:rPr>
              <w:t>km评价范围内无饮用水源地保护区等水环境保护目标，根据《环境影响评价技术导则-地</w:t>
            </w:r>
            <w:r>
              <w:rPr>
                <w:rFonts w:hint="default" w:ascii="Times New Roman" w:hAnsi="Times New Roman" w:eastAsia="宋体" w:cs="Times New Roman"/>
                <w:color w:val="000000" w:themeColor="text1"/>
                <w:highlight w:val="none"/>
                <w:lang w:eastAsia="zh-CN"/>
                <w14:textFill>
                  <w14:solidFill>
                    <w14:schemeClr w14:val="tx1"/>
                  </w14:solidFill>
                </w14:textFill>
              </w:rPr>
              <w:t>表</w:t>
            </w:r>
            <w:r>
              <w:rPr>
                <w:rFonts w:hint="default" w:ascii="Times New Roman" w:hAnsi="Times New Roman" w:eastAsia="宋体" w:cs="Times New Roman"/>
                <w:color w:val="000000" w:themeColor="text1"/>
                <w:highlight w:val="none"/>
                <w14:textFill>
                  <w14:solidFill>
                    <w14:schemeClr w14:val="tx1"/>
                  </w14:solidFill>
                </w14:textFill>
              </w:rPr>
              <w:t>水环境》（HJ</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2.3-2018），本次预测污染物COD在</w:t>
            </w: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投产后对评价河段产生的影响。</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）预测模式及参数</w:t>
            </w:r>
          </w:p>
          <w:p>
            <w:pPr>
              <w:spacing w:line="480" w:lineRule="exact"/>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与本项目有关的地表水为</w:t>
            </w:r>
            <w:r>
              <w:rPr>
                <w:rFonts w:hint="default" w:ascii="Times New Roman" w:hAnsi="Times New Roman" w:eastAsia="宋体" w:cs="Times New Roman"/>
                <w:color w:val="000000" w:themeColor="text1"/>
                <w:highlight w:val="none"/>
                <w:lang w:eastAsia="zh-CN"/>
                <w14:textFill>
                  <w14:solidFill>
                    <w14:schemeClr w14:val="tx1"/>
                  </w14:solidFill>
                </w14:textFill>
              </w:rPr>
              <w:t>大沙沟和源子河</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根据</w:t>
            </w:r>
            <w:r>
              <w:rPr>
                <w:rFonts w:hint="default" w:ascii="Times New Roman" w:hAnsi="Times New Roman" w:eastAsia="宋体" w:cs="Times New Roman"/>
                <w:bCs/>
                <w:color w:val="000000" w:themeColor="text1"/>
                <w:highlight w:val="none"/>
                <w:lang w:eastAsia="zh-CN"/>
                <w14:textFill>
                  <w14:solidFill>
                    <w14:schemeClr w14:val="tx1"/>
                  </w14:solidFill>
                </w14:textFill>
              </w:rPr>
              <w:t>山西朔州平鲁区兰花永胜煤业有限公司委托</w:t>
            </w:r>
            <w:r>
              <w:rPr>
                <w:rFonts w:hint="eastAsia" w:cs="Times New Roman"/>
                <w:bCs/>
                <w:color w:val="000000" w:themeColor="text1"/>
                <w:highlight w:val="none"/>
                <w:lang w:eastAsia="zh-CN"/>
                <w14:textFill>
                  <w14:solidFill>
                    <w14:schemeClr w14:val="tx1"/>
                  </w14:solidFill>
                </w14:textFill>
              </w:rPr>
              <w:t>山西科维检测技术有限公司</w:t>
            </w:r>
            <w:r>
              <w:rPr>
                <w:rFonts w:hint="default" w:ascii="Times New Roman" w:hAnsi="Times New Roman" w:eastAsia="宋体" w:cs="Times New Roman"/>
                <w:bCs/>
                <w:color w:val="000000" w:themeColor="text1"/>
                <w:highlight w:val="none"/>
                <w:lang w:eastAsia="zh-CN"/>
                <w14:textFill>
                  <w14:solidFill>
                    <w14:schemeClr w14:val="tx1"/>
                  </w14:solidFill>
                </w14:textFill>
              </w:rPr>
              <w:t>于2020年</w:t>
            </w:r>
            <w:r>
              <w:rPr>
                <w:rFonts w:hint="eastAsia" w:cs="Times New Roman"/>
                <w:bCs/>
                <w:color w:val="000000" w:themeColor="text1"/>
                <w:highlight w:val="none"/>
                <w:lang w:val="en-US" w:eastAsia="zh-CN"/>
                <w14:textFill>
                  <w14:solidFill>
                    <w14:schemeClr w14:val="tx1"/>
                  </w14:solidFill>
                </w14:textFill>
              </w:rPr>
              <w:t>12</w:t>
            </w:r>
            <w:r>
              <w:rPr>
                <w:rFonts w:hint="default" w:ascii="Times New Roman" w:hAnsi="Times New Roman" w:eastAsia="宋体" w:cs="Times New Roman"/>
                <w:bCs/>
                <w:color w:val="000000" w:themeColor="text1"/>
                <w:highlight w:val="none"/>
                <w:lang w:eastAsia="zh-CN"/>
                <w14:textFill>
                  <w14:solidFill>
                    <w14:schemeClr w14:val="tx1"/>
                  </w14:solidFill>
                </w14:textFill>
              </w:rPr>
              <w:t>月</w:t>
            </w:r>
            <w:r>
              <w:rPr>
                <w:rFonts w:hint="eastAsia" w:cs="Times New Roman"/>
                <w:bCs/>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highlight w:val="none"/>
                <w:lang w:eastAsia="zh-CN"/>
                <w14:textFill>
                  <w14:solidFill>
                    <w14:schemeClr w14:val="tx1"/>
                  </w14:solidFill>
                </w14:textFill>
              </w:rPr>
              <w:t>日~</w:t>
            </w:r>
            <w:r>
              <w:rPr>
                <w:rFonts w:hint="eastAsia" w:cs="Times New Roman"/>
                <w:bCs/>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highlight w:val="none"/>
                <w:lang w:eastAsia="zh-CN"/>
                <w14:textFill>
                  <w14:solidFill>
                    <w14:schemeClr w14:val="tx1"/>
                  </w14:solidFill>
                </w14:textFill>
              </w:rPr>
              <w:t>日对排污口上下游的大沙沟以及汇入源子河处的监测数据，本项目排污口上游的大沙沟的流量为</w:t>
            </w:r>
            <w:r>
              <w:rPr>
                <w:rFonts w:hint="eastAsia" w:cs="Times New Roman"/>
                <w:bCs/>
                <w:color w:val="000000" w:themeColor="text1"/>
                <w:highlight w:val="none"/>
                <w:lang w:val="en-US" w:eastAsia="zh-CN"/>
                <w14:textFill>
                  <w14:solidFill>
                    <w14:schemeClr w14:val="tx1"/>
                  </w14:solidFill>
                </w14:textFill>
              </w:rPr>
              <w:t>0.463</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r>
              <w:rPr>
                <w:rFonts w:hint="default" w:ascii="Times New Roman" w:hAnsi="Times New Roman" w:eastAsia="宋体" w:cs="Times New Roman"/>
                <w:color w:val="000000" w:themeColor="text1"/>
                <w:highlight w:val="none"/>
                <w:lang w:eastAsia="zh-CN"/>
                <w14:textFill>
                  <w14:solidFill>
                    <w14:schemeClr w14:val="tx1"/>
                  </w14:solidFill>
                </w14:textFill>
              </w:rPr>
              <w:t>，水深为</w:t>
            </w:r>
            <w:r>
              <w:rPr>
                <w:rFonts w:hint="eastAsia" w:cs="Times New Roman"/>
                <w:color w:val="000000" w:themeColor="text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m，排污口下游汇入的源子河的</w:t>
            </w:r>
            <w:r>
              <w:rPr>
                <w:rFonts w:hint="default" w:ascii="Times New Roman" w:hAnsi="Times New Roman" w:eastAsia="宋体" w:cs="Times New Roman"/>
                <w:bCs/>
                <w:color w:val="000000" w:themeColor="text1"/>
                <w:highlight w:val="none"/>
                <w:lang w:eastAsia="zh-CN"/>
                <w14:textFill>
                  <w14:solidFill>
                    <w14:schemeClr w14:val="tx1"/>
                  </w14:solidFill>
                </w14:textFill>
              </w:rPr>
              <w:t>流量为</w:t>
            </w:r>
            <w:r>
              <w:rPr>
                <w:rFonts w:hint="eastAsia" w:cs="Times New Roman"/>
                <w:bCs/>
                <w:color w:val="000000" w:themeColor="text1"/>
                <w:highlight w:val="none"/>
                <w:lang w:val="en-US" w:eastAsia="zh-CN"/>
                <w14:textFill>
                  <w14:solidFill>
                    <w14:schemeClr w14:val="tx1"/>
                  </w14:solidFill>
                </w14:textFill>
              </w:rPr>
              <w:t>0.415</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r>
              <w:rPr>
                <w:rFonts w:hint="default" w:ascii="Times New Roman" w:hAnsi="Times New Roman" w:eastAsia="宋体" w:cs="Times New Roman"/>
                <w:color w:val="000000" w:themeColor="text1"/>
                <w:highlight w:val="none"/>
                <w:lang w:eastAsia="zh-CN"/>
                <w14:textFill>
                  <w14:solidFill>
                    <w14:schemeClr w14:val="tx1"/>
                  </w14:solidFill>
                </w14:textFill>
              </w:rPr>
              <w:t>，水深为</w:t>
            </w:r>
            <w:r>
              <w:rPr>
                <w:rFonts w:hint="eastAsia" w:cs="Times New Roman"/>
                <w:color w:val="000000" w:themeColor="text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lang w:eastAsia="zh-CN"/>
                <w14:textFill>
                  <w14:solidFill>
                    <w14:schemeClr w14:val="tx1"/>
                  </w14:solidFill>
                </w14:textFill>
              </w:rPr>
              <w:t>本项目日排水量最大为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0.0025</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/s，约占大沙沟、源子河的水流量的0.</w:t>
            </w:r>
            <w:r>
              <w:rPr>
                <w:rFonts w:hint="eastAsia" w:cs="Times New Roman"/>
                <w:color w:val="000000" w:themeColor="text1"/>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%左右，占比很小，影响小，且本项目外排水为Ⅲ类水质，大沙沟和源子河执行Ⅳ类水质标准，因此，本项目</w:t>
            </w:r>
            <w:r>
              <w:rPr>
                <w:rFonts w:hint="eastAsia" w:cs="Times New Roman"/>
                <w:color w:val="000000" w:themeColor="text1"/>
                <w:highlight w:val="none"/>
                <w:lang w:val="en-US" w:eastAsia="zh-CN"/>
                <w14:textFill>
                  <w14:solidFill>
                    <w14:schemeClr w14:val="tx1"/>
                  </w14:solidFill>
                </w14:textFill>
              </w:rPr>
              <w:t>外排废水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对大沙沟和源子河的水质</w:t>
            </w:r>
            <w:r>
              <w:rPr>
                <w:rFonts w:hint="eastAsia" w:cs="Times New Roman"/>
                <w:color w:val="000000" w:themeColor="text1"/>
                <w:highlight w:val="none"/>
                <w:lang w:val="en-US" w:eastAsia="zh-CN"/>
                <w14:textFill>
                  <w14:solidFill>
                    <w14:schemeClr w14:val="tx1"/>
                  </w14:solidFill>
                </w14:textFill>
              </w:rPr>
              <w:t>的污染物浓度不会加重</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因此，本次</w:t>
            </w:r>
            <w:r>
              <w:rPr>
                <w:rFonts w:hint="default" w:ascii="Times New Roman" w:hAnsi="Times New Roman" w:eastAsia="宋体" w:cs="Times New Roman"/>
                <w:color w:val="000000" w:themeColor="text1"/>
                <w:highlight w:val="none"/>
                <w14:textFill>
                  <w14:solidFill>
                    <w14:schemeClr w14:val="tx1"/>
                  </w14:solidFill>
                </w14:textFill>
              </w:rPr>
              <w:t>评价将使用河流均匀混合模型对本</w:t>
            </w:r>
            <w:r>
              <w:rPr>
                <w:rFonts w:hint="default" w:ascii="Times New Roman" w:hAnsi="Times New Roman" w:eastAsia="宋体" w:cs="Times New Roman"/>
                <w:color w:val="000000" w:themeColor="text1"/>
                <w:highlight w:val="none"/>
                <w:lang w:eastAsia="zh-CN"/>
                <w14:textFill>
                  <w14:solidFill>
                    <w14:schemeClr w14:val="tx1"/>
                  </w14:solidFill>
                </w14:textFill>
              </w:rPr>
              <w:t>项目</w:t>
            </w:r>
            <w:r>
              <w:rPr>
                <w:rFonts w:hint="default" w:ascii="Times New Roman" w:hAnsi="Times New Roman" w:eastAsia="宋体" w:cs="Times New Roman"/>
                <w:color w:val="000000" w:themeColor="text1"/>
                <w:highlight w:val="none"/>
                <w14:textFill>
                  <w14:solidFill>
                    <w14:schemeClr w14:val="tx1"/>
                  </w14:solidFill>
                </w14:textFill>
              </w:rPr>
              <w:t>营运期对水环境进行影响预测。</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预测模式：</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河流均匀混合模型：</w:t>
            </w:r>
          </w:p>
          <w:p>
            <w:pPr>
              <w:spacing w:line="480" w:lineRule="exact"/>
              <w:ind w:firstLine="1200" w:firstLineChars="5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C=（C</w:t>
            </w:r>
            <w:r>
              <w:rPr>
                <w:rFonts w:hint="default" w:ascii="Times New Roman" w:hAnsi="Times New Roman" w:eastAsia="宋体" w:cs="Times New Roman"/>
                <w:color w:val="000000" w:themeColor="text1"/>
                <w:highlight w:val="none"/>
                <w:vertAlign w:val="subscript"/>
                <w14:textFill>
                  <w14:solidFill>
                    <w14:schemeClr w14:val="tx1"/>
                  </w14:solidFill>
                </w14:textFill>
              </w:rPr>
              <w:t>p</w:t>
            </w:r>
            <w:r>
              <w:rPr>
                <w:rFonts w:hint="default" w:ascii="Times New Roman" w:hAnsi="Times New Roman" w:eastAsia="宋体" w:cs="Times New Roman"/>
                <w:color w:val="000000" w:themeColor="text1"/>
                <w:highlight w:val="none"/>
                <w14:textFill>
                  <w14:solidFill>
                    <w14:schemeClr w14:val="tx1"/>
                  </w14:solidFill>
                </w14:textFill>
              </w:rPr>
              <w:t>Q</w:t>
            </w:r>
            <w:r>
              <w:rPr>
                <w:rFonts w:hint="default" w:ascii="Times New Roman" w:hAnsi="Times New Roman" w:eastAsia="宋体" w:cs="Times New Roman"/>
                <w:color w:val="000000" w:themeColor="text1"/>
                <w:highlight w:val="none"/>
                <w:vertAlign w:val="subscript"/>
                <w14:textFill>
                  <w14:solidFill>
                    <w14:schemeClr w14:val="tx1"/>
                  </w14:solidFill>
                </w14:textFill>
              </w:rPr>
              <w:t>p</w:t>
            </w:r>
            <w:r>
              <w:rPr>
                <w:rFonts w:hint="default" w:ascii="Times New Roman" w:hAnsi="Times New Roman" w:eastAsia="宋体" w:cs="Times New Roman"/>
                <w:color w:val="000000" w:themeColor="text1"/>
                <w:highlight w:val="none"/>
                <w14:textFill>
                  <w14:solidFill>
                    <w14:schemeClr w14:val="tx1"/>
                  </w14:solidFill>
                </w14:textFill>
              </w:rPr>
              <w:t>+C</w:t>
            </w:r>
            <w:r>
              <w:rPr>
                <w:rFonts w:hint="default" w:ascii="Times New Roman" w:hAnsi="Times New Roman" w:eastAsia="宋体" w:cs="Times New Roman"/>
                <w:color w:val="000000" w:themeColor="text1"/>
                <w:highlight w:val="none"/>
                <w:vertAlign w:val="subscript"/>
                <w14:textFill>
                  <w14:solidFill>
                    <w14:schemeClr w14:val="tx1"/>
                  </w14:solidFill>
                </w14:textFill>
              </w:rPr>
              <w:t>h</w:t>
            </w:r>
            <w:r>
              <w:rPr>
                <w:rFonts w:hint="default" w:ascii="Times New Roman" w:hAnsi="Times New Roman" w:eastAsia="宋体" w:cs="Times New Roman"/>
                <w:color w:val="000000" w:themeColor="text1"/>
                <w:highlight w:val="none"/>
                <w14:textFill>
                  <w14:solidFill>
                    <w14:schemeClr w14:val="tx1"/>
                  </w14:solidFill>
                </w14:textFill>
              </w:rPr>
              <w:t>Q</w:t>
            </w:r>
            <w:r>
              <w:rPr>
                <w:rFonts w:hint="default" w:ascii="Times New Roman" w:hAnsi="Times New Roman" w:eastAsia="宋体" w:cs="Times New Roman"/>
                <w:color w:val="000000" w:themeColor="text1"/>
                <w:highlight w:val="none"/>
                <w:vertAlign w:val="subscript"/>
                <w14:textFill>
                  <w14:solidFill>
                    <w14:schemeClr w14:val="tx1"/>
                  </w14:solidFill>
                </w14:textFill>
              </w:rPr>
              <w:t>h</w:t>
            </w:r>
            <w:r>
              <w:rPr>
                <w:rFonts w:hint="default" w:ascii="Times New Roman" w:hAnsi="Times New Roman" w:eastAsia="宋体" w:cs="Times New Roman"/>
                <w:color w:val="000000" w:themeColor="text1"/>
                <w:highlight w:val="none"/>
                <w14:textFill>
                  <w14:solidFill>
                    <w14:schemeClr w14:val="tx1"/>
                  </w14:solidFill>
                </w14:textFill>
              </w:rPr>
              <w:t>）/(Q</w:t>
            </w:r>
            <w:r>
              <w:rPr>
                <w:rFonts w:hint="default" w:ascii="Times New Roman" w:hAnsi="Times New Roman" w:eastAsia="宋体" w:cs="Times New Roman"/>
                <w:color w:val="000000" w:themeColor="text1"/>
                <w:highlight w:val="none"/>
                <w:vertAlign w:val="subscript"/>
                <w14:textFill>
                  <w14:solidFill>
                    <w14:schemeClr w14:val="tx1"/>
                  </w14:solidFill>
                </w14:textFill>
              </w:rPr>
              <w:t>p</w:t>
            </w:r>
            <w:r>
              <w:rPr>
                <w:rFonts w:hint="default" w:ascii="Times New Roman" w:hAnsi="Times New Roman" w:eastAsia="宋体" w:cs="Times New Roman"/>
                <w:color w:val="000000" w:themeColor="text1"/>
                <w:highlight w:val="none"/>
                <w14:textFill>
                  <w14:solidFill>
                    <w14:schemeClr w14:val="tx1"/>
                  </w14:solidFill>
                </w14:textFill>
              </w:rPr>
              <w:t>+Q</w:t>
            </w:r>
            <w:r>
              <w:rPr>
                <w:rFonts w:hint="default" w:ascii="Times New Roman" w:hAnsi="Times New Roman" w:eastAsia="宋体" w:cs="Times New Roman"/>
                <w:color w:val="000000" w:themeColor="text1"/>
                <w:highlight w:val="none"/>
                <w:vertAlign w:val="subscript"/>
                <w14:textFill>
                  <w14:solidFill>
                    <w14:schemeClr w14:val="tx1"/>
                  </w14:solidFill>
                </w14:textFill>
              </w:rPr>
              <w:t>h</w:t>
            </w:r>
            <w:r>
              <w:rPr>
                <w:rFonts w:hint="default" w:ascii="Times New Roman" w:hAnsi="Times New Roman" w:eastAsia="宋体" w:cs="Times New Roman"/>
                <w:color w:val="000000" w:themeColor="text1"/>
                <w:highlight w:val="none"/>
                <w14:textFill>
                  <w14:solidFill>
                    <w14:schemeClr w14:val="tx1"/>
                  </w14:solidFill>
                </w14:textFill>
              </w:rPr>
              <w:t>)</w:t>
            </w:r>
          </w:p>
          <w:p>
            <w:pPr>
              <w:spacing w:line="46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式中：</w:t>
            </w:r>
            <w:r>
              <w:rPr>
                <w:rFonts w:hint="default" w:ascii="Times New Roman" w:hAnsi="Times New Roman" w:eastAsia="宋体" w:cs="Times New Roman"/>
                <w:i/>
                <w:color w:val="000000" w:themeColor="text1"/>
                <w:highlight w:val="none"/>
                <w14:textFill>
                  <w14:solidFill>
                    <w14:schemeClr w14:val="tx1"/>
                  </w14:solidFill>
                </w14:textFill>
              </w:rPr>
              <w:t>C</w:t>
            </w:r>
            <w:r>
              <w:rPr>
                <w:rFonts w:hint="default" w:ascii="Times New Roman" w:hAnsi="Times New Roman" w:eastAsia="宋体" w:cs="Times New Roman"/>
                <w:color w:val="000000" w:themeColor="text1"/>
                <w:highlight w:val="none"/>
                <w14:textFill>
                  <w14:solidFill>
                    <w14:schemeClr w14:val="tx1"/>
                  </w14:solidFill>
                </w14:textFill>
              </w:rPr>
              <w:t>-污染物浓度，mg/L；</w:t>
            </w:r>
          </w:p>
          <w:p>
            <w:pPr>
              <w:spacing w:line="460" w:lineRule="exact"/>
              <w:ind w:firstLine="1200" w:firstLineChars="5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color w:val="000000" w:themeColor="text1"/>
                <w:highlight w:val="none"/>
                <w14:textFill>
                  <w14:solidFill>
                    <w14:schemeClr w14:val="tx1"/>
                  </w14:solidFill>
                </w14:textFill>
              </w:rPr>
              <w:t>C</w:t>
            </w:r>
            <w:r>
              <w:rPr>
                <w:rFonts w:hint="default" w:ascii="Times New Roman" w:hAnsi="Times New Roman" w:eastAsia="宋体" w:cs="Times New Roman"/>
                <w:i/>
                <w:color w:val="000000" w:themeColor="text1"/>
                <w:highlight w:val="none"/>
                <w:vertAlign w:val="subscript"/>
                <w14:textFill>
                  <w14:solidFill>
                    <w14:schemeClr w14:val="tx1"/>
                  </w14:solidFill>
                </w14:textFill>
              </w:rPr>
              <w:t>p</w:t>
            </w:r>
            <w:r>
              <w:rPr>
                <w:rFonts w:hint="default" w:ascii="Times New Roman" w:hAnsi="Times New Roman" w:eastAsia="宋体" w:cs="Times New Roman"/>
                <w:color w:val="000000" w:themeColor="text1"/>
                <w:highlight w:val="none"/>
                <w14:textFill>
                  <w14:solidFill>
                    <w14:schemeClr w14:val="tx1"/>
                  </w14:solidFill>
                </w14:textFill>
              </w:rPr>
              <w:t>-污染物排放浓度，mg/L；</w:t>
            </w:r>
          </w:p>
          <w:p>
            <w:pPr>
              <w:spacing w:line="460" w:lineRule="exact"/>
              <w:ind w:firstLine="1200" w:firstLineChars="5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color w:val="000000" w:themeColor="text1"/>
                <w:highlight w:val="none"/>
                <w14:textFill>
                  <w14:solidFill>
                    <w14:schemeClr w14:val="tx1"/>
                  </w14:solidFill>
                </w14:textFill>
              </w:rPr>
              <w:t>Q</w:t>
            </w:r>
            <w:r>
              <w:rPr>
                <w:rFonts w:hint="default" w:ascii="Times New Roman" w:hAnsi="Times New Roman" w:eastAsia="宋体" w:cs="Times New Roman"/>
                <w:i/>
                <w:color w:val="000000" w:themeColor="text1"/>
                <w:highlight w:val="none"/>
                <w:vertAlign w:val="subscript"/>
                <w14:textFill>
                  <w14:solidFill>
                    <w14:schemeClr w14:val="tx1"/>
                  </w14:solidFill>
                </w14:textFill>
              </w:rPr>
              <w:t>p</w:t>
            </w:r>
            <w:r>
              <w:rPr>
                <w:rFonts w:hint="default" w:ascii="Times New Roman" w:hAnsi="Times New Roman" w:eastAsia="宋体" w:cs="Times New Roman"/>
                <w:color w:val="000000" w:themeColor="text1"/>
                <w:highlight w:val="none"/>
                <w14:textFill>
                  <w14:solidFill>
                    <w14:schemeClr w14:val="tx1"/>
                  </w14:solidFill>
                </w14:textFill>
              </w:rPr>
              <w:t>-污水排放量，</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p>
          <w:p>
            <w:pPr>
              <w:spacing w:line="460" w:lineRule="exact"/>
              <w:ind w:firstLine="1200" w:firstLineChars="5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color w:val="000000" w:themeColor="text1"/>
                <w:highlight w:val="none"/>
                <w14:textFill>
                  <w14:solidFill>
                    <w14:schemeClr w14:val="tx1"/>
                  </w14:solidFill>
                </w14:textFill>
              </w:rPr>
              <w:t>C</w:t>
            </w:r>
            <w:r>
              <w:rPr>
                <w:rFonts w:hint="default" w:ascii="Times New Roman" w:hAnsi="Times New Roman" w:eastAsia="宋体" w:cs="Times New Roman"/>
                <w:i/>
                <w:color w:val="000000" w:themeColor="text1"/>
                <w:highlight w:val="none"/>
                <w:vertAlign w:val="subscript"/>
                <w14:textFill>
                  <w14:solidFill>
                    <w14:schemeClr w14:val="tx1"/>
                  </w14:solidFill>
                </w14:textFill>
              </w:rPr>
              <w:t>h</w:t>
            </w:r>
            <w:r>
              <w:rPr>
                <w:rFonts w:hint="default" w:ascii="Times New Roman" w:hAnsi="Times New Roman" w:eastAsia="宋体" w:cs="Times New Roman"/>
                <w:color w:val="000000" w:themeColor="text1"/>
                <w:highlight w:val="none"/>
                <w14:textFill>
                  <w14:solidFill>
                    <w14:schemeClr w14:val="tx1"/>
                  </w14:solidFill>
                </w14:textFill>
              </w:rPr>
              <w:t>-河流上游污染物浓度，mg/L；</w:t>
            </w:r>
          </w:p>
          <w:p>
            <w:pPr>
              <w:spacing w:line="460" w:lineRule="exact"/>
              <w:ind w:firstLine="1200" w:firstLineChars="5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i/>
                <w:color w:val="000000" w:themeColor="text1"/>
                <w:highlight w:val="none"/>
                <w14:textFill>
                  <w14:solidFill>
                    <w14:schemeClr w14:val="tx1"/>
                  </w14:solidFill>
                </w14:textFill>
              </w:rPr>
              <w:t>Q</w:t>
            </w:r>
            <w:r>
              <w:rPr>
                <w:rFonts w:hint="default" w:ascii="Times New Roman" w:hAnsi="Times New Roman" w:eastAsia="宋体" w:cs="Times New Roman"/>
                <w:i/>
                <w:color w:val="000000" w:themeColor="text1"/>
                <w:highlight w:val="none"/>
                <w:vertAlign w:val="subscript"/>
                <w14:textFill>
                  <w14:solidFill>
                    <w14:schemeClr w14:val="tx1"/>
                  </w14:solidFill>
                </w14:textFill>
              </w:rPr>
              <w:t>h</w:t>
            </w:r>
            <w:r>
              <w:rPr>
                <w:rFonts w:hint="default" w:ascii="Times New Roman" w:hAnsi="Times New Roman" w:eastAsia="宋体" w:cs="Times New Roman"/>
                <w:color w:val="000000" w:themeColor="text1"/>
                <w:highlight w:val="none"/>
                <w14:textFill>
                  <w14:solidFill>
                    <w14:schemeClr w14:val="tx1"/>
                  </w14:solidFill>
                </w14:textFill>
              </w:rPr>
              <w:t>-河流流量，</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/s；</w:t>
            </w:r>
          </w:p>
          <w:p>
            <w:pPr>
              <w:pStyle w:val="77"/>
              <w:spacing w:before="155"/>
              <w:ind w:left="587"/>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6</w:t>
            </w:r>
            <w:r>
              <w:rPr>
                <w:rFonts w:hint="default" w:ascii="Times New Roman" w:hAnsi="Times New Roman" w:eastAsia="宋体" w:cs="Times New Roman"/>
                <w:sz w:val="24"/>
                <w:lang w:eastAsia="zh-CN"/>
              </w:rPr>
              <w:t>）预测结果</w:t>
            </w:r>
          </w:p>
          <w:p>
            <w:pPr>
              <w:pStyle w:val="77"/>
              <w:spacing w:before="155"/>
              <w:ind w:left="587"/>
              <w:rPr>
                <w:rFonts w:hint="default" w:ascii="Times New Roman" w:hAnsi="Times New Roman" w:eastAsia="宋体" w:cs="Times New Roman"/>
                <w:sz w:val="24"/>
              </w:rPr>
            </w:pPr>
            <w:r>
              <w:rPr>
                <w:rFonts w:hint="default" w:ascii="Times New Roman" w:hAnsi="Times New Roman" w:eastAsia="宋体" w:cs="Times New Roman"/>
                <w:sz w:val="24"/>
              </w:rPr>
              <w:t>①正常排放</w:t>
            </w:r>
          </w:p>
          <w:p>
            <w:pPr>
              <w:rPr>
                <w:rFonts w:hint="default" w:ascii="Times New Roman" w:hAnsi="Times New Roman" w:eastAsia="宋体" w:cs="Times New Roman"/>
                <w:sz w:val="24"/>
              </w:rPr>
            </w:pPr>
            <w:r>
              <w:rPr>
                <w:rFonts w:hint="default" w:ascii="Times New Roman" w:hAnsi="Times New Roman" w:eastAsia="宋体" w:cs="Times New Roman"/>
                <w:sz w:val="24"/>
              </w:rPr>
              <w:t>根据预测模式及预测参数，预测项目投入使用还有各污染物正常排放条件（处理后达标排放）下进入河流后，浓度分布情况分别见</w:t>
            </w:r>
            <w:r>
              <w:rPr>
                <w:rFonts w:hint="default" w:ascii="Times New Roman" w:hAnsi="Times New Roman" w:eastAsia="宋体" w:cs="Times New Roman"/>
                <w:sz w:val="24"/>
                <w:lang w:eastAsia="zh-CN"/>
              </w:rPr>
              <w:t>下</w:t>
            </w:r>
            <w:r>
              <w:rPr>
                <w:rFonts w:hint="default" w:ascii="Times New Roman" w:hAnsi="Times New Roman" w:eastAsia="宋体" w:cs="Times New Roman"/>
                <w:sz w:val="24"/>
              </w:rPr>
              <w:t>表。</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8</w:t>
            </w:r>
            <w:r>
              <w:rPr>
                <w:rFonts w:hint="default" w:ascii="Times New Roman" w:hAnsi="Times New Roman" w:eastAsia="宋体" w:cs="Times New Roman"/>
                <w:lang w:val="en-US" w:eastAsia="zh-CN"/>
              </w:rPr>
              <w:t xml:space="preserve">    正常情况对河流的影响      单位：mg/L</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28"/>
              <w:gridCol w:w="1718"/>
              <w:gridCol w:w="2284"/>
              <w:gridCol w:w="2392"/>
              <w:gridCol w:w="14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9"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河流</w:t>
                  </w:r>
                </w:p>
              </w:tc>
              <w:tc>
                <w:tcPr>
                  <w:tcW w:w="950"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评价因子</w:t>
                  </w:r>
                </w:p>
              </w:tc>
              <w:tc>
                <w:tcPr>
                  <w:tcW w:w="126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lang w:eastAsia="zh-CN"/>
                    </w:rPr>
                    <w:t>现状</w:t>
                  </w:r>
                  <w:r>
                    <w:rPr>
                      <w:rFonts w:hint="default" w:ascii="Times New Roman" w:hAnsi="Times New Roman" w:eastAsia="宋体" w:cs="Times New Roman"/>
                      <w:b/>
                      <w:bCs/>
                      <w:sz w:val="21"/>
                    </w:rPr>
                    <w:t>值（mg/</w:t>
                  </w:r>
                  <w:r>
                    <w:rPr>
                      <w:rFonts w:hint="default" w:ascii="Times New Roman" w:hAnsi="Times New Roman" w:eastAsia="宋体" w:cs="Times New Roman"/>
                      <w:b/>
                      <w:bCs/>
                      <w:sz w:val="21"/>
                      <w:lang w:val="en-US" w:eastAsia="zh-CN"/>
                    </w:rPr>
                    <w:t>L</w:t>
                  </w:r>
                  <w:r>
                    <w:rPr>
                      <w:rFonts w:hint="default" w:ascii="Times New Roman" w:hAnsi="Times New Roman" w:eastAsia="宋体" w:cs="Times New Roman"/>
                      <w:b/>
                      <w:bCs/>
                      <w:sz w:val="21"/>
                    </w:rPr>
                    <w:t>）</w:t>
                  </w:r>
                </w:p>
              </w:tc>
              <w:tc>
                <w:tcPr>
                  <w:tcW w:w="132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预测值（mg/</w:t>
                  </w:r>
                  <w:r>
                    <w:rPr>
                      <w:rFonts w:hint="default" w:ascii="Times New Roman" w:hAnsi="Times New Roman" w:eastAsia="宋体" w:cs="Times New Roman"/>
                      <w:b/>
                      <w:bCs/>
                      <w:sz w:val="21"/>
                      <w:lang w:val="en-US" w:eastAsia="zh-CN"/>
                    </w:rPr>
                    <w:t>L</w:t>
                  </w:r>
                  <w:r>
                    <w:rPr>
                      <w:rFonts w:hint="default" w:ascii="Times New Roman" w:hAnsi="Times New Roman" w:eastAsia="宋体" w:cs="Times New Roman"/>
                      <w:b/>
                      <w:bCs/>
                      <w:sz w:val="21"/>
                    </w:rPr>
                    <w:t>）</w:t>
                  </w:r>
                </w:p>
              </w:tc>
              <w:tc>
                <w:tcPr>
                  <w:tcW w:w="782"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9"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大沙沟</w:t>
                  </w:r>
                </w:p>
              </w:tc>
              <w:tc>
                <w:tcPr>
                  <w:tcW w:w="950"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COD</w:t>
                  </w:r>
                </w:p>
              </w:tc>
              <w:tc>
                <w:tcPr>
                  <w:tcW w:w="126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17.5</w:t>
                  </w:r>
                </w:p>
              </w:tc>
              <w:tc>
                <w:tcPr>
                  <w:tcW w:w="132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val="en-US" w:eastAsia="zh-CN"/>
                    </w:rPr>
                  </w:pPr>
                  <w:r>
                    <w:rPr>
                      <w:rFonts w:hint="eastAsia" w:cs="Times New Roman"/>
                      <w:sz w:val="21"/>
                      <w:lang w:val="en-US" w:eastAsia="zh-CN"/>
                    </w:rPr>
                    <w:t>17.513</w:t>
                  </w:r>
                </w:p>
              </w:tc>
              <w:tc>
                <w:tcPr>
                  <w:tcW w:w="782"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源子河</w:t>
                  </w:r>
                </w:p>
              </w:tc>
              <w:tc>
                <w:tcPr>
                  <w:tcW w:w="950"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sz w:val="21"/>
                    </w:rPr>
                    <w:t>COD</w:t>
                  </w:r>
                </w:p>
              </w:tc>
              <w:tc>
                <w:tcPr>
                  <w:tcW w:w="126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19.3</w:t>
                  </w:r>
                </w:p>
              </w:tc>
              <w:tc>
                <w:tcPr>
                  <w:tcW w:w="132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19.304</w:t>
                  </w:r>
                </w:p>
              </w:tc>
              <w:tc>
                <w:tcPr>
                  <w:tcW w:w="782"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sz w:val="21"/>
                      <w:lang w:val="en-US" w:eastAsia="zh-CN"/>
                    </w:rPr>
                    <w:t>30</w:t>
                  </w:r>
                </w:p>
              </w:tc>
            </w:tr>
          </w:tbl>
          <w:p>
            <w:pPr>
              <w:pStyle w:val="77"/>
              <w:keepNext w:val="0"/>
              <w:keepLines w:val="0"/>
              <w:pageBreakBefore w:val="0"/>
              <w:widowControl w:val="0"/>
              <w:kinsoku/>
              <w:wordWrap/>
              <w:overflowPunct/>
              <w:topLinePunct w:val="0"/>
              <w:autoSpaceDE w:val="0"/>
              <w:autoSpaceDN w:val="0"/>
              <w:bidi w:val="0"/>
              <w:adjustRightInd w:val="0"/>
              <w:snapToGrid/>
              <w:spacing w:line="48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②非正常排放</w:t>
            </w:r>
          </w:p>
          <w:p>
            <w:pPr>
              <w:pStyle w:val="77"/>
              <w:keepNext w:val="0"/>
              <w:keepLines w:val="0"/>
              <w:pageBreakBefore w:val="0"/>
              <w:widowControl w:val="0"/>
              <w:kinsoku/>
              <w:wordWrap/>
              <w:overflowPunct/>
              <w:topLinePunct w:val="0"/>
              <w:autoSpaceDE w:val="0"/>
              <w:autoSpaceDN w:val="0"/>
              <w:bidi w:val="0"/>
              <w:adjustRightInd w:val="0"/>
              <w:snapToGrid/>
              <w:spacing w:line="48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本项目非正常排放是指废水处理系统等出现故障时废水直接排入水体后会对当地地表水环境造成影响。</w:t>
            </w:r>
          </w:p>
          <w:p>
            <w:pPr>
              <w:pStyle w:val="77"/>
              <w:keepNext w:val="0"/>
              <w:keepLines w:val="0"/>
              <w:pageBreakBefore w:val="0"/>
              <w:widowControl w:val="0"/>
              <w:kinsoku/>
              <w:wordWrap/>
              <w:overflowPunct/>
              <w:topLinePunct w:val="0"/>
              <w:autoSpaceDE w:val="0"/>
              <w:autoSpaceDN w:val="0"/>
              <w:bidi w:val="0"/>
              <w:adjustRightInd w:val="0"/>
              <w:snapToGrid/>
              <w:spacing w:line="48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根据预测模式及预测参数，预测项目投入使用还有各污染物非正常排放条件下进入河流后，浓度分布情况分别见</w:t>
            </w:r>
            <w:r>
              <w:rPr>
                <w:rFonts w:hint="default" w:ascii="Times New Roman" w:hAnsi="Times New Roman" w:eastAsia="宋体" w:cs="Times New Roman"/>
                <w:sz w:val="24"/>
                <w:lang w:eastAsia="zh-CN"/>
              </w:rPr>
              <w:t>下</w:t>
            </w:r>
            <w:r>
              <w:rPr>
                <w:rFonts w:hint="default" w:ascii="Times New Roman" w:hAnsi="Times New Roman" w:eastAsia="宋体" w:cs="Times New Roman"/>
                <w:sz w:val="24"/>
              </w:rPr>
              <w:t>表。</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9</w:t>
            </w:r>
            <w:r>
              <w:rPr>
                <w:rFonts w:hint="default" w:ascii="Times New Roman" w:hAnsi="Times New Roman" w:eastAsia="宋体" w:cs="Times New Roman"/>
                <w:lang w:val="en-US" w:eastAsia="zh-CN"/>
              </w:rPr>
              <w:t xml:space="preserve">    非正常情况对河流的影响     单位：mg/L</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67"/>
              <w:gridCol w:w="1557"/>
              <w:gridCol w:w="2316"/>
              <w:gridCol w:w="2184"/>
              <w:gridCol w:w="15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12"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河流</w:t>
                  </w:r>
                </w:p>
              </w:tc>
              <w:tc>
                <w:tcPr>
                  <w:tcW w:w="86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评价因子</w:t>
                  </w:r>
                </w:p>
              </w:tc>
              <w:tc>
                <w:tcPr>
                  <w:tcW w:w="128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lang w:eastAsia="zh-CN"/>
                    </w:rPr>
                    <w:t>现状</w:t>
                  </w:r>
                  <w:r>
                    <w:rPr>
                      <w:rFonts w:hint="default" w:ascii="Times New Roman" w:hAnsi="Times New Roman" w:eastAsia="宋体" w:cs="Times New Roman"/>
                      <w:b/>
                      <w:bCs/>
                      <w:sz w:val="21"/>
                    </w:rPr>
                    <w:t>值（mg/</w:t>
                  </w:r>
                  <w:r>
                    <w:rPr>
                      <w:rFonts w:hint="default" w:ascii="Times New Roman" w:hAnsi="Times New Roman" w:eastAsia="宋体" w:cs="Times New Roman"/>
                      <w:b/>
                      <w:bCs/>
                      <w:sz w:val="21"/>
                      <w:lang w:val="en-US" w:eastAsia="zh-CN"/>
                    </w:rPr>
                    <w:t>L</w:t>
                  </w:r>
                  <w:r>
                    <w:rPr>
                      <w:rFonts w:hint="default" w:ascii="Times New Roman" w:hAnsi="Times New Roman" w:eastAsia="宋体" w:cs="Times New Roman"/>
                      <w:b/>
                      <w:bCs/>
                      <w:sz w:val="21"/>
                    </w:rPr>
                    <w:t>）</w:t>
                  </w:r>
                </w:p>
              </w:tc>
              <w:tc>
                <w:tcPr>
                  <w:tcW w:w="1208"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预测值（mg/</w:t>
                  </w:r>
                  <w:r>
                    <w:rPr>
                      <w:rFonts w:hint="default" w:ascii="Times New Roman" w:hAnsi="Times New Roman" w:eastAsia="宋体" w:cs="Times New Roman"/>
                      <w:b/>
                      <w:bCs/>
                      <w:sz w:val="21"/>
                      <w:lang w:val="en-US" w:eastAsia="zh-CN"/>
                    </w:rPr>
                    <w:t>L</w:t>
                  </w:r>
                  <w:r>
                    <w:rPr>
                      <w:rFonts w:hint="default" w:ascii="Times New Roman" w:hAnsi="Times New Roman" w:eastAsia="宋体" w:cs="Times New Roman"/>
                      <w:b/>
                      <w:bCs/>
                      <w:sz w:val="21"/>
                    </w:rPr>
                    <w:t>）</w:t>
                  </w:r>
                </w:p>
              </w:tc>
              <w:tc>
                <w:tcPr>
                  <w:tcW w:w="836"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12"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szCs w:val="21"/>
                      <w:lang w:eastAsia="zh-CN"/>
                    </w:rPr>
                    <w:t>大沙沟</w:t>
                  </w:r>
                </w:p>
              </w:tc>
              <w:tc>
                <w:tcPr>
                  <w:tcW w:w="86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COD</w:t>
                  </w:r>
                </w:p>
              </w:tc>
              <w:tc>
                <w:tcPr>
                  <w:tcW w:w="128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sz w:val="21"/>
                      <w:lang w:val="en-US" w:eastAsia="zh-CN"/>
                    </w:rPr>
                    <w:t>17.5</w:t>
                  </w:r>
                </w:p>
              </w:tc>
              <w:tc>
                <w:tcPr>
                  <w:tcW w:w="1208"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sz w:val="21"/>
                      <w:lang w:val="en-US" w:eastAsia="zh-CN"/>
                    </w:rPr>
                    <w:t>17.621</w:t>
                  </w:r>
                </w:p>
              </w:tc>
              <w:tc>
                <w:tcPr>
                  <w:tcW w:w="836"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1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szCs w:val="21"/>
                      <w:lang w:eastAsia="zh-CN"/>
                    </w:rPr>
                    <w:t>源子河</w:t>
                  </w:r>
                </w:p>
              </w:tc>
              <w:tc>
                <w:tcPr>
                  <w:tcW w:w="86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COD</w:t>
                  </w:r>
                </w:p>
              </w:tc>
              <w:tc>
                <w:tcPr>
                  <w:tcW w:w="128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sz w:val="21"/>
                      <w:lang w:val="en-US" w:eastAsia="zh-CN"/>
                    </w:rPr>
                    <w:t>19.3</w:t>
                  </w:r>
                </w:p>
              </w:tc>
              <w:tc>
                <w:tcPr>
                  <w:tcW w:w="1208"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0"/>
                      <w:lang w:val="en-US" w:eastAsia="zh-CN" w:bidi="ar-SA"/>
                    </w:rPr>
                  </w:pPr>
                  <w:r>
                    <w:rPr>
                      <w:rFonts w:hint="eastAsia" w:cs="Times New Roman"/>
                      <w:sz w:val="21"/>
                      <w:lang w:val="en-US" w:eastAsia="zh-CN"/>
                    </w:rPr>
                    <w:t>19.424</w:t>
                  </w:r>
                </w:p>
              </w:tc>
              <w:tc>
                <w:tcPr>
                  <w:tcW w:w="836"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30</w:t>
                  </w:r>
                </w:p>
              </w:tc>
            </w:tr>
          </w:tbl>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4"/>
                <w:highlight w:val="none"/>
                <w14:textFill>
                  <w14:solidFill>
                    <w14:schemeClr w14:val="tx1"/>
                  </w14:solidFill>
                </w14:textFill>
              </w:rPr>
              <w:t>）污水处理站出水对地表水的影响</w:t>
            </w:r>
          </w:p>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sz w:val="24"/>
                <w:highlight w:val="none"/>
                <w:lang w:eastAsia="zh-CN"/>
              </w:rPr>
              <w:t>根据表</w:t>
            </w:r>
            <w:r>
              <w:rPr>
                <w:rFonts w:hint="default" w:ascii="Times New Roman" w:hAnsi="Times New Roman" w:eastAsia="宋体" w:cs="Times New Roman"/>
                <w:sz w:val="24"/>
                <w:highlight w:val="none"/>
                <w:lang w:val="en-US" w:eastAsia="zh-CN"/>
              </w:rPr>
              <w:t>7-</w:t>
            </w:r>
            <w:r>
              <w:rPr>
                <w:rFonts w:hint="eastAsia" w:cs="Times New Roman"/>
                <w:sz w:val="24"/>
                <w:highlight w:val="none"/>
                <w:lang w:val="en-US" w:eastAsia="zh-CN"/>
              </w:rPr>
              <w:t>8</w:t>
            </w:r>
            <w:r>
              <w:rPr>
                <w:rFonts w:hint="default" w:ascii="Times New Roman" w:hAnsi="Times New Roman" w:eastAsia="宋体" w:cs="Times New Roman"/>
                <w:sz w:val="24"/>
                <w:highlight w:val="none"/>
              </w:rPr>
              <w:t>本项目</w:t>
            </w:r>
            <w:r>
              <w:rPr>
                <w:rFonts w:hint="default" w:ascii="Times New Roman" w:hAnsi="Times New Roman" w:eastAsia="宋体" w:cs="Times New Roman"/>
                <w:sz w:val="24"/>
                <w:highlight w:val="none"/>
                <w:lang w:eastAsia="zh-CN"/>
              </w:rPr>
              <w:t>运营后</w:t>
            </w:r>
            <w:r>
              <w:rPr>
                <w:rFonts w:hint="default" w:ascii="Times New Roman" w:hAnsi="Times New Roman" w:eastAsia="宋体" w:cs="Times New Roman"/>
                <w:sz w:val="24"/>
                <w:highlight w:val="none"/>
              </w:rPr>
              <w:t>各</w:t>
            </w:r>
            <w:r>
              <w:rPr>
                <w:rFonts w:hint="default" w:ascii="Times New Roman" w:hAnsi="Times New Roman" w:eastAsia="宋体" w:cs="Times New Roman"/>
                <w:sz w:val="24"/>
              </w:rPr>
              <w:t>污染物正常排放条件</w:t>
            </w:r>
            <w:r>
              <w:rPr>
                <w:rFonts w:hint="default" w:ascii="Times New Roman" w:hAnsi="Times New Roman" w:eastAsia="宋体" w:cs="Times New Roman"/>
                <w:sz w:val="24"/>
                <w:lang w:eastAsia="zh-CN"/>
              </w:rPr>
              <w:t>下，大沙沟、源子河中的</w:t>
            </w:r>
            <w:r>
              <w:rPr>
                <w:rFonts w:hint="default" w:ascii="Times New Roman" w:hAnsi="Times New Roman" w:eastAsia="宋体" w:cs="Times New Roman"/>
                <w:sz w:val="24"/>
                <w:lang w:val="en-US" w:eastAsia="zh-CN"/>
              </w:rPr>
              <w:t>COD浓度均</w:t>
            </w:r>
            <w:r>
              <w:rPr>
                <w:rFonts w:hint="eastAsia" w:cs="Times New Roman"/>
                <w:sz w:val="24"/>
                <w:lang w:val="en-US" w:eastAsia="zh-CN"/>
              </w:rPr>
              <w:t>不超过标准限值</w:t>
            </w:r>
            <w:r>
              <w:rPr>
                <w:rFonts w:hint="default" w:ascii="Times New Roman" w:hAnsi="Times New Roman" w:eastAsia="宋体" w:cs="Times New Roman"/>
                <w:sz w:val="24"/>
                <w:lang w:val="en-US" w:eastAsia="zh-CN"/>
              </w:rPr>
              <w:t>。</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此外，</w:t>
            </w:r>
            <w:r>
              <w:rPr>
                <w:rFonts w:hint="default" w:ascii="Times New Roman" w:hAnsi="Times New Roman" w:eastAsia="宋体" w:cs="Times New Roman"/>
                <w:color w:val="000000" w:themeColor="text1"/>
                <w:spacing w:val="4"/>
                <w:highlight w:val="none"/>
                <w14:textFill>
                  <w14:solidFill>
                    <w14:schemeClr w14:val="tx1"/>
                  </w14:solidFill>
                </w14:textFill>
              </w:rPr>
              <w:t>外排矿井水可以</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在一定程度上</w:t>
            </w:r>
            <w:r>
              <w:rPr>
                <w:rFonts w:hint="default" w:ascii="Times New Roman" w:hAnsi="Times New Roman" w:eastAsia="宋体" w:cs="Times New Roman"/>
                <w:color w:val="000000" w:themeColor="text1"/>
                <w:spacing w:val="4"/>
                <w:highlight w:val="none"/>
                <w14:textFill>
                  <w14:solidFill>
                    <w14:schemeClr w14:val="tx1"/>
                  </w14:solidFill>
                </w14:textFill>
              </w:rPr>
              <w:t>补充</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大沙沟、源子河</w:t>
            </w:r>
            <w:r>
              <w:rPr>
                <w:rFonts w:hint="default" w:ascii="Times New Roman" w:hAnsi="Times New Roman" w:eastAsia="宋体" w:cs="Times New Roman"/>
                <w:color w:val="000000" w:themeColor="text1"/>
                <w:spacing w:val="4"/>
                <w:highlight w:val="none"/>
                <w14:textFill>
                  <w14:solidFill>
                    <w14:schemeClr w14:val="tx1"/>
                  </w14:solidFill>
                </w14:textFill>
              </w:rPr>
              <w:t>等的流量。</w:t>
            </w:r>
          </w:p>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w:t>
            </w: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4"/>
                <w:highlight w:val="none"/>
                <w14:textFill>
                  <w14:solidFill>
                    <w14:schemeClr w14:val="tx1"/>
                  </w14:solidFill>
                </w14:textFill>
              </w:rPr>
              <w:t>）事故排放对</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大沙沟</w:t>
            </w:r>
            <w:r>
              <w:rPr>
                <w:rFonts w:hint="default" w:ascii="Times New Roman" w:hAnsi="Times New Roman" w:eastAsia="宋体" w:cs="Times New Roman"/>
                <w:color w:val="000000" w:themeColor="text1"/>
                <w:spacing w:val="4"/>
                <w:highlight w:val="none"/>
                <w14:textFill>
                  <w14:solidFill>
                    <w14:schemeClr w14:val="tx1"/>
                  </w14:solidFill>
                </w14:textFill>
              </w:rPr>
              <w:t>的影响</w:t>
            </w:r>
          </w:p>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污水处理站</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中</w:t>
            </w:r>
            <w:r>
              <w:rPr>
                <w:rFonts w:hint="default" w:ascii="Times New Roman" w:hAnsi="Times New Roman" w:eastAsia="宋体" w:cs="Times New Roman"/>
                <w:sz w:val="24"/>
              </w:rPr>
              <w:t>废水处理系统等出现故障时废水直接排入水体后会对当地地表水环境造成影响</w:t>
            </w:r>
            <w:r>
              <w:rPr>
                <w:rFonts w:hint="default" w:ascii="Times New Roman" w:hAnsi="Times New Roman" w:eastAsia="宋体" w:cs="Times New Roman"/>
                <w:color w:val="000000" w:themeColor="text1"/>
                <w:spacing w:val="4"/>
                <w:sz w:val="24"/>
                <w:highlight w:val="none"/>
                <w14:textFill>
                  <w14:solidFill>
                    <w14:schemeClr w14:val="tx1"/>
                  </w14:solidFill>
                </w14:textFill>
              </w:rPr>
              <w:t>。矿井水排口附近无较大地表水体，本项目直接纳污河流</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为</w:t>
            </w:r>
            <w:r>
              <w:rPr>
                <w:rFonts w:hint="default" w:ascii="Times New Roman" w:hAnsi="Times New Roman" w:eastAsia="宋体" w:cs="Times New Roman"/>
                <w:color w:val="000000" w:themeColor="text1"/>
                <w:spacing w:val="4"/>
                <w:sz w:val="24"/>
                <w:highlight w:val="none"/>
                <w14:textFill>
                  <w14:solidFill>
                    <w14:schemeClr w14:val="tx1"/>
                  </w14:solidFill>
                </w14:textFill>
              </w:rPr>
              <w:t>大沙沟，然后向东排入源子河，均属于桑干河支流，均为季节性河流，枯水年常有断流现象，</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桑干</w:t>
            </w:r>
            <w:r>
              <w:rPr>
                <w:rFonts w:hint="default" w:ascii="Times New Roman" w:hAnsi="Times New Roman" w:eastAsia="宋体" w:cs="Times New Roman"/>
                <w:color w:val="000000" w:themeColor="text1"/>
                <w:spacing w:val="4"/>
                <w:sz w:val="24"/>
                <w:highlight w:val="none"/>
                <w14:textFill>
                  <w14:solidFill>
                    <w14:schemeClr w14:val="tx1"/>
                  </w14:solidFill>
                </w14:textFill>
              </w:rPr>
              <w:t>河距离本项目排放口</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pacing w:val="4"/>
                <w:sz w:val="24"/>
                <w:highlight w:val="none"/>
                <w14:textFill>
                  <w14:solidFill>
                    <w14:schemeClr w14:val="tx1"/>
                  </w14:solidFill>
                </w14:textFill>
              </w:rPr>
              <w:t>km，因此事故状态下不会直接对</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桑干</w:t>
            </w:r>
            <w:r>
              <w:rPr>
                <w:rFonts w:hint="default" w:ascii="Times New Roman" w:hAnsi="Times New Roman" w:eastAsia="宋体" w:cs="Times New Roman"/>
                <w:color w:val="000000" w:themeColor="text1"/>
                <w:spacing w:val="4"/>
                <w:sz w:val="24"/>
                <w:highlight w:val="none"/>
                <w14:textFill>
                  <w14:solidFill>
                    <w14:schemeClr w14:val="tx1"/>
                  </w14:solidFill>
                </w14:textFill>
              </w:rPr>
              <w:t>河造成影响。</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主要是影响大沙沟和源子河水质</w:t>
            </w:r>
            <w:r>
              <w:rPr>
                <w:rFonts w:hint="default" w:ascii="Times New Roman" w:hAnsi="Times New Roman" w:eastAsia="宋体" w:cs="Times New Roman"/>
                <w:sz w:val="24"/>
              </w:rPr>
              <w:t>。</w:t>
            </w:r>
          </w:p>
          <w:p>
            <w:pPr>
              <w:pStyle w:val="16"/>
              <w:spacing w:line="480" w:lineRule="exact"/>
              <w:ind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事故排放时矿井水未经处理直接进入</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大沙沟</w:t>
            </w:r>
            <w:r>
              <w:rPr>
                <w:rFonts w:hint="default" w:ascii="Times New Roman" w:hAnsi="Times New Roman" w:eastAsia="宋体" w:cs="Times New Roman"/>
                <w:color w:val="000000" w:themeColor="text1"/>
                <w:spacing w:val="4"/>
                <w:sz w:val="24"/>
                <w:highlight w:val="none"/>
                <w14:textFill>
                  <w14:solidFill>
                    <w14:schemeClr w14:val="tx1"/>
                  </w14:solidFill>
                </w14:textFill>
              </w:rPr>
              <w:t>，主要是对</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大沙沟和源子河</w:t>
            </w:r>
            <w:r>
              <w:rPr>
                <w:rFonts w:hint="default" w:ascii="Times New Roman" w:hAnsi="Times New Roman" w:eastAsia="宋体" w:cs="Times New Roman"/>
                <w:color w:val="000000" w:themeColor="text1"/>
                <w:spacing w:val="4"/>
                <w:sz w:val="24"/>
                <w:highlight w:val="none"/>
                <w14:textFill>
                  <w14:solidFill>
                    <w14:schemeClr w14:val="tx1"/>
                  </w14:solidFill>
                </w14:textFill>
              </w:rPr>
              <w:t>造成污染。因此必须采取相应措施，杜绝事故发生。</w:t>
            </w:r>
          </w:p>
          <w:p>
            <w:pPr>
              <w:pStyle w:val="16"/>
              <w:spacing w:line="480" w:lineRule="exact"/>
              <w:ind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采取的措施主要有：</w:t>
            </w:r>
          </w:p>
          <w:p>
            <w:pPr>
              <w:pStyle w:val="16"/>
              <w:spacing w:line="440" w:lineRule="exact"/>
              <w:ind w:left="-60" w:leftChars="-25"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a.通过设置双电源供电系统来提高用电保证率。</w:t>
            </w:r>
          </w:p>
          <w:p>
            <w:pPr>
              <w:pStyle w:val="16"/>
              <w:spacing w:line="440" w:lineRule="exact"/>
              <w:ind w:left="-60" w:leftChars="-25"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b.从发生事故原因来看，机械事故的发生多为违反操作规程，疏于管理所致。因此，本项目建设及生产运行过程中，必须加强对全体职工的安全教育和技术培训，在项目进行的各个环节的采取有效的安全监控措施，使出现事故的概率降至最低；</w:t>
            </w:r>
          </w:p>
          <w:p>
            <w:pPr>
              <w:pStyle w:val="16"/>
              <w:spacing w:line="440" w:lineRule="exact"/>
              <w:ind w:left="-60" w:leftChars="-25"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c.企业应建立事故风险应急管理组织机构，制定安全规程、事故防范措施及应急预案。管理人员应职责、权限分明，清楚生产工艺技术和事故风险发生后果，具备解除事故和减绶事故的能力；</w:t>
            </w:r>
          </w:p>
          <w:p>
            <w:pPr>
              <w:pStyle w:val="16"/>
              <w:spacing w:line="440" w:lineRule="exact"/>
              <w:ind w:left="-60" w:leftChars="-25"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d.严格执行设备的维护保养制度，定期对设备、管道、仪表、机泵等装置进行检查，及时处理不安全因素，将其消灭在萌芽状态；各项应急处理器材与设施也必须经常保持处于完好状态；</w:t>
            </w:r>
          </w:p>
          <w:p>
            <w:pPr>
              <w:pStyle w:val="16"/>
              <w:spacing w:line="440" w:lineRule="exact"/>
              <w:ind w:left="-60" w:leftChars="-25" w:firstLine="496"/>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e.万一发生突发事故，应及时采取处理措施，使事故的危害和影响降到最低限度；</w:t>
            </w:r>
          </w:p>
          <w:p>
            <w:pPr>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f.事故一旦得到控制，要对事故的原因进行详细分析，对涉及的各种因素的影响行评价，并对今后消除和最大限度减少这些因素提出建议。</w:t>
            </w:r>
          </w:p>
          <w:p>
            <w:pPr>
              <w:spacing w:line="460" w:lineRule="exact"/>
              <w:ind w:firstLine="496"/>
              <w:rPr>
                <w:rFonts w:hint="default" w:ascii="Times New Roman" w:hAnsi="Times New Roman" w:eastAsia="宋体" w:cs="Times New Roman"/>
                <w:b/>
                <w:bCs/>
                <w:color w:val="000000" w:themeColor="text1"/>
                <w:spacing w:val="4"/>
                <w:highlight w:val="none"/>
                <w14:textFill>
                  <w14:solidFill>
                    <w14:schemeClr w14:val="tx1"/>
                  </w14:solidFill>
                </w14:textFill>
              </w:rPr>
            </w:pPr>
            <w:r>
              <w:rPr>
                <w:rFonts w:hint="default" w:ascii="Times New Roman" w:hAnsi="Times New Roman" w:eastAsia="宋体" w:cs="Times New Roman"/>
                <w:b/>
                <w:bCs/>
                <w:color w:val="000000" w:themeColor="text1"/>
                <w:spacing w:val="4"/>
                <w:highlight w:val="none"/>
                <w:lang w:val="en-US" w:eastAsia="zh-CN"/>
                <w14:textFill>
                  <w14:solidFill>
                    <w14:schemeClr w14:val="tx1"/>
                  </w14:solidFill>
                </w14:textFill>
              </w:rPr>
              <w:t>2.4</w:t>
            </w:r>
            <w:r>
              <w:rPr>
                <w:rFonts w:hint="default" w:ascii="Times New Roman" w:hAnsi="Times New Roman" w:eastAsia="宋体" w:cs="Times New Roman"/>
                <w:b/>
                <w:bCs/>
                <w:color w:val="000000" w:themeColor="text1"/>
                <w:spacing w:val="4"/>
                <w:highlight w:val="none"/>
                <w14:textFill>
                  <w14:solidFill>
                    <w14:schemeClr w14:val="tx1"/>
                  </w14:solidFill>
                </w14:textFill>
              </w:rPr>
              <w:t>、建设项目污染物排放信息表</w:t>
            </w:r>
          </w:p>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（1）废水类别、污染物及污染治理设施信息表</w:t>
            </w:r>
          </w:p>
          <w:p>
            <w:pPr>
              <w:pStyle w:val="122"/>
              <w:bidi w:val="0"/>
              <w:rPr>
                <w:rFonts w:hint="default" w:ascii="Times New Roman" w:hAnsi="Times New Roman" w:eastAsia="宋体" w:cs="Times New Roman"/>
                <w:lang w:val="en-US" w:eastAsia="zh-CN"/>
              </w:rPr>
            </w:pPr>
          </w:p>
          <w:p>
            <w:pPr>
              <w:pStyle w:val="122"/>
              <w:bidi w:val="0"/>
              <w:rPr>
                <w:rFonts w:hint="default" w:ascii="Times New Roman" w:hAnsi="Times New Roman" w:eastAsia="宋体" w:cs="Times New Roman"/>
                <w:lang w:val="en-US" w:eastAsia="zh-CN"/>
              </w:rPr>
            </w:pP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-10</w:t>
            </w:r>
            <w:r>
              <w:rPr>
                <w:rFonts w:hint="default" w:ascii="Times New Roman" w:hAnsi="Times New Roman" w:eastAsia="宋体" w:cs="Times New Roman"/>
                <w:lang w:val="en-US" w:eastAsia="zh-CN"/>
              </w:rPr>
              <w:t xml:space="preserve">    废水类别、污染物及治理设施信息表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697"/>
              <w:gridCol w:w="1030"/>
              <w:gridCol w:w="688"/>
              <w:gridCol w:w="849"/>
              <w:gridCol w:w="858"/>
              <w:gridCol w:w="639"/>
              <w:gridCol w:w="666"/>
              <w:gridCol w:w="990"/>
              <w:gridCol w:w="836"/>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2"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386"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废水类别</w:t>
                  </w:r>
                </w:p>
              </w:tc>
              <w:tc>
                <w:tcPr>
                  <w:tcW w:w="569"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380"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c>
                <w:tcPr>
                  <w:tcW w:w="469"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排放规律</w:t>
                  </w:r>
                </w:p>
              </w:tc>
              <w:tc>
                <w:tcPr>
                  <w:tcW w:w="1195" w:type="pct"/>
                  <w:gridSpan w:val="3"/>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w:t>
                  </w:r>
                </w:p>
              </w:tc>
              <w:tc>
                <w:tcPr>
                  <w:tcW w:w="547"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462"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排放口设置是否符合要求</w:t>
                  </w:r>
                </w:p>
              </w:tc>
              <w:tc>
                <w:tcPr>
                  <w:tcW w:w="736" w:type="pct"/>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2"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386"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569"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380"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469"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474"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污染治理设施编号</w:t>
                  </w:r>
                </w:p>
              </w:tc>
              <w:tc>
                <w:tcPr>
                  <w:tcW w:w="353"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污染治理设施名称</w:t>
                  </w:r>
                </w:p>
              </w:tc>
              <w:tc>
                <w:tcPr>
                  <w:tcW w:w="368"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污染治理设施工艺</w:t>
                  </w:r>
                </w:p>
              </w:tc>
              <w:tc>
                <w:tcPr>
                  <w:tcW w:w="547"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462"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c>
                <w:tcPr>
                  <w:tcW w:w="736" w:type="pct"/>
                  <w:vMerge w:val="continue"/>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2"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386"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矿井水</w:t>
                  </w:r>
                </w:p>
              </w:tc>
              <w:tc>
                <w:tcPr>
                  <w:tcW w:w="569"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COD</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NH</w:t>
                  </w:r>
                  <w:r>
                    <w:rPr>
                      <w:rFonts w:hint="default" w:ascii="Times New Roman" w:hAnsi="Times New Roman" w:eastAsia="宋体" w:cs="Times New Roman"/>
                      <w:b w:val="0"/>
                      <w:bCs w:val="0"/>
                      <w:sz w:val="21"/>
                      <w:szCs w:val="21"/>
                      <w:vertAlign w:val="subscript"/>
                    </w:rPr>
                    <w:t>3</w:t>
                  </w:r>
                  <w:r>
                    <w:rPr>
                      <w:rFonts w:hint="default" w:ascii="Times New Roman" w:hAnsi="Times New Roman" w:eastAsia="宋体" w:cs="Times New Roman"/>
                      <w:b w:val="0"/>
                      <w:bCs w:val="0"/>
                      <w:sz w:val="21"/>
                      <w:szCs w:val="21"/>
                    </w:rPr>
                    <w:t>-N</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TP</w:t>
                  </w:r>
                </w:p>
              </w:tc>
              <w:tc>
                <w:tcPr>
                  <w:tcW w:w="380"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进入</w:t>
                  </w:r>
                  <w:r>
                    <w:rPr>
                      <w:rFonts w:hint="default" w:ascii="Times New Roman" w:hAnsi="Times New Roman" w:eastAsia="宋体" w:cs="Times New Roman"/>
                      <w:b w:val="0"/>
                      <w:bCs w:val="0"/>
                      <w:sz w:val="21"/>
                      <w:szCs w:val="21"/>
                      <w:lang w:eastAsia="zh-CN"/>
                    </w:rPr>
                    <w:t>大沙沟</w:t>
                  </w:r>
                </w:p>
              </w:tc>
              <w:tc>
                <w:tcPr>
                  <w:tcW w:w="469"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连续</w:t>
                  </w:r>
                  <w:r>
                    <w:rPr>
                      <w:rFonts w:hint="default" w:ascii="Times New Roman" w:hAnsi="Times New Roman" w:eastAsia="宋体" w:cs="Times New Roman"/>
                      <w:b w:val="0"/>
                      <w:bCs w:val="0"/>
                      <w:sz w:val="21"/>
                      <w:szCs w:val="21"/>
                    </w:rPr>
                    <w:t>排放，流量稳定</w:t>
                  </w:r>
                </w:p>
              </w:tc>
              <w:tc>
                <w:tcPr>
                  <w:tcW w:w="474"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TW01</w:t>
                  </w:r>
                </w:p>
              </w:tc>
              <w:tc>
                <w:tcPr>
                  <w:tcW w:w="353"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矿井水</w:t>
                  </w:r>
                  <w:r>
                    <w:rPr>
                      <w:rFonts w:hint="default" w:ascii="Times New Roman" w:hAnsi="Times New Roman" w:eastAsia="宋体" w:cs="Times New Roman"/>
                      <w:b w:val="0"/>
                      <w:bCs w:val="0"/>
                      <w:sz w:val="21"/>
                      <w:szCs w:val="21"/>
                    </w:rPr>
                    <w:t>处理系统</w:t>
                  </w:r>
                </w:p>
              </w:tc>
              <w:tc>
                <w:tcPr>
                  <w:tcW w:w="368"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调节、混凝、沉淀、过滤、超滤、消毒</w:t>
                  </w:r>
                </w:p>
              </w:tc>
              <w:tc>
                <w:tcPr>
                  <w:tcW w:w="547"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DW001</w:t>
                  </w:r>
                </w:p>
              </w:tc>
              <w:tc>
                <w:tcPr>
                  <w:tcW w:w="462"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sym w:font="Wingdings" w:char="F0FE"/>
                  </w:r>
                  <w:r>
                    <w:rPr>
                      <w:rFonts w:hint="default" w:ascii="Times New Roman" w:hAnsi="Times New Roman" w:eastAsia="宋体" w:cs="Times New Roman"/>
                      <w:b w:val="0"/>
                      <w:bCs w:val="0"/>
                      <w:sz w:val="21"/>
                      <w:szCs w:val="21"/>
                    </w:rPr>
                    <w:t>是</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□否</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jc w:val="left"/>
                    <w:textAlignment w:val="auto"/>
                    <w:rPr>
                      <w:rFonts w:hint="default" w:ascii="Times New Roman" w:hAnsi="Times New Roman" w:eastAsia="宋体" w:cs="Times New Roman"/>
                      <w:b w:val="0"/>
                      <w:bCs w:val="0"/>
                      <w:sz w:val="21"/>
                      <w:szCs w:val="21"/>
                    </w:rPr>
                  </w:pPr>
                </w:p>
              </w:tc>
              <w:tc>
                <w:tcPr>
                  <w:tcW w:w="736" w:type="pc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sym w:font="Wingdings" w:char="F0FE"/>
                  </w:r>
                  <w:r>
                    <w:rPr>
                      <w:rFonts w:hint="default" w:ascii="Times New Roman" w:hAnsi="Times New Roman" w:eastAsia="宋体" w:cs="Times New Roman"/>
                      <w:b w:val="0"/>
                      <w:bCs w:val="0"/>
                      <w:sz w:val="21"/>
                      <w:szCs w:val="21"/>
                    </w:rPr>
                    <w:t>企业排口</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□雨水排放</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□清净下水排放</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□温排水排放</w:t>
                  </w:r>
                </w:p>
                <w:p>
                  <w:pPr>
                    <w:pStyle w:val="54"/>
                    <w:keepNext w:val="0"/>
                    <w:keepLines w:val="0"/>
                    <w:pageBreakBefore w:val="0"/>
                    <w:widowControl w:val="0"/>
                    <w:kinsoku/>
                    <w:wordWrap/>
                    <w:overflowPunct/>
                    <w:topLinePunct w:val="0"/>
                    <w:autoSpaceDE/>
                    <w:autoSpaceDN/>
                    <w:bidi w:val="0"/>
                    <w:adjustRightInd w:val="0"/>
                    <w:snapToGrid w:val="0"/>
                    <w:spacing w:before="0" w:beforeLines="0"/>
                    <w:ind w:left="-120" w:leftChars="-50" w:right="-120" w:rightChars="-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□车间或车间处理设施排放口</w:t>
                  </w:r>
                </w:p>
              </w:tc>
            </w:tr>
          </w:tbl>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（2）废水排放口基本情况表</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11</w:t>
            </w:r>
            <w:r>
              <w:rPr>
                <w:rFonts w:hint="default" w:ascii="Times New Roman" w:hAnsi="Times New Roman" w:eastAsia="宋体" w:cs="Times New Roman"/>
                <w:lang w:val="en-US" w:eastAsia="zh-CN"/>
              </w:rPr>
              <w:t xml:space="preserve">    废水直接排放口基本情况表</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1"/>
              <w:gridCol w:w="675"/>
              <w:gridCol w:w="1430"/>
              <w:gridCol w:w="1349"/>
              <w:gridCol w:w="483"/>
              <w:gridCol w:w="221"/>
              <w:gridCol w:w="430"/>
              <w:gridCol w:w="430"/>
              <w:gridCol w:w="221"/>
              <w:gridCol w:w="648"/>
              <w:gridCol w:w="1459"/>
              <w:gridCol w:w="14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26"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373"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排放口编号</w:t>
                  </w:r>
                </w:p>
              </w:tc>
              <w:tc>
                <w:tcPr>
                  <w:tcW w:w="1068" w:type="pct"/>
                  <w:gridSpan w:val="2"/>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排放口地理坐</w:t>
                  </w:r>
                  <w:r>
                    <w:rPr>
                      <w:rFonts w:hint="default" w:ascii="Times New Roman" w:hAnsi="Times New Roman" w:eastAsia="宋体" w:cs="Times New Roman"/>
                      <w:b/>
                      <w:w w:val="99"/>
                      <w:sz w:val="21"/>
                    </w:rPr>
                    <w:t>标</w:t>
                  </w:r>
                </w:p>
              </w:tc>
              <w:tc>
                <w:tcPr>
                  <w:tcW w:w="377"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废水排放量（</w:t>
                  </w:r>
                  <w:r>
                    <w:rPr>
                      <w:rFonts w:hint="default" w:ascii="Times New Roman" w:hAnsi="Times New Roman" w:eastAsia="宋体" w:cs="Times New Roman"/>
                      <w:b/>
                      <w:sz w:val="21"/>
                      <w:lang w:eastAsia="zh-CN"/>
                    </w:rPr>
                    <w:t>万</w:t>
                  </w:r>
                  <w:r>
                    <w:rPr>
                      <w:rFonts w:hint="default" w:ascii="Times New Roman" w:hAnsi="Times New Roman" w:eastAsia="宋体" w:cs="Times New Roman"/>
                      <w:b/>
                      <w:sz w:val="21"/>
                    </w:rPr>
                    <w:t>t/a）</w:t>
                  </w:r>
                </w:p>
              </w:tc>
              <w:tc>
                <w:tcPr>
                  <w:tcW w:w="265"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排放去向</w:t>
                  </w:r>
                </w:p>
              </w:tc>
              <w:tc>
                <w:tcPr>
                  <w:tcW w:w="433"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排放规律</w:t>
                  </w:r>
                </w:p>
              </w:tc>
              <w:tc>
                <w:tcPr>
                  <w:tcW w:w="439" w:type="pct"/>
                  <w:vMerge w:val="restar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间歇排放时段</w:t>
                  </w:r>
                </w:p>
              </w:tc>
              <w:tc>
                <w:tcPr>
                  <w:tcW w:w="806" w:type="pct"/>
                  <w:gridSpan w:val="2"/>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受纳自然水体信</w:t>
                  </w:r>
                  <w:r>
                    <w:rPr>
                      <w:rFonts w:hint="default" w:ascii="Times New Roman" w:hAnsi="Times New Roman" w:eastAsia="宋体" w:cs="Times New Roman"/>
                      <w:b/>
                      <w:w w:val="99"/>
                      <w:sz w:val="21"/>
                    </w:rPr>
                    <w:t>息</w:t>
                  </w:r>
                </w:p>
              </w:tc>
              <w:tc>
                <w:tcPr>
                  <w:tcW w:w="1108" w:type="pct"/>
                  <w:gridSpan w:val="2"/>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汇入受纳自然水体处地理坐标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2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37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530"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经度</w:t>
                  </w:r>
                </w:p>
              </w:tc>
              <w:tc>
                <w:tcPr>
                  <w:tcW w:w="538"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纬度</w:t>
                  </w:r>
                </w:p>
              </w:tc>
              <w:tc>
                <w:tcPr>
                  <w:tcW w:w="37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26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43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439"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
                      <w:szCs w:val="2"/>
                    </w:rPr>
                  </w:pPr>
                </w:p>
              </w:tc>
              <w:tc>
                <w:tcPr>
                  <w:tcW w:w="285"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名称</w:t>
                  </w:r>
                </w:p>
              </w:tc>
              <w:tc>
                <w:tcPr>
                  <w:tcW w:w="52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pacing w:val="-6"/>
                      <w:sz w:val="21"/>
                    </w:rPr>
                    <w:t>受纳水</w:t>
                  </w:r>
                  <w:r>
                    <w:rPr>
                      <w:rFonts w:hint="default" w:ascii="Times New Roman" w:hAnsi="Times New Roman" w:eastAsia="宋体" w:cs="Times New Roman"/>
                      <w:b/>
                      <w:spacing w:val="-6"/>
                      <w:w w:val="95"/>
                      <w:sz w:val="21"/>
                    </w:rPr>
                    <w:t>体功能</w:t>
                  </w:r>
                  <w:r>
                    <w:rPr>
                      <w:rFonts w:hint="default" w:ascii="Times New Roman" w:hAnsi="Times New Roman" w:eastAsia="宋体" w:cs="Times New Roman"/>
                      <w:b/>
                      <w:w w:val="95"/>
                      <w:sz w:val="21"/>
                    </w:rPr>
                    <w:t>目标</w:t>
                  </w:r>
                </w:p>
              </w:tc>
              <w:tc>
                <w:tcPr>
                  <w:tcW w:w="607"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经度</w:t>
                  </w:r>
                </w:p>
              </w:tc>
              <w:tc>
                <w:tcPr>
                  <w:tcW w:w="50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纬度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26"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37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D</w:t>
                  </w:r>
                  <w:r>
                    <w:rPr>
                      <w:rFonts w:hint="default" w:ascii="Times New Roman" w:hAnsi="Times New Roman" w:eastAsia="宋体" w:cs="Times New Roman"/>
                      <w:sz w:val="21"/>
                      <w:lang w:val="en-US" w:eastAsia="zh-CN"/>
                    </w:rPr>
                    <w:t>W00</w:t>
                  </w:r>
                  <w:r>
                    <w:rPr>
                      <w:rFonts w:hint="default" w:ascii="Times New Roman" w:hAnsi="Times New Roman" w:eastAsia="宋体" w:cs="Times New Roman"/>
                      <w:sz w:val="21"/>
                    </w:rPr>
                    <w:t>1</w:t>
                  </w:r>
                </w:p>
              </w:tc>
              <w:tc>
                <w:tcPr>
                  <w:tcW w:w="530"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E11</w:t>
                  </w:r>
                  <w:r>
                    <w:rPr>
                      <w:rFonts w:hint="default" w:ascii="Times New Roman" w:hAnsi="Times New Roman" w:eastAsia="宋体" w:cs="Times New Roman"/>
                      <w:sz w:val="21"/>
                      <w:lang w:val="en-US" w:eastAsia="zh-CN"/>
                    </w:rPr>
                    <w:t>2</w:t>
                  </w:r>
                  <w:r>
                    <w:rPr>
                      <w:rFonts w:hint="default" w:ascii="Times New Roman" w:hAnsi="Times New Roman" w:eastAsia="宋体" w:cs="Times New Roman"/>
                      <w:sz w:val="21"/>
                    </w:rPr>
                    <w:t>.</w:t>
                  </w:r>
                  <w:r>
                    <w:rPr>
                      <w:rFonts w:hint="default" w:ascii="Times New Roman" w:hAnsi="Times New Roman" w:eastAsia="宋体" w:cs="Times New Roman"/>
                      <w:sz w:val="21"/>
                      <w:lang w:val="en-US" w:eastAsia="zh-CN"/>
                    </w:rPr>
                    <w:t>44147796</w:t>
                  </w:r>
                  <w:r>
                    <w:rPr>
                      <w:rFonts w:hint="default" w:ascii="Times New Roman" w:hAnsi="Times New Roman" w:eastAsia="宋体" w:cs="Times New Roman"/>
                      <w:sz w:val="21"/>
                    </w:rPr>
                    <w:t>°</w:t>
                  </w:r>
                </w:p>
              </w:tc>
              <w:tc>
                <w:tcPr>
                  <w:tcW w:w="538"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N</w:t>
                  </w:r>
                  <w:r>
                    <w:rPr>
                      <w:rFonts w:hint="default" w:ascii="Times New Roman" w:hAnsi="Times New Roman" w:eastAsia="宋体" w:cs="Times New Roman"/>
                      <w:sz w:val="21"/>
                      <w:lang w:val="en-US" w:eastAsia="zh-CN"/>
                    </w:rPr>
                    <w:t>39.60492056</w:t>
                  </w:r>
                  <w:r>
                    <w:rPr>
                      <w:rFonts w:hint="default" w:ascii="Times New Roman" w:hAnsi="Times New Roman" w:eastAsia="宋体" w:cs="Times New Roman"/>
                      <w:sz w:val="21"/>
                    </w:rPr>
                    <w:t>°</w:t>
                  </w:r>
                </w:p>
              </w:tc>
              <w:tc>
                <w:tcPr>
                  <w:tcW w:w="377"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7.875</w:t>
                  </w:r>
                </w:p>
              </w:tc>
              <w:tc>
                <w:tcPr>
                  <w:tcW w:w="265"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w w:val="95"/>
                      <w:sz w:val="21"/>
                      <w:lang w:eastAsia="zh-CN"/>
                    </w:rPr>
                    <w:t>大沙沟</w:t>
                  </w:r>
                </w:p>
              </w:tc>
              <w:tc>
                <w:tcPr>
                  <w:tcW w:w="433"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eastAsia="zh-CN"/>
                    </w:rPr>
                    <w:t>连续</w:t>
                  </w:r>
                  <w:r>
                    <w:rPr>
                      <w:rFonts w:hint="default" w:ascii="Times New Roman" w:hAnsi="Times New Roman" w:eastAsia="宋体" w:cs="Times New Roman"/>
                      <w:sz w:val="21"/>
                    </w:rPr>
                    <w:t>排放，流量稳</w:t>
                  </w:r>
                  <w:r>
                    <w:rPr>
                      <w:rFonts w:hint="default" w:ascii="Times New Roman" w:hAnsi="Times New Roman" w:eastAsia="宋体" w:cs="Times New Roman"/>
                      <w:w w:val="99"/>
                      <w:sz w:val="21"/>
                    </w:rPr>
                    <w:t>定</w:t>
                  </w:r>
                </w:p>
              </w:tc>
              <w:tc>
                <w:tcPr>
                  <w:tcW w:w="439"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85"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大沙沟</w:t>
                  </w:r>
                </w:p>
              </w:tc>
              <w:tc>
                <w:tcPr>
                  <w:tcW w:w="52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Ⅳ类</w:t>
                  </w:r>
                </w:p>
              </w:tc>
              <w:tc>
                <w:tcPr>
                  <w:tcW w:w="607"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w w:val="95"/>
                      <w:sz w:val="21"/>
                    </w:rPr>
                    <w:t>E112.452262378°</w:t>
                  </w:r>
                </w:p>
              </w:tc>
              <w:tc>
                <w:tcPr>
                  <w:tcW w:w="501" w:type="pct"/>
                  <w:tcBorders>
                    <w:tl2br w:val="nil"/>
                    <w:tr2bl w:val="nil"/>
                  </w:tcBorders>
                  <w:vAlign w:val="center"/>
                </w:tcPr>
                <w:p>
                  <w:pPr>
                    <w:pStyle w:val="77"/>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N39.612151644°</w:t>
                  </w:r>
                </w:p>
              </w:tc>
            </w:tr>
          </w:tbl>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（3）废水污染物排放执行标准表</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w:t>
            </w:r>
            <w:r>
              <w:rPr>
                <w:rFonts w:hint="eastAsia" w:cs="Times New Roman"/>
                <w:lang w:val="en-US" w:eastAsia="zh-CN"/>
              </w:rPr>
              <w:t>12</w:t>
            </w:r>
            <w:r>
              <w:rPr>
                <w:rFonts w:hint="default" w:ascii="Times New Roman" w:hAnsi="Times New Roman" w:eastAsia="宋体" w:cs="Times New Roman"/>
                <w:lang w:val="en-US" w:eastAsia="zh-CN"/>
              </w:rPr>
              <w:t xml:space="preserve">    废水污染物排放执行标准表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153"/>
              <w:gridCol w:w="1077"/>
              <w:gridCol w:w="3317"/>
              <w:gridCol w:w="2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3" w:type="pct"/>
                  <w:vMerge w:val="restart"/>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638" w:type="pct"/>
                  <w:vMerge w:val="restart"/>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排放口编号</w:t>
                  </w:r>
                </w:p>
              </w:tc>
              <w:tc>
                <w:tcPr>
                  <w:tcW w:w="596" w:type="pct"/>
                  <w:vMerge w:val="restart"/>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污染物种类</w:t>
                  </w:r>
                </w:p>
              </w:tc>
              <w:tc>
                <w:tcPr>
                  <w:tcW w:w="3351" w:type="pct"/>
                  <w:gridSpan w:val="2"/>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3" w:type="pct"/>
                  <w:vMerge w:val="continue"/>
                  <w:noWrap w:val="0"/>
                  <w:vAlign w:val="center"/>
                </w:tcPr>
                <w:p>
                  <w:pPr>
                    <w:pStyle w:val="54"/>
                    <w:rPr>
                      <w:rFonts w:hint="default" w:ascii="Times New Roman" w:hAnsi="Times New Roman" w:eastAsia="宋体" w:cs="Times New Roman"/>
                      <w:b/>
                      <w:bCs/>
                    </w:rPr>
                  </w:pPr>
                </w:p>
              </w:tc>
              <w:tc>
                <w:tcPr>
                  <w:tcW w:w="638" w:type="pct"/>
                  <w:vMerge w:val="continue"/>
                  <w:noWrap w:val="0"/>
                  <w:vAlign w:val="center"/>
                </w:tcPr>
                <w:p>
                  <w:pPr>
                    <w:pStyle w:val="54"/>
                    <w:rPr>
                      <w:rFonts w:hint="default" w:ascii="Times New Roman" w:hAnsi="Times New Roman" w:eastAsia="宋体" w:cs="Times New Roman"/>
                      <w:b/>
                      <w:bCs/>
                    </w:rPr>
                  </w:pPr>
                </w:p>
              </w:tc>
              <w:tc>
                <w:tcPr>
                  <w:tcW w:w="596" w:type="pct"/>
                  <w:vMerge w:val="continue"/>
                  <w:noWrap w:val="0"/>
                  <w:vAlign w:val="center"/>
                </w:tcPr>
                <w:p>
                  <w:pPr>
                    <w:pStyle w:val="54"/>
                    <w:rPr>
                      <w:rFonts w:hint="default" w:ascii="Times New Roman" w:hAnsi="Times New Roman" w:eastAsia="宋体" w:cs="Times New Roman"/>
                      <w:b/>
                      <w:bCs/>
                    </w:rPr>
                  </w:pPr>
                </w:p>
              </w:tc>
              <w:tc>
                <w:tcPr>
                  <w:tcW w:w="1835" w:type="pct"/>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1515" w:type="pct"/>
                  <w:noWrap w:val="0"/>
                  <w:vAlign w:val="center"/>
                </w:tcPr>
                <w:p>
                  <w:pPr>
                    <w:pStyle w:val="54"/>
                    <w:rPr>
                      <w:rFonts w:hint="default" w:ascii="Times New Roman" w:hAnsi="Times New Roman" w:eastAsia="宋体" w:cs="Times New Roman"/>
                      <w:b/>
                      <w:bCs/>
                    </w:rPr>
                  </w:pPr>
                  <w:r>
                    <w:rPr>
                      <w:rFonts w:hint="default" w:ascii="Times New Roman" w:hAnsi="Times New Roman" w:eastAsia="宋体" w:cs="Times New Roman"/>
                      <w:b/>
                      <w:bCs/>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3" w:type="pc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1</w:t>
                  </w:r>
                </w:p>
              </w:tc>
              <w:tc>
                <w:tcPr>
                  <w:tcW w:w="638" w:type="pct"/>
                  <w:vMerge w:val="restar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DW001</w:t>
                  </w:r>
                </w:p>
              </w:tc>
              <w:tc>
                <w:tcPr>
                  <w:tcW w:w="596" w:type="pc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COD</w:t>
                  </w:r>
                </w:p>
              </w:tc>
              <w:tc>
                <w:tcPr>
                  <w:tcW w:w="1835" w:type="pct"/>
                  <w:vMerge w:val="restar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《地表水环境质量标准》（GB3838-2002）中Ⅲ类标准</w:t>
                  </w:r>
                </w:p>
              </w:tc>
              <w:tc>
                <w:tcPr>
                  <w:tcW w:w="1515" w:type="pct"/>
                  <w:noWrap w:val="0"/>
                  <w:vAlign w:val="center"/>
                </w:tcPr>
                <w:p>
                  <w:pPr>
                    <w:pStyle w:val="54"/>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3" w:type="pct"/>
                  <w:noWrap w:val="0"/>
                  <w:vAlign w:val="center"/>
                </w:tcPr>
                <w:p>
                  <w:pPr>
                    <w:pStyle w:val="54"/>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w:t>
                  </w:r>
                </w:p>
              </w:tc>
              <w:tc>
                <w:tcPr>
                  <w:tcW w:w="638" w:type="pct"/>
                  <w:vMerge w:val="continue"/>
                  <w:noWrap w:val="0"/>
                  <w:vAlign w:val="center"/>
                </w:tcPr>
                <w:p>
                  <w:pPr>
                    <w:pStyle w:val="54"/>
                    <w:rPr>
                      <w:rFonts w:hint="default" w:ascii="Times New Roman" w:hAnsi="Times New Roman" w:eastAsia="宋体" w:cs="Times New Roman"/>
                      <w:b w:val="0"/>
                      <w:bCs w:val="0"/>
                    </w:rPr>
                  </w:pPr>
                </w:p>
              </w:tc>
              <w:tc>
                <w:tcPr>
                  <w:tcW w:w="596" w:type="pc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氨氮</w:t>
                  </w:r>
                </w:p>
              </w:tc>
              <w:tc>
                <w:tcPr>
                  <w:tcW w:w="1835" w:type="pct"/>
                  <w:vMerge w:val="continue"/>
                  <w:noWrap w:val="0"/>
                  <w:vAlign w:val="center"/>
                </w:tcPr>
                <w:p>
                  <w:pPr>
                    <w:pStyle w:val="54"/>
                    <w:rPr>
                      <w:rFonts w:hint="default" w:ascii="Times New Roman" w:hAnsi="Times New Roman" w:eastAsia="宋体" w:cs="Times New Roman"/>
                      <w:b w:val="0"/>
                      <w:bCs w:val="0"/>
                    </w:rPr>
                  </w:pPr>
                </w:p>
              </w:tc>
              <w:tc>
                <w:tcPr>
                  <w:tcW w:w="1515" w:type="pct"/>
                  <w:noWrap w:val="0"/>
                  <w:vAlign w:val="center"/>
                </w:tcPr>
                <w:p>
                  <w:pPr>
                    <w:pStyle w:val="54"/>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3" w:type="pct"/>
                  <w:noWrap w:val="0"/>
                  <w:vAlign w:val="center"/>
                </w:tcPr>
                <w:p>
                  <w:pPr>
                    <w:pStyle w:val="54"/>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w:t>
                  </w:r>
                </w:p>
              </w:tc>
              <w:tc>
                <w:tcPr>
                  <w:tcW w:w="638" w:type="pct"/>
                  <w:vMerge w:val="continue"/>
                  <w:noWrap w:val="0"/>
                  <w:vAlign w:val="center"/>
                </w:tcPr>
                <w:p>
                  <w:pPr>
                    <w:pStyle w:val="54"/>
                    <w:rPr>
                      <w:rFonts w:hint="default" w:ascii="Times New Roman" w:hAnsi="Times New Roman" w:eastAsia="宋体" w:cs="Times New Roman"/>
                      <w:b w:val="0"/>
                      <w:bCs w:val="0"/>
                    </w:rPr>
                  </w:pPr>
                </w:p>
              </w:tc>
              <w:tc>
                <w:tcPr>
                  <w:tcW w:w="596" w:type="pct"/>
                  <w:noWrap w:val="0"/>
                  <w:vAlign w:val="center"/>
                </w:tcPr>
                <w:p>
                  <w:pPr>
                    <w:pStyle w:val="54"/>
                    <w:rPr>
                      <w:rFonts w:hint="default" w:ascii="Times New Roman" w:hAnsi="Times New Roman" w:eastAsia="宋体" w:cs="Times New Roman"/>
                      <w:b w:val="0"/>
                      <w:bCs w:val="0"/>
                    </w:rPr>
                  </w:pPr>
                  <w:r>
                    <w:rPr>
                      <w:rFonts w:hint="default" w:ascii="Times New Roman" w:hAnsi="Times New Roman" w:eastAsia="宋体" w:cs="Times New Roman"/>
                      <w:b w:val="0"/>
                      <w:bCs w:val="0"/>
                    </w:rPr>
                    <w:t>TP</w:t>
                  </w:r>
                </w:p>
              </w:tc>
              <w:tc>
                <w:tcPr>
                  <w:tcW w:w="1835" w:type="pct"/>
                  <w:vMerge w:val="continue"/>
                  <w:noWrap w:val="0"/>
                  <w:vAlign w:val="center"/>
                </w:tcPr>
                <w:p>
                  <w:pPr>
                    <w:pStyle w:val="54"/>
                    <w:rPr>
                      <w:rFonts w:hint="default" w:ascii="Times New Roman" w:hAnsi="Times New Roman" w:eastAsia="宋体" w:cs="Times New Roman"/>
                      <w:b w:val="0"/>
                      <w:bCs w:val="0"/>
                    </w:rPr>
                  </w:pPr>
                </w:p>
              </w:tc>
              <w:tc>
                <w:tcPr>
                  <w:tcW w:w="1515" w:type="pct"/>
                  <w:noWrap w:val="0"/>
                  <w:vAlign w:val="center"/>
                </w:tcPr>
                <w:p>
                  <w:pPr>
                    <w:pStyle w:val="54"/>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0.2</w:t>
                  </w:r>
                </w:p>
              </w:tc>
            </w:tr>
          </w:tbl>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（3）废水污染物排放信息表</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表7-1</w:t>
            </w:r>
            <w:r>
              <w:rPr>
                <w:rFonts w:hint="eastAsia" w:cs="Times New Roman"/>
                <w:lang w:val="en-US" w:eastAsia="zh-CN"/>
              </w:rPr>
              <w:t>3</w:t>
            </w:r>
            <w:r>
              <w:rPr>
                <w:rFonts w:hint="default" w:ascii="Times New Roman" w:hAnsi="Times New Roman" w:eastAsia="宋体" w:cs="Times New Roman"/>
                <w:lang w:val="en-US" w:eastAsia="zh-CN"/>
              </w:rPr>
              <w:t xml:space="preserve">    废水污染物排放信息表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179"/>
              <w:gridCol w:w="1036"/>
              <w:gridCol w:w="1356"/>
              <w:gridCol w:w="1639"/>
              <w:gridCol w:w="1583"/>
              <w:gridCol w:w="1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 w:type="pct"/>
                  <w:vMerge w:val="restar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651" w:type="pct"/>
                  <w:vMerge w:val="restar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573" w:type="pct"/>
                  <w:vMerge w:val="restar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750" w:type="pct"/>
                  <w:vMerge w:val="restar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排放浓度（mg/L）</w:t>
                  </w:r>
                </w:p>
              </w:tc>
              <w:tc>
                <w:tcPr>
                  <w:tcW w:w="1781" w:type="pct"/>
                  <w:gridSpan w:val="2"/>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日排放量（t/d）</w:t>
                  </w:r>
                </w:p>
              </w:tc>
              <w:tc>
                <w:tcPr>
                  <w:tcW w:w="832" w:type="pct"/>
                  <w:vMerge w:val="restar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 w:type="pct"/>
                  <w:vMerge w:val="continue"/>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p>
              </w:tc>
              <w:tc>
                <w:tcPr>
                  <w:tcW w:w="651" w:type="pct"/>
                  <w:vMerge w:val="continue"/>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p>
              </w:tc>
              <w:tc>
                <w:tcPr>
                  <w:tcW w:w="573" w:type="pct"/>
                  <w:vMerge w:val="continue"/>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p>
              </w:tc>
              <w:tc>
                <w:tcPr>
                  <w:tcW w:w="750" w:type="pct"/>
                  <w:vMerge w:val="continue"/>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p>
              </w:tc>
              <w:tc>
                <w:tcPr>
                  <w:tcW w:w="907" w:type="pc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采暖期</w:t>
                  </w:r>
                </w:p>
              </w:tc>
              <w:tc>
                <w:tcPr>
                  <w:tcW w:w="873" w:type="pct"/>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非采暖期</w:t>
                  </w:r>
                </w:p>
              </w:tc>
              <w:tc>
                <w:tcPr>
                  <w:tcW w:w="832" w:type="pct"/>
                  <w:vMerge w:val="continue"/>
                  <w:noWrap w:val="0"/>
                  <w:vAlign w:val="center"/>
                </w:tcPr>
                <w:p>
                  <w:pPr>
                    <w:pStyle w:val="54"/>
                    <w:keepNext w:val="0"/>
                    <w:keepLines w:val="0"/>
                    <w:pageBreakBefore w:val="0"/>
                    <w:kinsoku/>
                    <w:wordWrap/>
                    <w:overflowPunct/>
                    <w:topLinePunct w:val="0"/>
                    <w:autoSpaceDE/>
                    <w:autoSpaceDN/>
                    <w:bidi w:val="0"/>
                    <w:spacing w:before="0" w:beforeLines="0"/>
                    <w:textAlignment w:val="auto"/>
                    <w:rPr>
                      <w:rFonts w:hint="default" w:ascii="Times New Roman" w:hAnsi="Times New Roman"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651" w:type="pct"/>
                  <w:vMerge w:val="restar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DW001</w:t>
                  </w:r>
                </w:p>
              </w:tc>
              <w:tc>
                <w:tcPr>
                  <w:tcW w:w="5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COD</w:t>
                  </w:r>
                </w:p>
              </w:tc>
              <w:tc>
                <w:tcPr>
                  <w:tcW w:w="750" w:type="pct"/>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20</w:t>
                  </w:r>
                </w:p>
              </w:tc>
              <w:tc>
                <w:tcPr>
                  <w:tcW w:w="907"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0.0056</w:t>
                  </w:r>
                </w:p>
              </w:tc>
              <w:tc>
                <w:tcPr>
                  <w:tcW w:w="8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0.0031</w:t>
                  </w:r>
                </w:p>
              </w:tc>
              <w:tc>
                <w:tcPr>
                  <w:tcW w:w="832"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651" w:type="pct"/>
                  <w:vMerge w:val="continue"/>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p>
              </w:tc>
              <w:tc>
                <w:tcPr>
                  <w:tcW w:w="5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NH</w:t>
                  </w:r>
                  <w:r>
                    <w:rPr>
                      <w:rFonts w:hint="default" w:ascii="Times New Roman" w:hAnsi="Times New Roman" w:eastAsia="宋体" w:cs="Times New Roman"/>
                      <w:b w:val="0"/>
                      <w:bCs w:val="0"/>
                      <w:sz w:val="21"/>
                      <w:szCs w:val="21"/>
                      <w:vertAlign w:val="subscript"/>
                    </w:rPr>
                    <w:t>3</w:t>
                  </w:r>
                  <w:r>
                    <w:rPr>
                      <w:rFonts w:hint="default" w:ascii="Times New Roman" w:hAnsi="Times New Roman" w:eastAsia="宋体" w:cs="Times New Roman"/>
                      <w:b w:val="0"/>
                      <w:bCs w:val="0"/>
                      <w:sz w:val="21"/>
                      <w:szCs w:val="21"/>
                    </w:rPr>
                    <w:t>-N</w:t>
                  </w:r>
                </w:p>
              </w:tc>
              <w:tc>
                <w:tcPr>
                  <w:tcW w:w="750" w:type="pct"/>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1.0</w:t>
                  </w:r>
                </w:p>
              </w:tc>
              <w:tc>
                <w:tcPr>
                  <w:tcW w:w="907"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0.0003</w:t>
                  </w:r>
                </w:p>
              </w:tc>
              <w:tc>
                <w:tcPr>
                  <w:tcW w:w="8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0.0002</w:t>
                  </w:r>
                </w:p>
              </w:tc>
              <w:tc>
                <w:tcPr>
                  <w:tcW w:w="832"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651" w:type="pct"/>
                  <w:vMerge w:val="continue"/>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p>
              </w:tc>
              <w:tc>
                <w:tcPr>
                  <w:tcW w:w="5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TP</w:t>
                  </w:r>
                </w:p>
              </w:tc>
              <w:tc>
                <w:tcPr>
                  <w:tcW w:w="750" w:type="pct"/>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0.2</w:t>
                  </w:r>
                </w:p>
              </w:tc>
              <w:tc>
                <w:tcPr>
                  <w:tcW w:w="907"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0.0001</w:t>
                  </w:r>
                </w:p>
              </w:tc>
              <w:tc>
                <w:tcPr>
                  <w:tcW w:w="873"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0.00003</w:t>
                  </w:r>
                </w:p>
              </w:tc>
              <w:tc>
                <w:tcPr>
                  <w:tcW w:w="832" w:type="pc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1" w:type="pct"/>
                  <w:gridSpan w:val="2"/>
                  <w:vMerge w:val="restart"/>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全厂排放口合计</w:t>
                  </w:r>
                </w:p>
              </w:tc>
              <w:tc>
                <w:tcPr>
                  <w:tcW w:w="3106" w:type="pct"/>
                  <w:gridSpan w:val="4"/>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COD</w:t>
                  </w:r>
                </w:p>
              </w:tc>
              <w:tc>
                <w:tcPr>
                  <w:tcW w:w="832" w:type="pct"/>
                  <w:noWrap w:val="0"/>
                  <w:vAlign w:val="center"/>
                </w:tcPr>
                <w:p>
                  <w:pPr>
                    <w:pStyle w:val="40"/>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1" w:type="pct"/>
                  <w:gridSpan w:val="2"/>
                  <w:vMerge w:val="continue"/>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p>
              </w:tc>
              <w:tc>
                <w:tcPr>
                  <w:tcW w:w="3106" w:type="pct"/>
                  <w:gridSpan w:val="4"/>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NH</w:t>
                  </w:r>
                  <w:r>
                    <w:rPr>
                      <w:rFonts w:hint="default" w:ascii="Times New Roman" w:hAnsi="Times New Roman" w:eastAsia="宋体" w:cs="Times New Roman"/>
                      <w:b w:val="0"/>
                      <w:bCs w:val="0"/>
                      <w:sz w:val="21"/>
                      <w:szCs w:val="21"/>
                      <w:vertAlign w:val="subscript"/>
                    </w:rPr>
                    <w:t>3</w:t>
                  </w:r>
                  <w:r>
                    <w:rPr>
                      <w:rFonts w:hint="default" w:ascii="Times New Roman" w:hAnsi="Times New Roman" w:eastAsia="宋体" w:cs="Times New Roman"/>
                      <w:b w:val="0"/>
                      <w:bCs w:val="0"/>
                      <w:sz w:val="21"/>
                      <w:szCs w:val="21"/>
                    </w:rPr>
                    <w:t>-N</w:t>
                  </w:r>
                </w:p>
              </w:tc>
              <w:tc>
                <w:tcPr>
                  <w:tcW w:w="832" w:type="pct"/>
                  <w:noWrap w:val="0"/>
                  <w:vAlign w:val="center"/>
                </w:tcPr>
                <w:p>
                  <w:pPr>
                    <w:pStyle w:val="40"/>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1" w:type="pct"/>
                  <w:gridSpan w:val="2"/>
                  <w:vMerge w:val="continue"/>
                  <w:noWrap w:val="0"/>
                  <w:vAlign w:val="center"/>
                </w:tcPr>
                <w:p>
                  <w:pPr>
                    <w:pStyle w:val="54"/>
                    <w:keepNext w:val="0"/>
                    <w:keepLines w:val="0"/>
                    <w:pageBreakBefore w:val="0"/>
                    <w:kinsoku/>
                    <w:wordWrap/>
                    <w:overflowPunct/>
                    <w:topLinePunct w:val="0"/>
                    <w:autoSpaceDE/>
                    <w:autoSpaceDN/>
                    <w:bidi w:val="0"/>
                    <w:spacing w:before="0" w:beforeLines="0"/>
                    <w:jc w:val="center"/>
                    <w:textAlignment w:val="auto"/>
                    <w:rPr>
                      <w:rFonts w:hint="default" w:ascii="Times New Roman" w:hAnsi="Times New Roman" w:eastAsia="宋体" w:cs="Times New Roman"/>
                      <w:b w:val="0"/>
                      <w:bCs w:val="0"/>
                      <w:sz w:val="21"/>
                      <w:szCs w:val="21"/>
                    </w:rPr>
                  </w:pPr>
                </w:p>
              </w:tc>
              <w:tc>
                <w:tcPr>
                  <w:tcW w:w="3106" w:type="pct"/>
                  <w:gridSpan w:val="4"/>
                  <w:noWrap w:val="0"/>
                  <w:vAlign w:val="center"/>
                </w:tcPr>
                <w:p>
                  <w:pPr>
                    <w:pStyle w:val="54"/>
                    <w:keepNext w:val="0"/>
                    <w:keepLines w:val="0"/>
                    <w:pageBreakBefore w:val="0"/>
                    <w:kinsoku/>
                    <w:wordWrap/>
                    <w:overflowPunct/>
                    <w:topLinePunct w:val="0"/>
                    <w:autoSpaceDE/>
                    <w:autoSpaceDN/>
                    <w:bidi w:val="0"/>
                    <w:spacing w:before="0" w:beforeLines="0"/>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TP</w:t>
                  </w:r>
                </w:p>
              </w:tc>
              <w:tc>
                <w:tcPr>
                  <w:tcW w:w="832" w:type="pct"/>
                  <w:noWrap w:val="0"/>
                  <w:vAlign w:val="center"/>
                </w:tcPr>
                <w:p>
                  <w:pPr>
                    <w:pStyle w:val="40"/>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0.016</w:t>
                  </w:r>
                </w:p>
              </w:tc>
            </w:tr>
          </w:tbl>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⑤废水自行监测计划</w:t>
            </w:r>
          </w:p>
          <w:p>
            <w:pPr>
              <w:spacing w:line="46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为保证本项目运行时各项污染物达标排放，对本项目提出以下的监测计划。</w:t>
            </w:r>
          </w:p>
          <w:p>
            <w:pPr>
              <w:pStyle w:val="1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 7-1</w:t>
            </w:r>
            <w:r>
              <w:rPr>
                <w:rFonts w:hint="eastAsia" w:cs="Times New Roman"/>
                <w:lang w:val="en-US" w:eastAsia="zh-CN"/>
              </w:rPr>
              <w:t>4</w:t>
            </w:r>
            <w:r>
              <w:rPr>
                <w:rFonts w:hint="default" w:ascii="Times New Roman" w:hAnsi="Times New Roman" w:eastAsia="宋体" w:cs="Times New Roman"/>
                <w:lang w:val="en-US" w:eastAsia="zh-CN"/>
              </w:rPr>
              <w:t xml:space="preserve">    废水环境监测计划及记录信息表</w:t>
            </w:r>
          </w:p>
          <w:tbl>
            <w:tblPr>
              <w:tblStyle w:val="27"/>
              <w:tblW w:w="4997" w:type="pct"/>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07"/>
              <w:gridCol w:w="808"/>
              <w:gridCol w:w="1119"/>
              <w:gridCol w:w="904"/>
              <w:gridCol w:w="1479"/>
              <w:gridCol w:w="769"/>
              <w:gridCol w:w="770"/>
              <w:gridCol w:w="899"/>
              <w:gridCol w:w="642"/>
              <w:gridCol w:w="8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排放口编号</w:t>
                  </w:r>
                </w:p>
              </w:tc>
              <w:tc>
                <w:tcPr>
                  <w:tcW w:w="4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污染物名称</w:t>
                  </w:r>
                </w:p>
              </w:tc>
              <w:tc>
                <w:tcPr>
                  <w:tcW w:w="6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监测设施</w:t>
                  </w:r>
                </w:p>
              </w:tc>
              <w:tc>
                <w:tcPr>
                  <w:tcW w:w="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自动监测设施安装位置</w:t>
                  </w:r>
                </w:p>
              </w:tc>
              <w:tc>
                <w:tcPr>
                  <w:tcW w:w="8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自动监测设施的安装运行、维护等相关管理要求</w:t>
                  </w:r>
                </w:p>
              </w:tc>
              <w:tc>
                <w:tcPr>
                  <w:tcW w:w="4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自动监测是否联网</w:t>
                  </w:r>
                </w:p>
              </w:tc>
              <w:tc>
                <w:tcPr>
                  <w:tcW w:w="4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自动监测仪器名称</w:t>
                  </w:r>
                </w:p>
              </w:tc>
              <w:tc>
                <w:tcPr>
                  <w:tcW w:w="4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手工检测采样方法及个数</w:t>
                  </w:r>
                </w:p>
              </w:tc>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手工监测频次</w:t>
                  </w:r>
                </w:p>
              </w:tc>
              <w:tc>
                <w:tcPr>
                  <w:tcW w:w="4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手工测定方法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4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D</w:t>
                  </w:r>
                  <w:r>
                    <w:rPr>
                      <w:rFonts w:hint="default" w:ascii="Times New Roman" w:hAnsi="Times New Roman" w:eastAsia="宋体" w:cs="Times New Roman"/>
                      <w:lang w:val="en-US" w:eastAsia="zh-CN"/>
                    </w:rPr>
                    <w:t>W001</w:t>
                  </w:r>
                </w:p>
              </w:tc>
              <w:tc>
                <w:tcPr>
                  <w:tcW w:w="4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COD</w:t>
                  </w:r>
                </w:p>
              </w:tc>
              <w:tc>
                <w:tcPr>
                  <w:tcW w:w="6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sym w:font="Wingdings 2" w:char="0052"/>
                  </w:r>
                  <w:r>
                    <w:rPr>
                      <w:rFonts w:hint="default" w:ascii="Times New Roman" w:hAnsi="Times New Roman" w:eastAsia="宋体" w:cs="Times New Roman"/>
                    </w:rPr>
                    <w:t>自动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手工</w:t>
                  </w:r>
                </w:p>
              </w:tc>
              <w:tc>
                <w:tcPr>
                  <w:tcW w:w="5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外排口</w:t>
                  </w:r>
                </w:p>
              </w:tc>
              <w:tc>
                <w:tcPr>
                  <w:tcW w:w="8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要选取符合国家标准的设备，要通过验收，要采用专业技术人员进行管理</w:t>
                  </w:r>
                </w:p>
              </w:tc>
              <w:tc>
                <w:tcPr>
                  <w:tcW w:w="4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是</w:t>
                  </w:r>
                </w:p>
              </w:tc>
              <w:tc>
                <w:tcPr>
                  <w:tcW w:w="4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COD在线监测仪</w:t>
                  </w:r>
                </w:p>
              </w:tc>
              <w:tc>
                <w:tcPr>
                  <w:tcW w:w="4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-N</w:t>
                  </w:r>
                </w:p>
              </w:tc>
              <w:tc>
                <w:tcPr>
                  <w:tcW w:w="6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5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氨氮在线监测仪</w:t>
                  </w:r>
                </w:p>
              </w:tc>
              <w:tc>
                <w:tcPr>
                  <w:tcW w:w="4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w:t>
                  </w:r>
                </w:p>
              </w:tc>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w:t>
                  </w:r>
                </w:p>
              </w:tc>
              <w:tc>
                <w:tcPr>
                  <w:tcW w:w="4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TP</w:t>
                  </w:r>
                </w:p>
              </w:tc>
              <w:tc>
                <w:tcPr>
                  <w:tcW w:w="6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5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8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p>
              </w:tc>
              <w:tc>
                <w:tcPr>
                  <w:tcW w:w="4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总磷在线监测仪</w:t>
                  </w:r>
                </w:p>
              </w:tc>
              <w:tc>
                <w:tcPr>
                  <w:tcW w:w="4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w:t>
                  </w:r>
                </w:p>
              </w:tc>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w:t>
                  </w:r>
                </w:p>
              </w:tc>
              <w:tc>
                <w:tcPr>
                  <w:tcW w:w="4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highlight w:val="none"/>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bl>
    <w:p>
      <w:pPr>
        <w:pStyle w:val="42"/>
        <w:ind w:firstLine="199" w:firstLineChars="95"/>
        <w:rPr>
          <w:rFonts w:hint="default" w:ascii="Times New Roman" w:hAnsi="Times New Roman" w:eastAsia="宋体" w:cs="Times New Roman"/>
          <w:color w:val="000000" w:themeColor="text1"/>
          <w:highlight w:val="red"/>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spacing w:line="240" w:lineRule="auto"/>
        <w:ind w:firstLine="0" w:firstLineChars="0"/>
        <w:jc w:val="center"/>
        <w:outlineLvl w:val="0"/>
        <w:rPr>
          <w:rFonts w:hint="default" w:ascii="Times New Roman" w:hAnsi="Times New Roman" w:eastAsia="宋体" w:cs="Times New Roman"/>
          <w:b/>
          <w:color w:val="000000" w:themeColor="text1"/>
          <w:sz w:val="21"/>
          <w:szCs w:val="18"/>
          <w:highlight w:val="none"/>
          <w14:textFill>
            <w14:solidFill>
              <w14:schemeClr w14:val="tx1"/>
            </w14:solidFill>
          </w14:textFill>
        </w:rPr>
      </w:pPr>
      <w:r>
        <w:rPr>
          <w:rFonts w:hint="default" w:ascii="Times New Roman" w:hAnsi="Times New Roman" w:eastAsia="宋体" w:cs="Times New Roman"/>
          <w:b/>
          <w:color w:val="000000" w:themeColor="text1"/>
          <w:sz w:val="21"/>
          <w:szCs w:val="18"/>
          <w:highlight w:val="none"/>
          <w14:textFill>
            <w14:solidFill>
              <w14:schemeClr w14:val="tx1"/>
            </w14:solidFill>
          </w14:textFill>
        </w:rPr>
        <w:t>表</w:t>
      </w:r>
      <w:r>
        <w:rPr>
          <w:rFonts w:hint="default" w:ascii="Times New Roman" w:hAnsi="Times New Roman" w:eastAsia="宋体" w:cs="Times New Roman"/>
          <w:b/>
          <w:color w:val="000000" w:themeColor="text1"/>
          <w:sz w:val="21"/>
          <w:szCs w:val="18"/>
          <w:highlight w:val="none"/>
          <w:lang w:val="en-US" w:eastAsia="zh-CN"/>
          <w14:textFill>
            <w14:solidFill>
              <w14:schemeClr w14:val="tx1"/>
            </w14:solidFill>
          </w14:textFill>
        </w:rPr>
        <w:t>7-1</w:t>
      </w:r>
      <w:r>
        <w:rPr>
          <w:rFonts w:hint="eastAsia" w:cs="Times New Roman"/>
          <w:b/>
          <w:color w:val="000000" w:themeColor="text1"/>
          <w:sz w:val="21"/>
          <w:szCs w:val="1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18"/>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18"/>
          <w:highlight w:val="none"/>
          <w14:textFill>
            <w14:solidFill>
              <w14:schemeClr w14:val="tx1"/>
            </w14:solidFill>
          </w14:textFill>
        </w:rPr>
        <w:t xml:space="preserve">  地表水环境影响评价自查表</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557"/>
        <w:gridCol w:w="2767"/>
        <w:gridCol w:w="2138"/>
        <w:gridCol w:w="537"/>
        <w:gridCol w:w="899"/>
        <w:gridCol w:w="708"/>
        <w:gridCol w:w="1086"/>
        <w:gridCol w:w="1066"/>
        <w:gridCol w:w="273"/>
        <w:gridCol w:w="446"/>
        <w:gridCol w:w="717"/>
        <w:gridCol w:w="711"/>
        <w:gridCol w:w="668"/>
        <w:gridCol w:w="1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tblHeader/>
          <w:jc w:val="center"/>
        </w:trPr>
        <w:tc>
          <w:tcPr>
            <w:tcW w:w="1169"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工作内容</w:t>
            </w:r>
          </w:p>
        </w:tc>
        <w:tc>
          <w:tcPr>
            <w:tcW w:w="3830" w:type="pct"/>
            <w:gridSpan w:val="1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影响识别</w:t>
            </w: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影响类型</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水污染影响型 √；水文要素影响型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水环境保护目标</w:t>
            </w:r>
          </w:p>
        </w:tc>
        <w:tc>
          <w:tcPr>
            <w:tcW w:w="3830" w:type="pct"/>
            <w:gridSpan w:val="1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饮用水水源保护区 □；饮用水取水口 □；涉水的自然保护区 □；涉水的风景名胜区 □；重要湿地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重点保护与珍稀水生生物的栖息地 □；重要水生生物的自然产卵场及索饵场、越冬场和洄游通道□；天然渔场等渔业水体 □；水产种质资源保护区□；其他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影响途径</w:t>
            </w:r>
          </w:p>
        </w:tc>
        <w:tc>
          <w:tcPr>
            <w:tcW w:w="1888"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水污染影响型</w:t>
            </w:r>
          </w:p>
        </w:tc>
        <w:tc>
          <w:tcPr>
            <w:tcW w:w="1942" w:type="pct"/>
            <w:gridSpan w:val="7"/>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888" w:type="pct"/>
            <w:gridSpan w:val="5"/>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直接排放 √；间接排放 □；其他 □</w:t>
            </w:r>
          </w:p>
        </w:tc>
        <w:tc>
          <w:tcPr>
            <w:tcW w:w="1942" w:type="pct"/>
            <w:gridSpan w:val="7"/>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水温 □；径流 □；水域面积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影响因子</w:t>
            </w:r>
          </w:p>
        </w:tc>
        <w:tc>
          <w:tcPr>
            <w:tcW w:w="1888" w:type="pct"/>
            <w:gridSpan w:val="5"/>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持久性污染物 □；有毒有害污染物 □；非持久性污染物 √；pH值 □；热污染 □；富营养化 □；其他 □</w:t>
            </w:r>
          </w:p>
        </w:tc>
        <w:tc>
          <w:tcPr>
            <w:tcW w:w="1942" w:type="pct"/>
            <w:gridSpan w:val="7"/>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水温 □；水位（水深） □；流速 □；流量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169" w:type="pct"/>
            <w:gridSpan w:val="2"/>
            <w:vMerge w:val="restart"/>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评价等级</w:t>
            </w:r>
          </w:p>
        </w:tc>
        <w:tc>
          <w:tcPr>
            <w:tcW w:w="1888" w:type="pct"/>
            <w:gridSpan w:val="5"/>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水污染影响型</w:t>
            </w:r>
          </w:p>
        </w:tc>
        <w:tc>
          <w:tcPr>
            <w:tcW w:w="1942" w:type="pct"/>
            <w:gridSpan w:val="7"/>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169" w:type="pct"/>
            <w:gridSpan w:val="2"/>
            <w:vMerge w:val="continue"/>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888" w:type="pct"/>
            <w:gridSpan w:val="5"/>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一级 □；二级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；三级A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；三级B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A3"/>
            </w:r>
          </w:p>
        </w:tc>
        <w:tc>
          <w:tcPr>
            <w:tcW w:w="1942" w:type="pct"/>
            <w:gridSpan w:val="7"/>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一级 □；二级 □；三级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现状调查</w:t>
            </w: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区域污染源</w:t>
            </w:r>
          </w:p>
        </w:tc>
        <w:tc>
          <w:tcPr>
            <w:tcW w:w="1888" w:type="pct"/>
            <w:gridSpan w:val="5"/>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调查项目</w:t>
            </w:r>
          </w:p>
        </w:tc>
        <w:tc>
          <w:tcPr>
            <w:tcW w:w="1942" w:type="pct"/>
            <w:gridSpan w:val="7"/>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41" w:type="pct"/>
            <w:gridSpan w:val="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已建 □；在建 □；拟建 □；其他 □</w:t>
            </w:r>
          </w:p>
        </w:tc>
        <w:tc>
          <w:tcPr>
            <w:tcW w:w="946" w:type="pct"/>
            <w:gridSpan w:val="3"/>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拟替代的污染源 □</w:t>
            </w:r>
          </w:p>
        </w:tc>
        <w:tc>
          <w:tcPr>
            <w:tcW w:w="1942" w:type="pct"/>
            <w:gridSpan w:val="7"/>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排污许可证 □；环评 □；环保验收 □；既有实测 □；现场监测 □；入河排放口数据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受影响水体水环境质量　</w:t>
            </w:r>
          </w:p>
        </w:tc>
        <w:tc>
          <w:tcPr>
            <w:tcW w:w="1888" w:type="pct"/>
            <w:gridSpan w:val="5"/>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调查时期</w:t>
            </w:r>
          </w:p>
        </w:tc>
        <w:tc>
          <w:tcPr>
            <w:tcW w:w="1942" w:type="pct"/>
            <w:gridSpan w:val="7"/>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888" w:type="pct"/>
            <w:gridSpan w:val="5"/>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丰水期 □；平水期 □；枯水期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；冰封期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春季 □；夏季 □；秋季 □；冬季 □</w:t>
            </w:r>
          </w:p>
        </w:tc>
        <w:tc>
          <w:tcPr>
            <w:tcW w:w="1942" w:type="pct"/>
            <w:gridSpan w:val="7"/>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生态环境保护主管部门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；补充监测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区域水资源开发利用状况</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未开发 □；开发量40%以下 □；开发量40%以上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水文情势调查　</w:t>
            </w:r>
          </w:p>
        </w:tc>
        <w:tc>
          <w:tcPr>
            <w:tcW w:w="1888" w:type="pct"/>
            <w:gridSpan w:val="5"/>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调查时期</w:t>
            </w:r>
          </w:p>
        </w:tc>
        <w:tc>
          <w:tcPr>
            <w:tcW w:w="1942" w:type="pct"/>
            <w:gridSpan w:val="7"/>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888" w:type="pct"/>
            <w:gridSpan w:val="5"/>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丰水期 □；平水期 □；枯水期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；冰封期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春季 □；夏季 □；秋季 □；冬季 □</w:t>
            </w:r>
          </w:p>
        </w:tc>
        <w:tc>
          <w:tcPr>
            <w:tcW w:w="1942" w:type="pct"/>
            <w:gridSpan w:val="7"/>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水行政主管部门 □；补充监测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补充监测　</w:t>
            </w:r>
          </w:p>
        </w:tc>
        <w:tc>
          <w:tcPr>
            <w:tcW w:w="1888"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监测时期</w:t>
            </w:r>
          </w:p>
        </w:tc>
        <w:tc>
          <w:tcPr>
            <w:tcW w:w="880" w:type="pct"/>
            <w:gridSpan w:val="4"/>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监测因子</w:t>
            </w:r>
          </w:p>
        </w:tc>
        <w:tc>
          <w:tcPr>
            <w:tcW w:w="1062" w:type="pct"/>
            <w:gridSpan w:val="3"/>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888" w:type="pct"/>
            <w:gridSpan w:val="5"/>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丰水期 □；平水期 □；枯水期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；冰封期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春季 □；夏季 □；秋季 □；冬季 □</w:t>
            </w:r>
          </w:p>
        </w:tc>
        <w:tc>
          <w:tcPr>
            <w:tcW w:w="880" w:type="pct"/>
            <w:gridSpan w:val="4"/>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highlight w:val="none"/>
                <w:lang w:val="en-US" w:eastAsia="zh-CN"/>
                <w14:textFill>
                  <w14:solidFill>
                    <w14:schemeClr w14:val="tx1"/>
                  </w14:solidFill>
                </w14:textFill>
              </w:rPr>
              <w:t>COD、氨氮、TP</w:t>
            </w:r>
            <w:r>
              <w:rPr>
                <w:rFonts w:hint="default" w:ascii="Times New Roman" w:hAnsi="Times New Roman" w:eastAsia="宋体" w:cs="Times New Roman"/>
                <w:color w:val="000000" w:themeColor="text1"/>
                <w:kern w:val="0"/>
                <w:sz w:val="21"/>
                <w:highlight w:val="none"/>
                <w14:textFill>
                  <w14:solidFill>
                    <w14:schemeClr w14:val="tx1"/>
                  </w14:solidFill>
                </w14:textFill>
              </w:rPr>
              <w:t>）</w:t>
            </w:r>
          </w:p>
        </w:tc>
        <w:tc>
          <w:tcPr>
            <w:tcW w:w="1062" w:type="pct"/>
            <w:gridSpan w:val="3"/>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监测断面或点位个数（</w:t>
            </w:r>
            <w:r>
              <w:rPr>
                <w:rFonts w:hint="default" w:ascii="Times New Roman" w:hAnsi="Times New Roman" w:eastAsia="宋体" w:cs="Times New Roman"/>
                <w:color w:val="000000" w:themeColor="text1"/>
                <w:kern w:val="0"/>
                <w:sz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highlight w:val="none"/>
                <w14:textFill>
                  <w14:solidFill>
                    <w14:schemeClr w14:val="tx1"/>
                  </w14:solidFill>
                </w14:textFill>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现状评价</w:t>
            </w: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评价范围</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河流：长度（</w:t>
            </w:r>
            <w:r>
              <w:rPr>
                <w:rFonts w:hint="default" w:ascii="Times New Roman" w:hAnsi="Times New Roman" w:eastAsia="宋体" w:cs="Times New Roman"/>
                <w:color w:val="000000" w:themeColor="text1"/>
                <w:kern w:val="0"/>
                <w:sz w:val="21"/>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 ）km；湖库、河口及近岸海域：面积（   ）km</w:t>
            </w:r>
            <w:r>
              <w:rPr>
                <w:rFonts w:hint="default" w:ascii="Times New Roman" w:hAnsi="Times New Roman" w:eastAsia="宋体" w:cs="Times New Roman"/>
                <w:color w:val="000000" w:themeColor="text1"/>
                <w:kern w:val="0"/>
                <w:sz w:val="21"/>
                <w:highlight w:val="none"/>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评价因子</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（COD、NH</w:t>
            </w:r>
            <w:r>
              <w:rPr>
                <w:rFonts w:hint="default" w:ascii="Times New Roman" w:hAnsi="Times New Roman" w:eastAsia="宋体" w:cs="Times New Roman"/>
                <w:color w:val="000000" w:themeColor="text1"/>
                <w:kern w:val="0"/>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-N、TP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评价标准</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河流、湖库、河口：Ⅰ类 □；Ⅱ类 □；Ⅲ类 □；Ⅳ类 √；Ⅴ类 □</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近岸海域：第一类 □；第二类 □；第三类 □；第四类 □</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规划年评价标准（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评价时期</w:t>
            </w:r>
          </w:p>
        </w:tc>
        <w:tc>
          <w:tcPr>
            <w:tcW w:w="3830" w:type="pct"/>
            <w:gridSpan w:val="1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丰水期 □；平水期 □；枯水期 √；冰封期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春季 □；夏季 □；秋季 □；冬季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评价结论</w:t>
            </w:r>
          </w:p>
        </w:tc>
        <w:tc>
          <w:tcPr>
            <w:tcW w:w="3253" w:type="pct"/>
            <w:gridSpan w:val="11"/>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水环境功能区或水功能区、近岸海域环境功能区水质达标状况 ：达标 □；不达标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水环境控制单元或断面水质达标状况 ：达标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highlight w:val="none"/>
                <w14:textFill>
                  <w14:solidFill>
                    <w14:schemeClr w14:val="tx1"/>
                  </w14:solidFill>
                </w14:textFill>
              </w:rPr>
              <w:t>；不达标</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水环境保护目标质量状况 ：达标 □；不达标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对照断面、控制断面等代表性断面的水质状况 ：达标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；不达标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底泥污染评价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水资源与开发利用程度及其水文情势评价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水环境质量回顾评价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流域（区域）水资源（包括水能资源）与开发利用总体状况、生态流量管理要求与现状满足程度、建设项目占用水域空间的水流状况与河湖演变状况 □</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依托污水处理设施稳定达标排放评价 □</w:t>
            </w:r>
          </w:p>
        </w:tc>
        <w:tc>
          <w:tcPr>
            <w:tcW w:w="577" w:type="pct"/>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达标区 □</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不达标区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影响预测</w:t>
            </w: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预测范围</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河流：长度（ </w:t>
            </w:r>
            <w:r>
              <w:rPr>
                <w:rFonts w:hint="default" w:ascii="Times New Roman" w:hAnsi="Times New Roman" w:eastAsia="宋体" w:cs="Times New Roman"/>
                <w:color w:val="000000" w:themeColor="text1"/>
                <w:kern w:val="0"/>
                <w:sz w:val="21"/>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 ）km；湖库、河口及近岸海域：面积（   ）km</w:t>
            </w:r>
            <w:r>
              <w:rPr>
                <w:rFonts w:hint="default" w:ascii="Times New Roman" w:hAnsi="Times New Roman" w:eastAsia="宋体" w:cs="Times New Roman"/>
                <w:color w:val="000000" w:themeColor="text1"/>
                <w:kern w:val="0"/>
                <w:sz w:val="21"/>
                <w:highlight w:val="none"/>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预测因子</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COD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预测时期</w:t>
            </w:r>
          </w:p>
        </w:tc>
        <w:tc>
          <w:tcPr>
            <w:tcW w:w="3830" w:type="pct"/>
            <w:gridSpan w:val="1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丰水期 □；平水期 □；枯水期 √；冰封期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春季 □；夏季 □；秋季 □；冬季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设计水文条件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预测情景</w:t>
            </w:r>
          </w:p>
        </w:tc>
        <w:tc>
          <w:tcPr>
            <w:tcW w:w="3830" w:type="pct"/>
            <w:gridSpan w:val="1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建设期 □；生产运行期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；服务期满后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正常工况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t xml:space="preserve">；非正常工况 </w:t>
            </w: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污染控制和减缓措施方案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区（流）域环境质量改善目标要求情景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预测方法</w:t>
            </w:r>
          </w:p>
        </w:tc>
        <w:tc>
          <w:tcPr>
            <w:tcW w:w="3830" w:type="pct"/>
            <w:gridSpan w:val="12"/>
            <w:noWrap/>
            <w:vAlign w:val="center"/>
          </w:tcPr>
          <w:p>
            <w:pPr>
              <w:spacing w:line="240" w:lineRule="auto"/>
              <w:ind w:firstLine="0" w:firstLineChars="0"/>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数值解 □：解析解 □；其他 □；导则推荐模式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red"/>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影响评价</w:t>
            </w: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水污染控制和水环境影响减缓措施有效性评价</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区（流）域水环境质量改善目标□；替代削减源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水环境影响评价</w:t>
            </w:r>
          </w:p>
        </w:tc>
        <w:tc>
          <w:tcPr>
            <w:tcW w:w="3830" w:type="pct"/>
            <w:gridSpan w:val="1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排放口混合区外满足水环境管理要求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水环境功能区或水功能区、近岸海域环境功能区水质达标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满足水环境保护目标水域水环境质量要求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水环境控制单元或断面水质达标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满足重点水污染物排放总量控制指标要求，重点行业建设项目，主要污染物排放满足等量或减量替代要求□</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满足区（流）域水环境质量改善目标要求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水文要素影响型建设项目同时应包括水文情势变化评价、主要水文特征值影响评价、生态流量符合性评价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对于新设或调整入河（湖库、近岸海域）排放口的建设项目，应包括排放口设置的环境合理性评价 □</w:t>
            </w:r>
            <w:r>
              <w:rPr>
                <w:rFonts w:hint="default" w:ascii="Times New Roman" w:hAnsi="Times New Roman" w:eastAsia="宋体" w:cs="Times New Roman"/>
                <w:color w:val="000000" w:themeColor="text1"/>
                <w:kern w:val="0"/>
                <w:sz w:val="21"/>
                <w:highlight w:val="none"/>
                <w14:textFill>
                  <w14:solidFill>
                    <w14:schemeClr w14:val="tx1"/>
                  </w14:solidFill>
                </w14:textFill>
              </w:rPr>
              <w:br w:type="textWrapping"/>
            </w:r>
            <w:r>
              <w:rPr>
                <w:rFonts w:hint="default" w:ascii="Times New Roman" w:hAnsi="Times New Roman" w:eastAsia="宋体" w:cs="Times New Roman"/>
                <w:color w:val="000000" w:themeColor="text1"/>
                <w:kern w:val="0"/>
                <w:sz w:val="21"/>
                <w:highlight w:val="none"/>
                <w14:textFill>
                  <w14:solidFill>
                    <w14:schemeClr w14:val="tx1"/>
                  </w14:solidFill>
                </w14:textFill>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污染源排放量核算</w:t>
            </w:r>
          </w:p>
        </w:tc>
        <w:tc>
          <w:tcPr>
            <w:tcW w:w="1257" w:type="pct"/>
            <w:gridSpan w:val="3"/>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污染物名称</w:t>
            </w:r>
          </w:p>
        </w:tc>
        <w:tc>
          <w:tcPr>
            <w:tcW w:w="1259"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排放量/（</w:t>
            </w:r>
            <w:r>
              <w:rPr>
                <w:rFonts w:hint="default" w:ascii="Times New Roman" w:hAnsi="Times New Roman" w:eastAsia="宋体" w:cs="Times New Roman"/>
                <w:color w:val="000000" w:themeColor="text1"/>
                <w:sz w:val="21"/>
                <w:highlight w:val="none"/>
                <w14:textFill>
                  <w14:solidFill>
                    <w14:schemeClr w14:val="tx1"/>
                  </w14:solidFill>
                </w14:textFill>
              </w:rPr>
              <w:t>t/a</w:t>
            </w:r>
            <w:r>
              <w:rPr>
                <w:rFonts w:hint="default" w:ascii="Times New Roman" w:hAnsi="Times New Roman" w:eastAsia="宋体" w:cs="Times New Roman"/>
                <w:color w:val="000000" w:themeColor="text1"/>
                <w:kern w:val="0"/>
                <w:sz w:val="21"/>
                <w:highlight w:val="none"/>
                <w14:textFill>
                  <w14:solidFill>
                    <w14:schemeClr w14:val="tx1"/>
                  </w14:solidFill>
                </w14:textFill>
              </w:rPr>
              <w:t>）</w:t>
            </w:r>
          </w:p>
        </w:tc>
        <w:tc>
          <w:tcPr>
            <w:tcW w:w="1314" w:type="pct"/>
            <w:gridSpan w:val="4"/>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55"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257" w:type="pct"/>
            <w:gridSpan w:val="3"/>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COD</w:t>
            </w:r>
          </w:p>
        </w:tc>
        <w:tc>
          <w:tcPr>
            <w:tcW w:w="1259" w:type="pct"/>
            <w:gridSpan w:val="5"/>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c>
          <w:tcPr>
            <w:tcW w:w="1314" w:type="pct"/>
            <w:gridSpan w:val="4"/>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69"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257" w:type="pct"/>
            <w:gridSpan w:val="3"/>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NH</w:t>
            </w:r>
            <w:r>
              <w:rPr>
                <w:rFonts w:hint="default" w:ascii="Times New Roman" w:hAnsi="Times New Roman" w:eastAsia="宋体" w:cs="Times New Roman"/>
                <w:color w:val="000000" w:themeColor="text1"/>
                <w:kern w:val="0"/>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-N</w:t>
            </w:r>
          </w:p>
        </w:tc>
        <w:tc>
          <w:tcPr>
            <w:tcW w:w="1259" w:type="pct"/>
            <w:gridSpan w:val="5"/>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c>
          <w:tcPr>
            <w:tcW w:w="1314" w:type="pct"/>
            <w:gridSpan w:val="4"/>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67"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257" w:type="pct"/>
            <w:gridSpan w:val="3"/>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TP</w:t>
            </w:r>
          </w:p>
        </w:tc>
        <w:tc>
          <w:tcPr>
            <w:tcW w:w="1259" w:type="pct"/>
            <w:gridSpan w:val="5"/>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c>
          <w:tcPr>
            <w:tcW w:w="1314" w:type="pct"/>
            <w:gridSpan w:val="4"/>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替代源排放情况</w:t>
            </w:r>
          </w:p>
        </w:tc>
        <w:tc>
          <w:tcPr>
            <w:tcW w:w="752" w:type="pct"/>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污染源名称</w:t>
            </w:r>
          </w:p>
        </w:tc>
        <w:tc>
          <w:tcPr>
            <w:tcW w:w="754" w:type="pct"/>
            <w:gridSpan w:val="3"/>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排污许可证编号</w:t>
            </w:r>
          </w:p>
        </w:tc>
        <w:tc>
          <w:tcPr>
            <w:tcW w:w="756" w:type="pct"/>
            <w:gridSpan w:val="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污染物名称</w:t>
            </w:r>
          </w:p>
        </w:tc>
        <w:tc>
          <w:tcPr>
            <w:tcW w:w="755" w:type="pct"/>
            <w:gridSpan w:val="4"/>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排放量/（</w:t>
            </w:r>
            <w:r>
              <w:rPr>
                <w:rFonts w:hint="default" w:ascii="Times New Roman" w:hAnsi="Times New Roman" w:eastAsia="宋体" w:cs="Times New Roman"/>
                <w:color w:val="000000" w:themeColor="text1"/>
                <w:sz w:val="21"/>
                <w:highlight w:val="none"/>
                <w14:textFill>
                  <w14:solidFill>
                    <w14:schemeClr w14:val="tx1"/>
                  </w14:solidFill>
                </w14:textFill>
              </w:rPr>
              <w:t>t/a</w:t>
            </w:r>
            <w:r>
              <w:rPr>
                <w:rFonts w:hint="default" w:ascii="Times New Roman" w:hAnsi="Times New Roman" w:eastAsia="宋体" w:cs="Times New Roman"/>
                <w:color w:val="000000" w:themeColor="text1"/>
                <w:kern w:val="0"/>
                <w:sz w:val="21"/>
                <w:highlight w:val="none"/>
                <w14:textFill>
                  <w14:solidFill>
                    <w14:schemeClr w14:val="tx1"/>
                  </w14:solidFill>
                </w14:textFill>
              </w:rPr>
              <w:t>）</w:t>
            </w:r>
          </w:p>
        </w:tc>
        <w:tc>
          <w:tcPr>
            <w:tcW w:w="810" w:type="pct"/>
            <w:gridSpan w:val="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752" w:type="pct"/>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754" w:type="pct"/>
            <w:gridSpan w:val="3"/>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756" w:type="pct"/>
            <w:gridSpan w:val="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755" w:type="pct"/>
            <w:gridSpan w:val="4"/>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810" w:type="pct"/>
            <w:gridSpan w:val="2"/>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生态流量确定</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生态流量：一般水期（   ）</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/s；鱼类繁殖期（   ）</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/s；其他（   ）</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/s</w:t>
            </w:r>
          </w:p>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23" w:hRule="atLeast"/>
          <w:jc w:val="center"/>
        </w:trPr>
        <w:tc>
          <w:tcPr>
            <w:tcW w:w="196" w:type="pct"/>
            <w:vMerge w:val="restart"/>
            <w:noWrap/>
            <w:textDirection w:val="tbRlV"/>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防治措施</w:t>
            </w: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环保措施</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污水处理设施 √；水文减缓设施 □；生态流量保障设施 □；区域削减 □；依托其他工程措施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restar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监测计划</w:t>
            </w:r>
          </w:p>
        </w:tc>
        <w:tc>
          <w:tcPr>
            <w:tcW w:w="941"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1418"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环境质量</w:t>
            </w:r>
          </w:p>
        </w:tc>
        <w:tc>
          <w:tcPr>
            <w:tcW w:w="1471"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41"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监测方式</w:t>
            </w:r>
          </w:p>
        </w:tc>
        <w:tc>
          <w:tcPr>
            <w:tcW w:w="1418" w:type="pct"/>
            <w:gridSpan w:val="5"/>
            <w:vAlign w:val="center"/>
          </w:tcPr>
          <w:p>
            <w:pPr>
              <w:spacing w:line="240" w:lineRule="auto"/>
              <w:ind w:firstLine="0" w:firstLineChars="0"/>
              <w:jc w:val="center"/>
              <w:rPr>
                <w:rFonts w:hint="default" w:ascii="Times New Roman" w:hAnsi="Times New Roman" w:eastAsia="宋体" w:cs="Times New Roman"/>
                <w:b/>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手动 □；自动 □；无监测 □</w:t>
            </w:r>
          </w:p>
        </w:tc>
        <w:tc>
          <w:tcPr>
            <w:tcW w:w="1471"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手动 □；自动 √；无监测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41"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监测点位</w:t>
            </w:r>
          </w:p>
        </w:tc>
        <w:tc>
          <w:tcPr>
            <w:tcW w:w="1418"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1471" w:type="pct"/>
            <w:gridSpan w:val="5"/>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Merge w:val="continue"/>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41"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监测因子</w:t>
            </w:r>
          </w:p>
        </w:tc>
        <w:tc>
          <w:tcPr>
            <w:tcW w:w="1418" w:type="pct"/>
            <w:gridSpan w:val="5"/>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   ）</w:t>
            </w:r>
          </w:p>
        </w:tc>
        <w:tc>
          <w:tcPr>
            <w:tcW w:w="1471" w:type="pct"/>
            <w:gridSpan w:val="5"/>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（COD、NH</w:t>
            </w:r>
            <w:r>
              <w:rPr>
                <w:rFonts w:hint="default" w:ascii="Times New Roman" w:hAnsi="Times New Roman" w:eastAsia="宋体" w:cs="Times New Roman"/>
                <w:color w:val="000000" w:themeColor="text1"/>
                <w:kern w:val="0"/>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highlight w:val="none"/>
                <w14:textFill>
                  <w14:solidFill>
                    <w14:schemeClr w14:val="tx1"/>
                  </w14:solidFill>
                </w14:textFill>
              </w:rPr>
              <w:t>-N、TP）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96" w:type="pct"/>
            <w:vMerge w:val="continue"/>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p>
        </w:tc>
        <w:tc>
          <w:tcPr>
            <w:tcW w:w="972" w:type="pct"/>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污染物排放清单</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1169" w:type="pct"/>
            <w:gridSpan w:val="2"/>
            <w:noWrap/>
            <w:vAlign w:val="center"/>
          </w:tcPr>
          <w:p>
            <w:pPr>
              <w:spacing w:line="240" w:lineRule="auto"/>
              <w:ind w:firstLine="0" w:firstLineChars="0"/>
              <w:jc w:val="center"/>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评价结论</w:t>
            </w:r>
          </w:p>
        </w:tc>
        <w:tc>
          <w:tcPr>
            <w:tcW w:w="3830" w:type="pct"/>
            <w:gridSpan w:val="12"/>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none"/>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可以接受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3" w:hRule="atLeast"/>
          <w:jc w:val="center"/>
        </w:trPr>
        <w:tc>
          <w:tcPr>
            <w:tcW w:w="5000" w:type="pct"/>
            <w:gridSpan w:val="14"/>
            <w:noWrap/>
            <w:vAlign w:val="center"/>
          </w:tcPr>
          <w:p>
            <w:pPr>
              <w:spacing w:line="240" w:lineRule="auto"/>
              <w:ind w:firstLine="0" w:firstLineChars="0"/>
              <w:jc w:val="left"/>
              <w:rPr>
                <w:rFonts w:hint="default" w:ascii="Times New Roman" w:hAnsi="Times New Roman" w:eastAsia="宋体" w:cs="Times New Roman"/>
                <w:color w:val="000000" w:themeColor="text1"/>
                <w:kern w:val="0"/>
                <w:sz w:val="21"/>
                <w:highlight w:val="red"/>
                <w14:textFill>
                  <w14:solidFill>
                    <w14:schemeClr w14:val="tx1"/>
                  </w14:solidFill>
                </w14:textFill>
              </w:rPr>
            </w:pPr>
            <w:r>
              <w:rPr>
                <w:rFonts w:hint="default" w:ascii="Times New Roman" w:hAnsi="Times New Roman" w:eastAsia="宋体" w:cs="Times New Roman"/>
                <w:color w:val="000000" w:themeColor="text1"/>
                <w:kern w:val="0"/>
                <w:sz w:val="21"/>
                <w:highlight w:val="none"/>
                <w14:textFill>
                  <w14:solidFill>
                    <w14:schemeClr w14:val="tx1"/>
                  </w14:solidFill>
                </w14:textFill>
              </w:rPr>
              <w:t>注：“□”为勾选项，可打√；“（   ）”为内容填写项；“备注”为其他补充内容。</w:t>
            </w:r>
          </w:p>
        </w:tc>
      </w:tr>
    </w:tbl>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26" w:charSpace="0"/>
        </w:sectPr>
      </w:pPr>
    </w:p>
    <w:tbl>
      <w:tblPr>
        <w:tblStyle w:val="28"/>
        <w:tblW w:w="9071"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none" w:color="auto" w:sz="0" w:space="0"/>
        </w:tblBorders>
        <w:tblLayout w:type="autofit"/>
        <w:tblCellMar>
          <w:top w:w="0" w:type="dxa"/>
          <w:left w:w="108" w:type="dxa"/>
          <w:bottom w:w="0" w:type="dxa"/>
          <w:right w:w="108" w:type="dxa"/>
        </w:tblCellMar>
      </w:tblPr>
      <w:tblGrid>
        <w:gridCol w:w="907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none" w:color="auto" w:sz="0" w:space="0"/>
          </w:tblBorders>
          <w:tblCellMar>
            <w:top w:w="0" w:type="dxa"/>
            <w:left w:w="108" w:type="dxa"/>
            <w:bottom w:w="0" w:type="dxa"/>
            <w:right w:w="108" w:type="dxa"/>
          </w:tblCellMar>
        </w:tblPrEx>
        <w:tc>
          <w:tcPr>
            <w:tcW w:w="9071" w:type="dxa"/>
            <w:tcBorders>
              <w:tl2br w:val="nil"/>
              <w:tr2bl w:val="nil"/>
            </w:tcBorders>
            <w:vAlign w:val="top"/>
          </w:tcPr>
          <w:p>
            <w:pPr>
              <w:pStyle w:val="5"/>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三、噪声环境影响分析</w:t>
            </w:r>
          </w:p>
          <w:p>
            <w:pPr>
              <w:pStyle w:val="5"/>
              <w:ind w:firstLine="480"/>
              <w:rPr>
                <w:rFonts w:hint="default" w:ascii="Times New Roman" w:hAnsi="Times New Roman" w:eastAsia="宋体" w:cs="Times New Roman"/>
                <w:b w:val="0"/>
                <w:bCs w:val="0"/>
                <w:color w:val="000000" w:themeColor="text1"/>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14:textFill>
                  <w14:solidFill>
                    <w14:schemeClr w14:val="tx1"/>
                  </w14:solidFill>
                </w14:textFill>
              </w:rPr>
              <w:t>本项目</w:t>
            </w:r>
            <w:r>
              <w:rPr>
                <w:rFonts w:hint="eastAsia" w:cs="Times New Roman"/>
                <w:b w:val="0"/>
                <w:bCs w:val="0"/>
                <w:color w:val="000000" w:themeColor="text1"/>
                <w:szCs w:val="24"/>
                <w:highlight w:val="none"/>
                <w:lang w:eastAsia="zh-CN"/>
                <w14:textFill>
                  <w14:solidFill>
                    <w14:schemeClr w14:val="tx1"/>
                  </w14:solidFill>
                </w14:textFill>
              </w:rPr>
              <w:t>新增的</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噪声主要来自于改造后矿井水处理站运行期的</w:t>
            </w:r>
            <w:r>
              <w:rPr>
                <w:rFonts w:hint="eastAsia" w:cs="Times New Roman"/>
                <w:b w:val="0"/>
                <w:bCs w:val="0"/>
                <w:color w:val="000000" w:themeColor="text1"/>
                <w:szCs w:val="24"/>
                <w:highlight w:val="none"/>
                <w:lang w:eastAsia="zh-CN"/>
                <w14:textFill>
                  <w14:solidFill>
                    <w14:schemeClr w14:val="tx1"/>
                  </w14:solidFill>
                </w14:textFill>
              </w:rPr>
              <w:t>新增的各类泵的</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设备噪声，产噪设备的噪声级见</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下</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表。</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7-1</w:t>
            </w:r>
            <w:r>
              <w:rPr>
                <w:rFonts w:hint="eastAsia" w:cs="Times New Roman"/>
                <w:lang w:val="en-US" w:eastAsia="zh-CN"/>
              </w:rPr>
              <w:t>6</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w:t>
            </w:r>
            <w:r>
              <w:rPr>
                <w:rFonts w:hint="eastAsia" w:cs="Times New Roman"/>
                <w:lang w:val="en-US" w:eastAsia="zh-CN"/>
              </w:rPr>
              <w:t>本项目新增</w:t>
            </w:r>
            <w:r>
              <w:rPr>
                <w:rFonts w:hint="default" w:ascii="Times New Roman" w:hAnsi="Times New Roman" w:eastAsia="宋体" w:cs="Times New Roman"/>
              </w:rPr>
              <w:t>产噪设备噪声级</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66"/>
              <w:gridCol w:w="1500"/>
              <w:gridCol w:w="2721"/>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噪声源</w:t>
                  </w:r>
                </w:p>
              </w:tc>
              <w:tc>
                <w:tcPr>
                  <w:tcW w:w="850" w:type="pct"/>
                  <w:vAlign w:val="center"/>
                </w:tcPr>
                <w:p>
                  <w:pPr>
                    <w:spacing w:line="320" w:lineRule="atLeas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运行方式</w:t>
                  </w:r>
                </w:p>
              </w:tc>
              <w:tc>
                <w:tcPr>
                  <w:tcW w:w="1542" w:type="pct"/>
                  <w:vAlign w:val="center"/>
                </w:tcPr>
                <w:p>
                  <w:pPr>
                    <w:spacing w:line="320" w:lineRule="atLeas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单台设备噪声级（dB（A））</w:t>
                  </w:r>
                </w:p>
              </w:tc>
              <w:tc>
                <w:tcPr>
                  <w:tcW w:w="1152" w:type="pct"/>
                  <w:vAlign w:val="center"/>
                </w:tcPr>
                <w:p>
                  <w:pPr>
                    <w:spacing w:line="320" w:lineRule="atLeast"/>
                    <w:ind w:firstLine="0" w:firstLineChars="0"/>
                    <w:jc w:val="center"/>
                    <w:rPr>
                      <w:rFonts w:hint="eastAsia" w:ascii="Times New Roman" w:hAnsi="Times New Roman" w:eastAsia="宋体" w:cs="Times New Roman"/>
                      <w:b/>
                      <w:bCs/>
                      <w:color w:val="000000" w:themeColor="text1"/>
                      <w:sz w:val="21"/>
                      <w:highlight w:val="none"/>
                      <w:lang w:eastAsia="zh-CN"/>
                      <w14:textFill>
                        <w14:solidFill>
                          <w14:schemeClr w14:val="tx1"/>
                        </w14:solidFill>
                      </w14:textFill>
                    </w:rPr>
                  </w:pPr>
                  <w:r>
                    <w:rPr>
                      <w:rFonts w:hint="eastAsia" w:cs="Times New Roman"/>
                      <w:b/>
                      <w:bCs/>
                      <w:color w:val="000000" w:themeColor="text1"/>
                      <w:sz w:val="21"/>
                      <w:highlight w:val="none"/>
                      <w:lang w:eastAsia="zh-CN"/>
                      <w14:textFill>
                        <w14:solidFill>
                          <w14:schemeClr w14:val="tx1"/>
                        </w14:solidFill>
                      </w14:textFill>
                    </w:rPr>
                    <w:t>台数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过滤器反洗泵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过滤器提升泵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超滤反洗泵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超滤提升泵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exact"/>
                    <w:ind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sz w:val="21"/>
                      <w:szCs w:val="21"/>
                      <w:highlight w:val="none"/>
                    </w:rPr>
                    <w:t>超滤增压泵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sz w:val="21"/>
                      <w:szCs w:val="21"/>
                      <w:highlight w:val="none"/>
                    </w:rPr>
                    <w:t>计量泵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cs="Times New Roman"/>
                      <w:color w:val="000000" w:themeColor="text1"/>
                      <w:sz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sz w:val="21"/>
                      <w:szCs w:val="21"/>
                      <w:highlight w:val="none"/>
                    </w:rPr>
                    <w:t>清洗泵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atLeast"/>
                    <w:ind w:firstLine="0" w:firstLineChars="0"/>
                    <w:jc w:val="cente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cs="Times New Roman"/>
                      <w:color w:val="000000" w:themeColor="text1"/>
                      <w:sz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4" w:type="pct"/>
                  <w:vAlign w:val="center"/>
                </w:tcPr>
                <w:p>
                  <w:pPr>
                    <w:spacing w:line="320" w:lineRule="atLeast"/>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反洗泵</w:t>
                  </w:r>
                </w:p>
              </w:tc>
              <w:tc>
                <w:tcPr>
                  <w:tcW w:w="850"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连续</w:t>
                  </w:r>
                </w:p>
              </w:tc>
              <w:tc>
                <w:tcPr>
                  <w:tcW w:w="1542" w:type="pct"/>
                  <w:vAlign w:val="center"/>
                </w:tcPr>
                <w:p>
                  <w:pPr>
                    <w:spacing w:line="320" w:lineRule="atLeas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75~85</w:t>
                  </w:r>
                </w:p>
              </w:tc>
              <w:tc>
                <w:tcPr>
                  <w:tcW w:w="1152" w:type="pct"/>
                  <w:vAlign w:val="center"/>
                </w:tcPr>
                <w:p>
                  <w:pPr>
                    <w:spacing w:line="320" w:lineRule="atLeast"/>
                    <w:ind w:firstLine="0" w:firstLineChars="0"/>
                    <w:jc w:val="center"/>
                    <w:rPr>
                      <w:rFonts w:hint="default" w:cs="Times New Roman"/>
                      <w:color w:val="000000" w:themeColor="text1"/>
                      <w:sz w:val="21"/>
                      <w:highlight w:val="none"/>
                      <w:lang w:val="en-US" w:eastAsia="zh-CN"/>
                      <w14:textFill>
                        <w14:solidFill>
                          <w14:schemeClr w14:val="tx1"/>
                        </w14:solidFill>
                      </w14:textFill>
                    </w:rPr>
                  </w:pPr>
                  <w:r>
                    <w:rPr>
                      <w:rFonts w:hint="eastAsia" w:cs="Times New Roman"/>
                      <w:color w:val="000000" w:themeColor="text1"/>
                      <w:sz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台</w:t>
                  </w:r>
                </w:p>
              </w:tc>
            </w:tr>
          </w:tbl>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本评价根据各设备产噪特点提出如下防治措施：</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（1）在设备选型上选用高效低噪的设备，对高噪设备采用降噪的配套措施，如安减震垫、留减震槽；</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（2）窗户采用双层玻璃，墙壁采用吸音效果好的建筑材料；</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（3）在矿井水处理站厂房四周、厂区空地植树绿化，形成阻滞和吸收噪声的绿色屏障，起到美化环境、隔声降尘的作用。</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本项目新增的噪声源均为各类泵产生的噪声，但是由于本项目的各类泵基本位于设备内部或者水中，并且均在室内安装，经墙体隔声后，</w:t>
            </w:r>
            <w:r>
              <w:rPr>
                <w:rFonts w:hint="default" w:ascii="Times New Roman" w:hAnsi="Times New Roman" w:eastAsia="宋体" w:cs="Times New Roman"/>
                <w:color w:val="000000" w:themeColor="text1"/>
                <w:highlight w:val="none"/>
                <w14:textFill>
                  <w14:solidFill>
                    <w14:schemeClr w14:val="tx1"/>
                  </w14:solidFill>
                </w14:textFill>
              </w:rPr>
              <w:t>传播到外环境的噪声有所衰减，</w:t>
            </w:r>
            <w:r>
              <w:rPr>
                <w:rFonts w:hint="eastAsia" w:cs="Times New Roman"/>
                <w:color w:val="000000" w:themeColor="text1"/>
                <w:highlight w:val="none"/>
                <w:lang w:eastAsia="zh-CN"/>
                <w14:textFill>
                  <w14:solidFill>
                    <w14:schemeClr w14:val="tx1"/>
                  </w14:solidFill>
                </w14:textFill>
              </w:rPr>
              <w:t>本项目周围</w:t>
            </w:r>
            <w:r>
              <w:rPr>
                <w:rFonts w:hint="eastAsia" w:cs="Times New Roman"/>
                <w:color w:val="000000" w:themeColor="text1"/>
                <w:highlight w:val="none"/>
                <w:lang w:val="en-US" w:eastAsia="zh-CN"/>
                <w14:textFill>
                  <w14:solidFill>
                    <w14:schemeClr w14:val="tx1"/>
                  </w14:solidFill>
                </w14:textFill>
              </w:rPr>
              <w:t>200m范围内无居民存在，</w:t>
            </w:r>
            <w:r>
              <w:rPr>
                <w:rFonts w:hint="default" w:ascii="Times New Roman" w:hAnsi="Times New Roman" w:eastAsia="宋体" w:cs="Times New Roman"/>
                <w:color w:val="000000" w:themeColor="text1"/>
                <w:highlight w:val="none"/>
                <w14:textFill>
                  <w14:solidFill>
                    <w14:schemeClr w14:val="tx1"/>
                  </w14:solidFill>
                </w14:textFill>
              </w:rPr>
              <w:t>经过建筑隔声以及基础减震等措施后工程运行期噪声</w:t>
            </w:r>
            <w:r>
              <w:rPr>
                <w:rFonts w:hint="eastAsia" w:cs="Times New Roman"/>
                <w:color w:val="000000" w:themeColor="text1"/>
                <w:highlight w:val="none"/>
                <w:lang w:eastAsia="zh-CN"/>
                <w14:textFill>
                  <w14:solidFill>
                    <w14:schemeClr w14:val="tx1"/>
                  </w14:solidFill>
                </w14:textFill>
              </w:rPr>
              <w:t>实际对外环境产生的影响极小</w:t>
            </w:r>
            <w:r>
              <w:rPr>
                <w:rFonts w:hint="default" w:ascii="Times New Roman" w:hAnsi="Times New Roman" w:eastAsia="宋体" w:cs="Times New Roman"/>
                <w:color w:val="000000" w:themeColor="text1"/>
                <w:highlight w:val="none"/>
                <w14:textFill>
                  <w14:solidFill>
                    <w14:schemeClr w14:val="tx1"/>
                  </w14:solidFill>
                </w14:textFill>
              </w:rPr>
              <w:t>。</w:t>
            </w:r>
          </w:p>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四、固废环境影响分析</w:t>
            </w:r>
          </w:p>
          <w:p>
            <w:pPr>
              <w:pStyle w:val="5"/>
              <w:spacing w:line="480" w:lineRule="exact"/>
              <w:ind w:firstLine="480"/>
              <w:rPr>
                <w:rFonts w:hint="default" w:ascii="Times New Roman" w:hAnsi="Times New Roman" w:eastAsia="宋体" w:cs="Times New Roman"/>
                <w:b w:val="0"/>
                <w:bCs w:val="0"/>
                <w:color w:val="000000" w:themeColor="text1"/>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14:textFill>
                  <w14:solidFill>
                    <w14:schemeClr w14:val="tx1"/>
                  </w14:solidFill>
                </w14:textFill>
              </w:rPr>
              <w:t>本项目固体废弃物主要为去氯化工序产生的废活性炭</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和药剂废气包装袋</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w:t>
            </w:r>
          </w:p>
          <w:p>
            <w:pPr>
              <w:spacing w:line="480" w:lineRule="exact"/>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废活性炭</w:t>
            </w:r>
            <w:r>
              <w:rPr>
                <w:rFonts w:hint="eastAsia" w:cs="Times New Roman"/>
                <w:color w:val="000000" w:themeColor="text1"/>
                <w:highlight w:val="none"/>
                <w:lang w:eastAsia="zh-CN"/>
                <w14:textFill>
                  <w14:solidFill>
                    <w14:schemeClr w14:val="tx1"/>
                  </w14:solidFill>
                </w14:textFill>
              </w:rPr>
              <w:t>（HW49，900-041-49）</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废活性炭产生自活性炭过滤器。活性炭过滤器每年更换一次，产生废活性炭1.0t/a，</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活性炭过滤器吸附的主要为</w:t>
            </w:r>
            <w:r>
              <w:rPr>
                <w:rFonts w:hint="eastAsia" w:cs="Times New Roman"/>
                <w:color w:val="000000" w:themeColor="text1"/>
                <w:highlight w:val="none"/>
                <w:lang w:eastAsia="zh-CN"/>
                <w14:textFill>
                  <w14:solidFill>
                    <w14:schemeClr w14:val="tx1"/>
                  </w14:solidFill>
                </w14:textFill>
              </w:rPr>
              <w:t>处理的矿井水中的余氯</w:t>
            </w:r>
            <w:r>
              <w:rPr>
                <w:rFonts w:hint="default" w:ascii="Times New Roman" w:hAnsi="Times New Roman" w:eastAsia="宋体" w:cs="Times New Roman"/>
                <w:color w:val="000000" w:themeColor="text1"/>
                <w:highlight w:val="none"/>
                <w14:textFill>
                  <w14:solidFill>
                    <w14:schemeClr w14:val="tx1"/>
                  </w14:solidFill>
                </w14:textFill>
              </w:rPr>
              <w:t>，废活性炭属于危废，暂存危废间，定期交由有危废处理资质的单位处置。</w:t>
            </w:r>
          </w:p>
          <w:p>
            <w:pPr>
              <w:spacing w:line="480" w:lineRule="exact"/>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（2）药剂废弃包装物</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sz w:val="24"/>
              </w:rPr>
              <w:t>HW49，900-041-49</w:t>
            </w:r>
            <w:r>
              <w:rPr>
                <w:rFonts w:hint="eastAsia" w:cs="Times New Roman"/>
                <w:color w:val="000000" w:themeColor="text1"/>
                <w:highlight w:val="none"/>
                <w:lang w:eastAsia="zh-CN"/>
                <w14:textFill>
                  <w14:solidFill>
                    <w14:schemeClr w14:val="tx1"/>
                  </w14:solidFill>
                </w14:textFill>
              </w:rPr>
              <w:t>）</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主要是次氯酸钠等药剂废弃包装物：产生量约</w:t>
            </w:r>
            <w:r>
              <w:rPr>
                <w:rFonts w:hint="eastAsia" w:cs="Times New Roman"/>
                <w:color w:val="000000" w:themeColor="text1"/>
                <w:highlight w:val="none"/>
                <w:lang w:eastAsia="zh-CN"/>
                <w14:textFill>
                  <w14:solidFill>
                    <w14:schemeClr w14:val="tx1"/>
                  </w14:solidFill>
                </w14:textFill>
              </w:rPr>
              <w:t>0.005t/a</w:t>
            </w:r>
            <w:r>
              <w:rPr>
                <w:rFonts w:hint="default" w:ascii="Times New Roman" w:hAnsi="Times New Roman" w:eastAsia="宋体" w:cs="Times New Roman"/>
                <w:color w:val="000000" w:themeColor="text1"/>
                <w:highlight w:val="none"/>
                <w14:textFill>
                  <w14:solidFill>
                    <w14:schemeClr w14:val="tx1"/>
                  </w14:solidFill>
                </w14:textFill>
              </w:rPr>
              <w:t>，暂存危废间，定期交由有危废处理资质的单位处置。</w:t>
            </w:r>
          </w:p>
          <w:p>
            <w:pPr>
              <w:adjustRightInd w:val="0"/>
              <w:snapToGrid w:val="0"/>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本项目产生的固体废物具体情况见下表。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
                <w:color w:val="auto"/>
                <w:kern w:val="2"/>
                <w:sz w:val="24"/>
                <w:szCs w:val="20"/>
                <w:highlight w:val="none"/>
                <w:lang w:val="en-US" w:eastAsia="zh-CN" w:bidi="ar"/>
              </w:rPr>
              <w:t>表</w:t>
            </w:r>
            <w:r>
              <w:rPr>
                <w:rFonts w:hint="eastAsia" w:ascii="Times New Roman" w:hAnsi="Times New Roman" w:eastAsia="宋体" w:cs="Times New Roman"/>
                <w:b/>
                <w:color w:val="auto"/>
                <w:kern w:val="2"/>
                <w:sz w:val="24"/>
                <w:szCs w:val="20"/>
                <w:highlight w:val="none"/>
                <w:lang w:val="en-US" w:eastAsia="zh-CN" w:bidi="ar"/>
              </w:rPr>
              <w:t>7-1</w:t>
            </w:r>
            <w:r>
              <w:rPr>
                <w:rFonts w:hint="eastAsia" w:cs="Times New Roman"/>
                <w:b/>
                <w:color w:val="auto"/>
                <w:kern w:val="2"/>
                <w:sz w:val="24"/>
                <w:szCs w:val="20"/>
                <w:highlight w:val="none"/>
                <w:lang w:val="en-US" w:eastAsia="zh-CN" w:bidi="ar"/>
              </w:rPr>
              <w:t>7</w:t>
            </w:r>
            <w:r>
              <w:rPr>
                <w:rFonts w:hint="default" w:ascii="Times New Roman" w:hAnsi="Times New Roman" w:eastAsia="宋体" w:cs="Times New Roman"/>
                <w:b/>
                <w:color w:val="auto"/>
                <w:kern w:val="2"/>
                <w:sz w:val="24"/>
                <w:szCs w:val="20"/>
                <w:highlight w:val="none"/>
                <w:lang w:val="en-US" w:eastAsia="zh-CN" w:bidi="ar"/>
              </w:rPr>
              <w:t xml:space="preserve">          </w:t>
            </w:r>
            <w:r>
              <w:rPr>
                <w:rFonts w:hint="eastAsia" w:ascii="Times New Roman" w:hAnsi="Times New Roman" w:eastAsia="宋体" w:cs="Times New Roman"/>
                <w:b/>
                <w:color w:val="auto"/>
                <w:kern w:val="2"/>
                <w:sz w:val="24"/>
                <w:szCs w:val="20"/>
                <w:highlight w:val="none"/>
                <w:lang w:val="en-US" w:eastAsia="zh-CN" w:bidi="ar"/>
              </w:rPr>
              <w:t>本</w:t>
            </w:r>
            <w:r>
              <w:rPr>
                <w:rFonts w:hint="default" w:ascii="Times New Roman" w:hAnsi="Times New Roman" w:eastAsia="宋体" w:cs="Times New Roman"/>
                <w:b/>
                <w:bCs w:val="0"/>
                <w:color w:val="auto"/>
                <w:kern w:val="2"/>
                <w:sz w:val="24"/>
                <w:szCs w:val="16"/>
                <w:highlight w:val="none"/>
                <w:lang w:val="en-US" w:eastAsia="zh-CN" w:bidi="ar"/>
              </w:rPr>
              <w:t>项目固废产生情况汇总</w:t>
            </w:r>
            <w:r>
              <w:rPr>
                <w:rFonts w:hint="default" w:ascii="Times New Roman" w:hAnsi="Times New Roman" w:eastAsia="宋体" w:cs="Times New Roman"/>
                <w:b/>
                <w:color w:val="auto"/>
                <w:kern w:val="2"/>
                <w:sz w:val="24"/>
                <w:szCs w:val="20"/>
                <w:highlight w:val="none"/>
                <w:lang w:val="en-US" w:eastAsia="zh-CN" w:bidi="ar"/>
              </w:rPr>
              <w:t>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63"/>
              <w:gridCol w:w="1477"/>
              <w:gridCol w:w="1092"/>
              <w:gridCol w:w="1142"/>
              <w:gridCol w:w="1202"/>
              <w:gridCol w:w="33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9"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837"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固废名称</w:t>
                  </w:r>
                </w:p>
              </w:tc>
              <w:tc>
                <w:tcPr>
                  <w:tcW w:w="61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废物来源</w:t>
                  </w:r>
                </w:p>
              </w:tc>
              <w:tc>
                <w:tcPr>
                  <w:tcW w:w="647"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废物类别</w:t>
                  </w:r>
                </w:p>
              </w:tc>
              <w:tc>
                <w:tcPr>
                  <w:tcW w:w="681"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产生量</w:t>
                  </w:r>
                  <w:r>
                    <w:rPr>
                      <w:rFonts w:hint="default" w:ascii="Times New Roman" w:hAnsi="Times New Roman" w:eastAsia="宋体" w:cs="Times New Roman"/>
                      <w:color w:val="auto"/>
                      <w:sz w:val="21"/>
                      <w:szCs w:val="24"/>
                      <w:highlight w:val="none"/>
                    </w:rPr>
                    <w:t>t/a</w:t>
                  </w:r>
                </w:p>
              </w:tc>
              <w:tc>
                <w:tcPr>
                  <w:tcW w:w="189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4"/>
                      <w:highlight w:val="none"/>
                      <w:lang w:eastAsia="zh-CN"/>
                    </w:rPr>
                  </w:pPr>
                  <w:r>
                    <w:rPr>
                      <w:rFonts w:hint="default" w:ascii="Times New Roman" w:hAnsi="Times New Roman" w:eastAsia="宋体" w:cs="Times New Roman"/>
                      <w:color w:val="auto"/>
                      <w:sz w:val="21"/>
                      <w:szCs w:val="24"/>
                      <w:highlight w:val="none"/>
                      <w:lang w:eastAsia="zh-CN"/>
                    </w:rPr>
                    <w:t>处置措施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9"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37"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废活性炭</w:t>
                  </w:r>
                </w:p>
              </w:tc>
              <w:tc>
                <w:tcPr>
                  <w:tcW w:w="619"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4"/>
                      <w:highlight w:val="none"/>
                      <w:lang w:val="en-US" w:eastAsia="zh-CN"/>
                    </w:rPr>
                    <w:t>废水治理</w:t>
                  </w:r>
                </w:p>
              </w:tc>
              <w:tc>
                <w:tcPr>
                  <w:tcW w:w="647"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681"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895"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4"/>
                      <w:highlight w:val="none"/>
                      <w:lang w:eastAsia="zh-CN"/>
                    </w:rPr>
                  </w:pPr>
                  <w:r>
                    <w:rPr>
                      <w:rFonts w:hint="default" w:ascii="Times New Roman" w:hAnsi="Times New Roman" w:eastAsia="宋体" w:cs="Times New Roman"/>
                      <w:color w:val="auto"/>
                      <w:sz w:val="21"/>
                      <w:szCs w:val="24"/>
                    </w:rPr>
                    <w:t>暂存于厂内危废暂存间，</w:t>
                  </w:r>
                  <w:r>
                    <w:rPr>
                      <w:rFonts w:hint="default" w:ascii="Times New Roman" w:hAnsi="Times New Roman" w:eastAsia="宋体" w:cs="Times New Roman"/>
                      <w:color w:val="auto"/>
                      <w:sz w:val="21"/>
                      <w:szCs w:val="24"/>
                      <w:lang w:val="en-US" w:eastAsia="zh-CN"/>
                    </w:rPr>
                    <w:t>定期</w:t>
                  </w:r>
                  <w:r>
                    <w:rPr>
                      <w:rFonts w:hint="default" w:ascii="Times New Roman" w:hAnsi="Times New Roman" w:eastAsia="宋体" w:cs="Times New Roman"/>
                      <w:color w:val="auto"/>
                      <w:sz w:val="21"/>
                      <w:szCs w:val="24"/>
                    </w:rPr>
                    <w:t>交由有资质的单位处置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9"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37" w:type="pct"/>
                  <w:tcBorders>
                    <w:tl2br w:val="nil"/>
                    <w:tr2bl w:val="nil"/>
                  </w:tcBorders>
                  <w:noWrap w:val="0"/>
                  <w:tcMar>
                    <w:top w:w="0" w:type="dxa"/>
                    <w:left w:w="108" w:type="dxa"/>
                    <w:bottom w:w="0" w:type="dxa"/>
                    <w:right w:w="108" w:type="dxa"/>
                  </w:tcMar>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药剂废弃包装物</w:t>
                  </w:r>
                </w:p>
              </w:tc>
              <w:tc>
                <w:tcPr>
                  <w:tcW w:w="619"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p>
              </w:tc>
              <w:tc>
                <w:tcPr>
                  <w:tcW w:w="647"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681"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w:t>
                  </w:r>
                </w:p>
              </w:tc>
              <w:tc>
                <w:tcPr>
                  <w:tcW w:w="1895"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default" w:ascii="Times New Roman" w:hAnsi="Times New Roman" w:eastAsia="宋体" w:cs="Times New Roman"/>
                      <w:color w:val="auto"/>
                      <w:sz w:val="21"/>
                      <w:szCs w:val="24"/>
                      <w:highlight w:val="none"/>
                      <w:lang w:eastAsia="zh-CN"/>
                    </w:rPr>
                  </w:pPr>
                </w:p>
              </w:tc>
            </w:tr>
          </w:tbl>
          <w:p>
            <w:pPr>
              <w:adjustRightInd w:val="0"/>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本项目危险废物产生情况见表7-1</w:t>
            </w:r>
            <w:r>
              <w:rPr>
                <w:rFonts w:hint="eastAsia" w:cs="Times New Roman"/>
                <w:sz w:val="24"/>
                <w:szCs w:val="24"/>
                <w:lang w:val="en-US" w:eastAsia="zh-CN"/>
              </w:rPr>
              <w:t>8</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color w:val="auto"/>
                <w:kern w:val="2"/>
                <w:sz w:val="24"/>
                <w:szCs w:val="20"/>
                <w:lang w:val="en-US" w:eastAsia="zh-CN" w:bidi="ar"/>
              </w:rPr>
            </w:pPr>
            <w:r>
              <w:rPr>
                <w:rFonts w:hint="default" w:ascii="Times New Roman" w:hAnsi="Times New Roman" w:eastAsia="宋体" w:cs="Times New Roman"/>
                <w:b/>
                <w:color w:val="auto"/>
                <w:kern w:val="2"/>
                <w:sz w:val="24"/>
                <w:szCs w:val="20"/>
                <w:lang w:val="en-US" w:eastAsia="zh-CN" w:bidi="ar"/>
              </w:rPr>
              <w:t>表7-1</w:t>
            </w:r>
            <w:r>
              <w:rPr>
                <w:rFonts w:hint="eastAsia" w:cs="Times New Roman"/>
                <w:b/>
                <w:color w:val="auto"/>
                <w:kern w:val="2"/>
                <w:sz w:val="24"/>
                <w:szCs w:val="20"/>
                <w:lang w:val="en-US" w:eastAsia="zh-CN" w:bidi="ar"/>
              </w:rPr>
              <w:t>8</w:t>
            </w:r>
            <w:r>
              <w:rPr>
                <w:rFonts w:hint="default" w:ascii="Times New Roman" w:hAnsi="Times New Roman" w:eastAsia="宋体" w:cs="Times New Roman"/>
                <w:b/>
                <w:color w:val="auto"/>
                <w:kern w:val="2"/>
                <w:sz w:val="24"/>
                <w:szCs w:val="20"/>
                <w:lang w:val="en-US" w:eastAsia="zh-CN" w:bidi="ar"/>
              </w:rPr>
              <w:t xml:space="preserve">     危险废物汇总表</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1"/>
              <w:gridCol w:w="1093"/>
              <w:gridCol w:w="1167"/>
              <w:gridCol w:w="689"/>
              <w:gridCol w:w="848"/>
              <w:gridCol w:w="487"/>
              <w:gridCol w:w="772"/>
              <w:gridCol w:w="669"/>
              <w:gridCol w:w="556"/>
              <w:gridCol w:w="576"/>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61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危险废物名称</w:t>
                  </w:r>
                </w:p>
              </w:tc>
              <w:tc>
                <w:tcPr>
                  <w:tcW w:w="661"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危险废物类别及代码</w:t>
                  </w:r>
                </w:p>
              </w:tc>
              <w:tc>
                <w:tcPr>
                  <w:tcW w:w="390"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产生量（t/a）</w:t>
                  </w:r>
                </w:p>
              </w:tc>
              <w:tc>
                <w:tcPr>
                  <w:tcW w:w="480"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产生工序及装置</w:t>
                  </w:r>
                </w:p>
              </w:tc>
              <w:tc>
                <w:tcPr>
                  <w:tcW w:w="27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形态</w:t>
                  </w:r>
                </w:p>
              </w:tc>
              <w:tc>
                <w:tcPr>
                  <w:tcW w:w="437"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w:t>
                  </w:r>
                </w:p>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成份</w:t>
                  </w:r>
                </w:p>
              </w:tc>
              <w:tc>
                <w:tcPr>
                  <w:tcW w:w="37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有害</w:t>
                  </w:r>
                </w:p>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成分</w:t>
                  </w:r>
                </w:p>
              </w:tc>
              <w:tc>
                <w:tcPr>
                  <w:tcW w:w="315"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产废周期</w:t>
                  </w:r>
                </w:p>
              </w:tc>
              <w:tc>
                <w:tcPr>
                  <w:tcW w:w="32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w:t>
                  </w:r>
                </w:p>
              </w:tc>
              <w:tc>
                <w:tcPr>
                  <w:tcW w:w="912"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61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废活性炭</w:t>
                  </w:r>
                </w:p>
              </w:tc>
              <w:tc>
                <w:tcPr>
                  <w:tcW w:w="661" w:type="pct"/>
                  <w:vMerge w:val="restar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HW49，900-041-49</w:t>
                  </w:r>
                </w:p>
              </w:tc>
              <w:tc>
                <w:tcPr>
                  <w:tcW w:w="390"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480" w:type="pct"/>
                  <w:noWrap w:val="0"/>
                  <w:vAlign w:val="center"/>
                </w:tcPr>
                <w:p>
                  <w:pPr>
                    <w:spacing w:line="240" w:lineRule="exact"/>
                    <w:ind w:left="-120" w:leftChars="-50" w:right="-120"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消毒</w:t>
                  </w:r>
                </w:p>
              </w:tc>
              <w:tc>
                <w:tcPr>
                  <w:tcW w:w="27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固</w:t>
                  </w:r>
                </w:p>
              </w:tc>
              <w:tc>
                <w:tcPr>
                  <w:tcW w:w="437" w:type="pct"/>
                  <w:noWrap w:val="0"/>
                  <w:vAlign w:val="center"/>
                </w:tcPr>
                <w:p>
                  <w:pPr>
                    <w:spacing w:line="240" w:lineRule="exact"/>
                    <w:ind w:left="-120" w:leftChars="-50" w:right="-120"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活性炭</w:t>
                  </w:r>
                </w:p>
              </w:tc>
              <w:tc>
                <w:tcPr>
                  <w:tcW w:w="379" w:type="pct"/>
                  <w:noWrap w:val="0"/>
                  <w:vAlign w:val="center"/>
                </w:tcPr>
                <w:p>
                  <w:pPr>
                    <w:spacing w:line="240" w:lineRule="exact"/>
                    <w:ind w:left="-120" w:leftChars="-50" w:right="-120"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氯</w:t>
                  </w:r>
                </w:p>
              </w:tc>
              <w:tc>
                <w:tcPr>
                  <w:tcW w:w="315"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1年</w:t>
                  </w:r>
                </w:p>
              </w:tc>
              <w:tc>
                <w:tcPr>
                  <w:tcW w:w="32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w:t>
                  </w:r>
                  <w:r>
                    <w:rPr>
                      <w:rFonts w:hint="eastAsia" w:ascii="Times New Roman" w:hAnsi="Times New Roman" w:eastAsia="宋体" w:cs="Times New Roman"/>
                      <w:sz w:val="21"/>
                      <w:szCs w:val="21"/>
                      <w:lang w:val="en-US" w:eastAsia="zh-CN"/>
                    </w:rPr>
                    <w:t>/In</w:t>
                  </w:r>
                </w:p>
              </w:tc>
              <w:tc>
                <w:tcPr>
                  <w:tcW w:w="912" w:type="pct"/>
                  <w:vMerge w:val="restar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产生的危险废物及时送至危废暂存间，分类存放，并做好记录。定期交由有资质的单位处置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619"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药剂废弃包装物</w:t>
                  </w:r>
                </w:p>
              </w:tc>
              <w:tc>
                <w:tcPr>
                  <w:tcW w:w="661" w:type="pct"/>
                  <w:vMerge w:val="continue"/>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p>
              </w:tc>
              <w:tc>
                <w:tcPr>
                  <w:tcW w:w="390"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0.005</w:t>
                  </w:r>
                </w:p>
              </w:tc>
              <w:tc>
                <w:tcPr>
                  <w:tcW w:w="480" w:type="pct"/>
                  <w:noWrap w:val="0"/>
                  <w:vAlign w:val="center"/>
                </w:tcPr>
                <w:p>
                  <w:pPr>
                    <w:spacing w:line="240" w:lineRule="exact"/>
                    <w:ind w:left="-120" w:leftChars="-50" w:right="-120"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消毒</w:t>
                  </w:r>
                </w:p>
              </w:tc>
              <w:tc>
                <w:tcPr>
                  <w:tcW w:w="27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固</w:t>
                  </w:r>
                </w:p>
              </w:tc>
              <w:tc>
                <w:tcPr>
                  <w:tcW w:w="437"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塑料</w:t>
                  </w:r>
                </w:p>
              </w:tc>
              <w:tc>
                <w:tcPr>
                  <w:tcW w:w="379" w:type="pct"/>
                  <w:noWrap w:val="0"/>
                  <w:vAlign w:val="center"/>
                </w:tcPr>
                <w:p>
                  <w:pPr>
                    <w:spacing w:line="240" w:lineRule="exact"/>
                    <w:ind w:left="-120" w:leftChars="-50" w:right="-120"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次氯酸钠</w:t>
                  </w:r>
                </w:p>
              </w:tc>
              <w:tc>
                <w:tcPr>
                  <w:tcW w:w="315"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1个月</w:t>
                  </w:r>
                </w:p>
              </w:tc>
              <w:tc>
                <w:tcPr>
                  <w:tcW w:w="326" w:type="pct"/>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w:t>
                  </w:r>
                  <w:r>
                    <w:rPr>
                      <w:rFonts w:hint="eastAsia" w:ascii="Times New Roman" w:hAnsi="Times New Roman" w:eastAsia="宋体" w:cs="Times New Roman"/>
                      <w:sz w:val="21"/>
                      <w:szCs w:val="21"/>
                      <w:lang w:val="en-US" w:eastAsia="zh-CN"/>
                    </w:rPr>
                    <w:t>/In</w:t>
                  </w:r>
                </w:p>
              </w:tc>
              <w:tc>
                <w:tcPr>
                  <w:tcW w:w="912" w:type="pct"/>
                  <w:vMerge w:val="continue"/>
                  <w:noWrap w:val="0"/>
                  <w:vAlign w:val="center"/>
                </w:tcPr>
                <w:p>
                  <w:pPr>
                    <w:spacing w:line="240" w:lineRule="exact"/>
                    <w:ind w:left="-120" w:leftChars="-50" w:right="-120" w:rightChars="-50" w:firstLine="0" w:firstLineChars="0"/>
                    <w:jc w:val="center"/>
                    <w:rPr>
                      <w:rFonts w:hint="default" w:ascii="Times New Roman" w:hAnsi="Times New Roman" w:eastAsia="宋体" w:cs="Times New Roman"/>
                      <w:sz w:val="21"/>
                      <w:szCs w:val="21"/>
                    </w:rPr>
                  </w:pPr>
                </w:p>
              </w:tc>
            </w:tr>
          </w:tbl>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（3）危废暂存间</w:t>
            </w:r>
          </w:p>
          <w:p>
            <w:pPr>
              <w:adjustRightInd w:val="0"/>
              <w:snapToGrid w:val="0"/>
              <w:spacing w:line="500" w:lineRule="exact"/>
              <w:ind w:firstLine="480" w:firstLineChars="200"/>
              <w:rPr>
                <w:rFonts w:hint="eastAsia"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z w:val="24"/>
                <w:szCs w:val="24"/>
              </w:rPr>
              <w:t>本次</w:t>
            </w:r>
            <w:r>
              <w:rPr>
                <w:rFonts w:hint="eastAsia" w:ascii="Times New Roman" w:hAnsi="Times New Roman" w:cs="Times New Roman"/>
                <w:sz w:val="24"/>
                <w:szCs w:val="24"/>
                <w:lang w:val="en-US" w:eastAsia="zh-CN"/>
              </w:rPr>
              <w:t>不新建危废间，</w:t>
            </w:r>
            <w:r>
              <w:rPr>
                <w:rFonts w:hint="default" w:ascii="Times New Roman" w:hAnsi="Times New Roman" w:eastAsia="宋体" w:cs="Times New Roman"/>
                <w:sz w:val="24"/>
                <w:szCs w:val="24"/>
              </w:rPr>
              <w:t>产生的危险废物及时送至</w:t>
            </w:r>
            <w:r>
              <w:rPr>
                <w:rFonts w:hint="eastAsia" w:ascii="Times New Roman" w:hAnsi="Times New Roman" w:cs="Times New Roman"/>
                <w:sz w:val="24"/>
                <w:szCs w:val="24"/>
                <w:lang w:val="en-US" w:eastAsia="zh-CN"/>
              </w:rPr>
              <w:t>煤矿原有的1间30m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的危废间</w:t>
            </w:r>
            <w:r>
              <w:rPr>
                <w:rFonts w:hint="default" w:ascii="Times New Roman" w:hAnsi="Times New Roman" w:eastAsia="宋体" w:cs="Times New Roman"/>
                <w:sz w:val="24"/>
                <w:szCs w:val="24"/>
              </w:rPr>
              <w:t>，分类存放，并做好记录</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定期交由有资质的单位集中处置。</w:t>
            </w:r>
            <w:r>
              <w:rPr>
                <w:rFonts w:hint="eastAsia" w:ascii="Times New Roman" w:hAnsi="Times New Roman" w:cs="Times New Roman"/>
                <w:sz w:val="24"/>
                <w:szCs w:val="24"/>
                <w:lang w:val="en-US" w:eastAsia="zh-CN"/>
              </w:rPr>
              <w:t>原有的危废间</w:t>
            </w:r>
            <w:r>
              <w:rPr>
                <w:rFonts w:hint="eastAsia" w:hAnsi="宋体"/>
                <w:b w:val="0"/>
                <w:bCs/>
                <w:sz w:val="24"/>
                <w:highlight w:val="none"/>
                <w:lang w:eastAsia="zh-CN"/>
              </w:rPr>
              <w:t>目前只用来暂存维修产生的废油（</w:t>
            </w:r>
            <w:r>
              <w:rPr>
                <w:rFonts w:hint="eastAsia" w:hAnsi="宋体"/>
                <w:b w:val="0"/>
                <w:bCs/>
                <w:sz w:val="24"/>
                <w:highlight w:val="none"/>
                <w:lang w:val="en-US" w:eastAsia="zh-CN"/>
              </w:rPr>
              <w:t>0.5t/a，占地面积4m</w:t>
            </w:r>
            <w:r>
              <w:rPr>
                <w:rFonts w:hint="eastAsia" w:hAnsi="宋体"/>
                <w:b w:val="0"/>
                <w:bCs/>
                <w:sz w:val="24"/>
                <w:highlight w:val="none"/>
                <w:vertAlign w:val="superscript"/>
                <w:lang w:val="en-US" w:eastAsia="zh-CN"/>
              </w:rPr>
              <w:t>2</w:t>
            </w:r>
            <w:r>
              <w:rPr>
                <w:rFonts w:hint="eastAsia" w:hAnsi="宋体"/>
                <w:b w:val="0"/>
                <w:bCs/>
                <w:sz w:val="24"/>
                <w:highlight w:val="none"/>
                <w:lang w:eastAsia="zh-CN"/>
              </w:rPr>
              <w:t>）、废油桶（</w:t>
            </w:r>
            <w:r>
              <w:rPr>
                <w:rFonts w:hint="eastAsia" w:hAnsi="宋体"/>
                <w:b w:val="0"/>
                <w:bCs/>
                <w:sz w:val="24"/>
                <w:highlight w:val="none"/>
                <w:lang w:val="en-US" w:eastAsia="zh-CN"/>
              </w:rPr>
              <w:t>20个/a，占地面积10m</w:t>
            </w:r>
            <w:r>
              <w:rPr>
                <w:rFonts w:hint="eastAsia" w:hAnsi="宋体"/>
                <w:b w:val="0"/>
                <w:bCs/>
                <w:sz w:val="24"/>
                <w:highlight w:val="none"/>
                <w:vertAlign w:val="superscript"/>
                <w:lang w:val="en-US" w:eastAsia="zh-CN"/>
              </w:rPr>
              <w:t>2</w:t>
            </w:r>
            <w:r>
              <w:rPr>
                <w:rFonts w:hint="eastAsia" w:hAnsi="宋体"/>
                <w:b w:val="0"/>
                <w:bCs/>
                <w:sz w:val="24"/>
                <w:highlight w:val="none"/>
                <w:lang w:eastAsia="zh-CN"/>
              </w:rPr>
              <w:t>），本项目新增</w:t>
            </w:r>
            <w:r>
              <w:rPr>
                <w:rFonts w:hint="default" w:ascii="Times New Roman" w:hAnsi="Times New Roman" w:eastAsia="宋体" w:cs="Times New Roman"/>
                <w:color w:val="000000" w:themeColor="text1"/>
                <w:highlight w:val="none"/>
                <w14:textFill>
                  <w14:solidFill>
                    <w14:schemeClr w14:val="tx1"/>
                  </w14:solidFill>
                </w14:textFill>
              </w:rPr>
              <w:t>废活性炭</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1.0t/a</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hAnsi="宋体"/>
                <w:b w:val="0"/>
                <w:bCs/>
                <w:sz w:val="24"/>
                <w:highlight w:val="none"/>
                <w:lang w:val="en-US" w:eastAsia="zh-CN"/>
              </w:rPr>
              <w:t>占地面积5m</w:t>
            </w:r>
            <w:r>
              <w:rPr>
                <w:rFonts w:hint="eastAsia" w:hAnsi="宋体"/>
                <w:b w:val="0"/>
                <w:bCs/>
                <w:sz w:val="24"/>
                <w:highlight w:val="none"/>
                <w:vertAlign w:val="superscript"/>
                <w:lang w:val="en-US" w:eastAsia="zh-CN"/>
              </w:rPr>
              <w:t>2</w:t>
            </w:r>
            <w:r>
              <w:rPr>
                <w:rFonts w:hint="eastAsia" w:ascii="Times New Roman" w:hAnsi="Times New Roman" w:cs="Times New Roman"/>
                <w:color w:val="000000" w:themeColor="text1"/>
                <w:highlight w:val="none"/>
                <w:lang w:eastAsia="zh-CN"/>
                <w14:textFill>
                  <w14:solidFill>
                    <w14:schemeClr w14:val="tx1"/>
                  </w14:solidFill>
                </w14:textFill>
              </w:rPr>
              <w:t>）和</w:t>
            </w:r>
            <w:r>
              <w:rPr>
                <w:rFonts w:hint="default" w:ascii="Times New Roman" w:hAnsi="Times New Roman" w:eastAsia="宋体" w:cs="Times New Roman"/>
                <w:color w:val="000000" w:themeColor="text1"/>
                <w:highlight w:val="none"/>
                <w14:textFill>
                  <w14:solidFill>
                    <w14:schemeClr w14:val="tx1"/>
                  </w14:solidFill>
                </w14:textFill>
              </w:rPr>
              <w:t>药剂废弃包装</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0.005t/a</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hAnsi="宋体"/>
                <w:b w:val="0"/>
                <w:bCs/>
                <w:sz w:val="24"/>
                <w:highlight w:val="none"/>
                <w:lang w:val="en-US" w:eastAsia="zh-CN"/>
              </w:rPr>
              <w:t>占地面积1m</w:t>
            </w:r>
            <w:r>
              <w:rPr>
                <w:rFonts w:hint="eastAsia" w:hAnsi="宋体"/>
                <w:b w:val="0"/>
                <w:bCs/>
                <w:sz w:val="24"/>
                <w:highlight w:val="none"/>
                <w:vertAlign w:val="superscript"/>
                <w:lang w:val="en-US" w:eastAsia="zh-CN"/>
              </w:rPr>
              <w:t>2</w:t>
            </w:r>
            <w:r>
              <w:rPr>
                <w:rFonts w:hint="eastAsia" w:ascii="Times New Roman" w:hAnsi="Times New Roman" w:cs="Times New Roman"/>
                <w:color w:val="000000" w:themeColor="text1"/>
                <w:highlight w:val="none"/>
                <w:lang w:eastAsia="zh-CN"/>
                <w14:textFill>
                  <w14:solidFill>
                    <w14:schemeClr w14:val="tx1"/>
                  </w14:solidFill>
                </w14:textFill>
              </w:rPr>
              <w:t>）。</w:t>
            </w:r>
          </w:p>
          <w:p>
            <w:pPr>
              <w:adjustRightInd w:val="0"/>
              <w:snapToGrid w:val="0"/>
              <w:spacing w:line="500" w:lineRule="exact"/>
              <w:ind w:firstLine="480" w:firstLineChars="200"/>
              <w:rPr>
                <w:rFonts w:hint="eastAsia" w:hAnsi="宋体"/>
                <w:bCs/>
                <w:sz w:val="24"/>
                <w:highlight w:val="none"/>
                <w:lang w:val="en-US" w:eastAsia="zh-CN"/>
              </w:rPr>
            </w:pPr>
            <w:r>
              <w:rPr>
                <w:rFonts w:hint="eastAsia" w:ascii="Times New Roman" w:hAnsi="Times New Roman" w:cs="Times New Roman"/>
                <w:color w:val="000000" w:themeColor="text1"/>
                <w:highlight w:val="none"/>
                <w:lang w:val="en-US" w:eastAsia="zh-CN"/>
                <w14:textFill>
                  <w14:solidFill>
                    <w14:schemeClr w14:val="tx1"/>
                  </w14:solidFill>
                </w14:textFill>
              </w:rPr>
              <w:t>此外，煤矿原有危废间</w:t>
            </w:r>
            <w:r>
              <w:rPr>
                <w:rFonts w:hint="eastAsia" w:cs="Times New Roman"/>
                <w:bCs/>
                <w:color w:val="000000" w:themeColor="text1"/>
                <w:kern w:val="0"/>
                <w:highlight w:val="none"/>
                <w:lang w:val="en-US" w:eastAsia="zh-CN"/>
                <w14:textFill>
                  <w14:solidFill>
                    <w14:schemeClr w14:val="tx1"/>
                  </w14:solidFill>
                </w14:textFill>
              </w:rPr>
              <w:t>故原</w:t>
            </w:r>
            <w:r>
              <w:rPr>
                <w:rFonts w:hint="eastAsia"/>
                <w:bCs/>
                <w:sz w:val="24"/>
                <w:highlight w:val="none"/>
                <w:lang w:eastAsia="zh-CN"/>
              </w:rPr>
              <w:t>有</w:t>
            </w:r>
            <w:r>
              <w:rPr>
                <w:rFonts w:hint="eastAsia" w:hAnsi="宋体"/>
                <w:bCs/>
                <w:sz w:val="24"/>
                <w:highlight w:val="none"/>
              </w:rPr>
              <w:t>的</w:t>
            </w:r>
            <w:r>
              <w:rPr>
                <w:rFonts w:hint="eastAsia" w:hAnsi="宋体"/>
                <w:bCs/>
                <w:sz w:val="24"/>
                <w:highlight w:val="none"/>
                <w:lang w:val="en-US" w:eastAsia="zh-CN"/>
              </w:rPr>
              <w:t>危废间已完成“四防”（防风、防雨、防晒、防渗漏）要求，张贴了危险废物警示标识，配备有灭火器等防火设备。</w:t>
            </w:r>
          </w:p>
          <w:p>
            <w:pPr>
              <w:adjustRightInd w:val="0"/>
              <w:snapToGrid w:val="0"/>
              <w:spacing w:line="500" w:lineRule="exact"/>
              <w:ind w:firstLine="480" w:firstLineChars="200"/>
              <w:rPr>
                <w:rFonts w:hint="default" w:ascii="Times New Roman" w:hAnsi="Times New Roman" w:eastAsia="宋体" w:cs="Times New Roman"/>
                <w:sz w:val="24"/>
                <w:szCs w:val="24"/>
              </w:rPr>
            </w:pPr>
            <w:r>
              <w:rPr>
                <w:rFonts w:hint="eastAsia" w:hAnsi="宋体"/>
                <w:bCs/>
                <w:sz w:val="24"/>
                <w:highlight w:val="none"/>
                <w:lang w:val="en-US" w:eastAsia="zh-CN"/>
              </w:rPr>
              <w:t>因此，煤矿原有危废间</w:t>
            </w:r>
            <w:r>
              <w:rPr>
                <w:rFonts w:hAnsi="宋体"/>
                <w:bCs/>
                <w:sz w:val="24"/>
                <w:highlight w:val="none"/>
              </w:rPr>
              <w:t>可以满足</w:t>
            </w:r>
            <w:r>
              <w:rPr>
                <w:rFonts w:hint="eastAsia" w:hAnsi="宋体"/>
                <w:bCs/>
                <w:sz w:val="24"/>
                <w:highlight w:val="none"/>
                <w:lang w:eastAsia="zh-CN"/>
              </w:rPr>
              <w:t>危废暂存需求</w:t>
            </w:r>
            <w:r>
              <w:rPr>
                <w:rFonts w:hint="eastAsia" w:cs="Times New Roman"/>
                <w:b w:val="0"/>
                <w:bCs/>
                <w:color w:val="000000" w:themeColor="text1"/>
                <w:szCs w:val="24"/>
                <w:highlight w:val="none"/>
                <w:lang w:eastAsia="zh-CN"/>
                <w14:textFill>
                  <w14:solidFill>
                    <w14:schemeClr w14:val="tx1"/>
                  </w14:solidFill>
                </w14:textFill>
              </w:rPr>
              <w:t>，可以依托。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color w:val="auto"/>
                <w:kern w:val="2"/>
                <w:sz w:val="24"/>
                <w:szCs w:val="20"/>
                <w:lang w:val="en-US" w:eastAsia="zh-CN" w:bidi="ar"/>
              </w:rPr>
            </w:pPr>
            <w:r>
              <w:rPr>
                <w:rFonts w:hint="default" w:ascii="Times New Roman" w:hAnsi="Times New Roman" w:eastAsia="宋体" w:cs="Times New Roman"/>
                <w:b/>
                <w:color w:val="auto"/>
                <w:kern w:val="2"/>
                <w:sz w:val="24"/>
                <w:szCs w:val="20"/>
                <w:lang w:val="en-US" w:eastAsia="zh-CN" w:bidi="ar"/>
              </w:rPr>
              <w:t>表7-1</w:t>
            </w:r>
            <w:r>
              <w:rPr>
                <w:rFonts w:hint="eastAsia" w:cs="Times New Roman"/>
                <w:b/>
                <w:color w:val="auto"/>
                <w:kern w:val="2"/>
                <w:sz w:val="24"/>
                <w:szCs w:val="20"/>
                <w:lang w:val="en-US" w:eastAsia="zh-CN" w:bidi="ar"/>
              </w:rPr>
              <w:t>9</w:t>
            </w:r>
            <w:r>
              <w:rPr>
                <w:rFonts w:hint="default" w:ascii="Times New Roman" w:hAnsi="Times New Roman" w:eastAsia="宋体" w:cs="Times New Roman"/>
                <w:b/>
                <w:color w:val="auto"/>
                <w:kern w:val="2"/>
                <w:sz w:val="24"/>
                <w:szCs w:val="20"/>
                <w:lang w:val="en-US" w:eastAsia="zh-CN" w:bidi="ar"/>
              </w:rPr>
              <w:t xml:space="preserve">     危险废物贮存场所基本情况</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174"/>
              <w:gridCol w:w="1122"/>
              <w:gridCol w:w="1408"/>
              <w:gridCol w:w="774"/>
              <w:gridCol w:w="605"/>
              <w:gridCol w:w="1924"/>
              <w:gridCol w:w="898"/>
              <w:gridCol w:w="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贮存场所（设施）名称</w:t>
                  </w:r>
                </w:p>
              </w:tc>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4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危险废物类别及代码</w:t>
                  </w:r>
                </w:p>
              </w:tc>
              <w:tc>
                <w:tcPr>
                  <w:tcW w:w="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位置</w:t>
                  </w:r>
                </w:p>
              </w:tc>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贮存方式</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能力</w:t>
                  </w:r>
                </w:p>
              </w:tc>
              <w:tc>
                <w:tcPr>
                  <w:tcW w:w="5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暂存间</w:t>
                  </w:r>
                </w:p>
              </w:tc>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药剂废弃包装物</w:t>
                  </w:r>
                </w:p>
              </w:tc>
              <w:tc>
                <w:tcPr>
                  <w:tcW w:w="14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HW49，900-041-49</w:t>
                  </w:r>
                </w:p>
              </w:tc>
              <w:tc>
                <w:tcPr>
                  <w:tcW w:w="7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工业场地北侧</w:t>
                  </w:r>
                </w:p>
              </w:tc>
              <w:tc>
                <w:tcPr>
                  <w:tcW w:w="6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2</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利用密闭容器包装并分区堆放</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r>
                    <w:rPr>
                      <w:rFonts w:hint="eastAsia" w:ascii="Times New Roman" w:hAnsi="Times New Roman" w:cs="Times New Roman"/>
                      <w:sz w:val="21"/>
                      <w:szCs w:val="21"/>
                      <w:lang w:val="en-US" w:eastAsia="zh-CN"/>
                    </w:rPr>
                    <w:t>005</w:t>
                  </w:r>
                  <w:r>
                    <w:rPr>
                      <w:rFonts w:hint="default" w:ascii="Times New Roman" w:hAnsi="Times New Roman" w:eastAsia="宋体" w:cs="Times New Roman"/>
                      <w:sz w:val="21"/>
                      <w:szCs w:val="21"/>
                    </w:rPr>
                    <w:t>t/a</w:t>
                  </w:r>
                </w:p>
              </w:tc>
              <w:tc>
                <w:tcPr>
                  <w:tcW w:w="5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p>
              </w:tc>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14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HW49，900-041-49</w:t>
                  </w:r>
                </w:p>
              </w:tc>
              <w:tc>
                <w:tcPr>
                  <w:tcW w:w="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sz w:val="21"/>
                      <w:szCs w:val="21"/>
                      <w:highlight w:val="none"/>
                      <w:lang w:eastAsia="zh-CN"/>
                    </w:rPr>
                  </w:pPr>
                </w:p>
              </w:tc>
              <w:tc>
                <w:tcPr>
                  <w:tcW w:w="6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sz w:val="21"/>
                      <w:szCs w:val="21"/>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利用密闭容器包装并分区堆放</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5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sz w:val="21"/>
                      <w:szCs w:val="21"/>
                    </w:rPr>
                  </w:pPr>
                </w:p>
              </w:tc>
            </w:tr>
          </w:tbl>
          <w:p>
            <w:pPr>
              <w:spacing w:line="480" w:lineRule="exact"/>
              <w:ind w:firstLine="463" w:firstLineChars="187"/>
              <w:rPr>
                <w:rFonts w:hint="eastAsia" w:cs="Times New Roman"/>
                <w:color w:val="000000" w:themeColor="text1"/>
                <w:spacing w:val="4"/>
                <w:szCs w:val="24"/>
                <w:highlight w:val="none"/>
                <w:lang w:val="en-US" w:eastAsia="zh-CN"/>
                <w14:textFill>
                  <w14:solidFill>
                    <w14:schemeClr w14:val="tx1"/>
                  </w14:solidFill>
                </w14:textFill>
              </w:rPr>
            </w:pPr>
            <w:r>
              <w:rPr>
                <w:rFonts w:hint="eastAsia" w:cs="Times New Roman"/>
                <w:color w:val="000000" w:themeColor="text1"/>
                <w:spacing w:val="4"/>
                <w:szCs w:val="24"/>
                <w:highlight w:val="none"/>
                <w:lang w:val="en-US" w:eastAsia="zh-CN"/>
                <w14:textFill>
                  <w14:solidFill>
                    <w14:schemeClr w14:val="tx1"/>
                  </w14:solidFill>
                </w14:textFill>
              </w:rPr>
              <w:t>此外，针对本次新增的危废，依据</w:t>
            </w:r>
            <w:r>
              <w:rPr>
                <w:rFonts w:hint="default" w:ascii="Times New Roman" w:hAnsi="Times New Roman" w:eastAsia="宋体" w:cs="Times New Roman"/>
                <w:color w:val="000000" w:themeColor="text1"/>
                <w:spacing w:val="4"/>
                <w:szCs w:val="24"/>
                <w:highlight w:val="none"/>
                <w14:textFill>
                  <w14:solidFill>
                    <w14:schemeClr w14:val="tx1"/>
                  </w14:solidFill>
                </w14:textFill>
              </w:rPr>
              <w:t>《建设项目危险废物环境影响评价指南》和《危险废物贮存污染控制标准》（GB18597-2001）的规定，</w:t>
            </w:r>
            <w:r>
              <w:rPr>
                <w:rFonts w:hint="eastAsia" w:cs="Times New Roman"/>
                <w:color w:val="000000" w:themeColor="text1"/>
                <w:spacing w:val="4"/>
                <w:szCs w:val="24"/>
                <w:highlight w:val="none"/>
                <w:lang w:val="en-US" w:eastAsia="zh-CN"/>
                <w14:textFill>
                  <w14:solidFill>
                    <w14:schemeClr w14:val="tx1"/>
                  </w14:solidFill>
                </w14:textFill>
              </w:rPr>
              <w:t>提出以下要求：</w:t>
            </w:r>
          </w:p>
          <w:p>
            <w:pPr>
              <w:pStyle w:val="105"/>
              <w:spacing w:line="480" w:lineRule="exact"/>
              <w:ind w:firstLine="463" w:firstLineChars="187"/>
              <w:rPr>
                <w:rFonts w:hint="default" w:ascii="Times New Roman" w:hAnsi="Times New Roman" w:eastAsia="宋体" w:cs="Times New Roman"/>
                <w:b w:val="0"/>
                <w:color w:val="000000" w:themeColor="text1"/>
                <w:spacing w:val="4"/>
                <w:szCs w:val="24"/>
                <w:highlight w:val="none"/>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a</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.危废必须分类装入符合标准的容器内；</w:t>
            </w:r>
          </w:p>
          <w:p>
            <w:pPr>
              <w:pStyle w:val="105"/>
              <w:spacing w:line="480" w:lineRule="exact"/>
              <w:ind w:firstLine="463" w:firstLineChars="187"/>
              <w:rPr>
                <w:rFonts w:hint="eastAsia" w:ascii="Times New Roman" w:hAnsi="Times New Roman" w:eastAsia="宋体" w:cs="Times New Roman"/>
                <w:b w:val="0"/>
                <w:color w:val="000000" w:themeColor="text1"/>
                <w:spacing w:val="4"/>
                <w:szCs w:val="24"/>
                <w:highlight w:val="none"/>
                <w:lang w:eastAsia="zh-CN"/>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b</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.盛装危险废物的容器上必须粘贴符合《危险废物贮存污染控制标准》（GB18597-2001）附录A所示的标签</w:t>
            </w:r>
            <w:r>
              <w:rPr>
                <w:rFonts w:hint="eastAsia" w:ascii="Times New Roman" w:hAnsi="Times New Roman" w:cs="Times New Roman"/>
                <w:b w:val="0"/>
                <w:color w:val="000000" w:themeColor="text1"/>
                <w:spacing w:val="4"/>
                <w:szCs w:val="24"/>
                <w:highlight w:val="none"/>
                <w:lang w:eastAsia="zh-CN"/>
                <w14:textFill>
                  <w14:solidFill>
                    <w14:schemeClr w14:val="tx1"/>
                  </w14:solidFill>
                </w14:textFill>
              </w:rPr>
              <w:t>；</w:t>
            </w:r>
          </w:p>
          <w:p>
            <w:pPr>
              <w:pStyle w:val="105"/>
              <w:spacing w:line="480" w:lineRule="exact"/>
              <w:ind w:firstLine="463" w:firstLineChars="187"/>
              <w:rPr>
                <w:rFonts w:hint="default" w:ascii="Times New Roman" w:hAnsi="Times New Roman" w:eastAsia="宋体" w:cs="Times New Roman"/>
                <w:b w:val="0"/>
                <w:color w:val="000000" w:themeColor="text1"/>
                <w:spacing w:val="4"/>
                <w:szCs w:val="24"/>
                <w:highlight w:val="none"/>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c</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w:t>
            </w: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危废间</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不得接收未粘贴上述规定的标签或标签填写不规范的危险废物；</w:t>
            </w:r>
          </w:p>
          <w:p>
            <w:pPr>
              <w:pStyle w:val="105"/>
              <w:spacing w:line="480" w:lineRule="exact"/>
              <w:ind w:firstLine="463" w:firstLineChars="187"/>
              <w:rPr>
                <w:rFonts w:hint="default" w:ascii="Times New Roman" w:hAnsi="Times New Roman" w:eastAsia="宋体" w:cs="Times New Roman"/>
                <w:b w:val="0"/>
                <w:color w:val="000000" w:themeColor="text1"/>
                <w:spacing w:val="4"/>
                <w:szCs w:val="24"/>
                <w:highlight w:val="none"/>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d</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 xml:space="preserve">.必须作好危险废物记录，记录上须注明危险废物的名称、来源、数量、特性和包装容器的类别、入库日期、存放库位、废物出库日期及接收单位名称； </w:t>
            </w:r>
          </w:p>
          <w:p>
            <w:pPr>
              <w:pStyle w:val="105"/>
              <w:spacing w:line="480" w:lineRule="exact"/>
              <w:ind w:firstLine="463" w:firstLineChars="187"/>
              <w:rPr>
                <w:rFonts w:hint="default" w:ascii="Times New Roman" w:hAnsi="Times New Roman" w:eastAsia="宋体" w:cs="Times New Roman"/>
                <w:b w:val="0"/>
                <w:color w:val="000000" w:themeColor="text1"/>
                <w:spacing w:val="4"/>
                <w:szCs w:val="24"/>
                <w:highlight w:val="none"/>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e.</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危险废物的记录和货单在危险废物回取后应继续保留三年。</w:t>
            </w:r>
          </w:p>
          <w:p>
            <w:pPr>
              <w:pStyle w:val="105"/>
              <w:spacing w:line="480" w:lineRule="exact"/>
              <w:ind w:firstLine="463" w:firstLineChars="187"/>
              <w:rPr>
                <w:rFonts w:hint="default" w:ascii="Times New Roman" w:hAnsi="Times New Roman" w:eastAsia="宋体" w:cs="Times New Roman"/>
                <w:b w:val="0"/>
                <w:color w:val="000000" w:themeColor="text1"/>
                <w:spacing w:val="4"/>
                <w:szCs w:val="24"/>
                <w:highlight w:val="none"/>
                <w14:textFill>
                  <w14:solidFill>
                    <w14:schemeClr w14:val="tx1"/>
                  </w14:solidFill>
                </w14:textFill>
              </w:rPr>
            </w:pPr>
            <w:r>
              <w:rPr>
                <w:rFonts w:hint="eastAsia" w:ascii="Times New Roman" w:hAnsi="Times New Roman" w:cs="Times New Roman"/>
                <w:b w:val="0"/>
                <w:color w:val="000000" w:themeColor="text1"/>
                <w:spacing w:val="4"/>
                <w:szCs w:val="24"/>
                <w:highlight w:val="none"/>
                <w:lang w:val="en-US" w:eastAsia="zh-CN"/>
                <w14:textFill>
                  <w14:solidFill>
                    <w14:schemeClr w14:val="tx1"/>
                  </w14:solidFill>
                </w14:textFill>
              </w:rPr>
              <w:t>f</w:t>
            </w:r>
            <w:r>
              <w:rPr>
                <w:rFonts w:hint="default" w:ascii="Times New Roman" w:hAnsi="Times New Roman" w:eastAsia="宋体" w:cs="Times New Roman"/>
                <w:b w:val="0"/>
                <w:color w:val="000000" w:themeColor="text1"/>
                <w:spacing w:val="4"/>
                <w:szCs w:val="24"/>
                <w:highlight w:val="none"/>
                <w14:textFill>
                  <w14:solidFill>
                    <w14:schemeClr w14:val="tx1"/>
                  </w14:solidFill>
                </w14:textFill>
              </w:rPr>
              <w:t>.必须定期对所贮存的危险废物包装容器及贮存设施进行检查，发现破损，应及时采取措施清理更换；</w:t>
            </w:r>
          </w:p>
          <w:p>
            <w:pPr>
              <w:pStyle w:val="105"/>
              <w:spacing w:line="480" w:lineRule="exact"/>
              <w:ind w:firstLine="396" w:firstLineChars="160"/>
              <w:rPr>
                <w:rFonts w:hint="default" w:ascii="Times New Roman" w:hAnsi="Times New Roman" w:eastAsia="宋体" w:cs="Times New Roman"/>
                <w:b w:val="0"/>
                <w:bCs/>
                <w:color w:val="000000" w:themeColor="text1"/>
                <w:spacing w:val="4"/>
                <w:szCs w:val="24"/>
                <w:highlight w:val="red"/>
                <w14:textFill>
                  <w14:solidFill>
                    <w14:schemeClr w14:val="tx1"/>
                  </w14:solidFill>
                </w14:textFill>
              </w:rPr>
            </w:pPr>
            <w:r>
              <w:rPr>
                <w:rFonts w:hint="eastAsia" w:ascii="Times New Roman" w:hAnsi="Times New Roman" w:cs="Times New Roman"/>
                <w:b w:val="0"/>
                <w:bCs/>
                <w:color w:val="000000" w:themeColor="text1"/>
                <w:spacing w:val="4"/>
                <w:szCs w:val="24"/>
                <w:highlight w:val="none"/>
                <w:lang w:val="en-US" w:eastAsia="zh-CN"/>
                <w14:textFill>
                  <w14:solidFill>
                    <w14:schemeClr w14:val="tx1"/>
                  </w14:solidFill>
                </w14:textFill>
              </w:rPr>
              <w:t>g</w:t>
            </w:r>
            <w:r>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t>.</w:t>
            </w:r>
            <w:r>
              <w:rPr>
                <w:rFonts w:hint="eastAsia" w:ascii="Times New Roman" w:hAnsi="Times New Roman" w:cs="Times New Roman"/>
                <w:b w:val="0"/>
                <w:bCs/>
                <w:color w:val="000000" w:themeColor="text1"/>
                <w:spacing w:val="4"/>
                <w:szCs w:val="24"/>
                <w:highlight w:val="none"/>
                <w:lang w:val="en-US" w:eastAsia="zh-CN"/>
                <w14:textFill>
                  <w14:solidFill>
                    <w14:schemeClr w14:val="tx1"/>
                  </w14:solidFill>
                </w14:textFill>
              </w:rPr>
              <w:t>危废间定期检查更新</w:t>
            </w:r>
            <w:r>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t>灭火器等防火设备，做好火灾的预防工作；</w:t>
            </w:r>
          </w:p>
          <w:p>
            <w:pPr>
              <w:pStyle w:val="105"/>
              <w:spacing w:line="480" w:lineRule="exact"/>
              <w:ind w:firstLine="396" w:firstLineChars="160"/>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pPr>
            <w:r>
              <w:rPr>
                <w:rFonts w:hint="eastAsia" w:ascii="Times New Roman" w:hAnsi="Times New Roman" w:cs="Times New Roman"/>
                <w:b w:val="0"/>
                <w:bCs/>
                <w:color w:val="000000" w:themeColor="text1"/>
                <w:spacing w:val="4"/>
                <w:szCs w:val="24"/>
                <w:highlight w:val="none"/>
                <w:lang w:val="en-US" w:eastAsia="zh-CN"/>
                <w14:textFill>
                  <w14:solidFill>
                    <w14:schemeClr w14:val="tx1"/>
                  </w14:solidFill>
                </w14:textFill>
              </w:rPr>
              <w:t>h</w:t>
            </w:r>
            <w:r>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t xml:space="preserve">.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pStyle w:val="105"/>
              <w:spacing w:line="480" w:lineRule="exact"/>
              <w:ind w:firstLine="496"/>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pPr>
            <w:r>
              <w:rPr>
                <w:rFonts w:hint="eastAsia" w:ascii="Times New Roman" w:hAnsi="Times New Roman" w:cs="Times New Roman"/>
                <w:b w:val="0"/>
                <w:bCs/>
                <w:color w:val="000000" w:themeColor="text1"/>
                <w:spacing w:val="4"/>
                <w:szCs w:val="24"/>
                <w:highlight w:val="none"/>
                <w:lang w:val="en-US" w:eastAsia="zh-CN"/>
                <w14:textFill>
                  <w14:solidFill>
                    <w14:schemeClr w14:val="tx1"/>
                  </w14:solidFill>
                </w14:textFill>
              </w:rPr>
              <w:t>i</w:t>
            </w:r>
            <w:r>
              <w:rPr>
                <w:rFonts w:hint="default" w:ascii="Times New Roman" w:hAnsi="Times New Roman" w:eastAsia="宋体" w:cs="Times New Roman"/>
                <w:b w:val="0"/>
                <w:bCs/>
                <w:color w:val="000000" w:themeColor="text1"/>
                <w:spacing w:val="4"/>
                <w:szCs w:val="24"/>
                <w:highlight w:val="none"/>
                <w14:textFill>
                  <w14:solidFill>
                    <w14:schemeClr w14:val="tx1"/>
                  </w14:solidFill>
                </w14:textFill>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480" w:lineRule="exact"/>
              <w:ind w:firstLine="496"/>
              <w:rPr>
                <w:rFonts w:hint="default" w:ascii="Times New Roman" w:hAnsi="Times New Roman" w:eastAsia="宋体" w:cs="Times New Roman"/>
                <w:color w:val="000000" w:themeColor="text1"/>
                <w:spacing w:val="4"/>
                <w:szCs w:val="24"/>
                <w:highlight w:val="none"/>
                <w14:textFill>
                  <w14:solidFill>
                    <w14:schemeClr w14:val="tx1"/>
                  </w14:solidFill>
                </w14:textFill>
              </w:rPr>
            </w:pPr>
            <w:r>
              <w:rPr>
                <w:rFonts w:hint="eastAsia" w:cs="Times New Roman"/>
                <w:color w:val="000000" w:themeColor="text1"/>
                <w:spacing w:val="4"/>
                <w:szCs w:val="24"/>
                <w:highlight w:val="none"/>
                <w:lang w:val="en-US" w:eastAsia="zh-CN"/>
                <w14:textFill>
                  <w14:solidFill>
                    <w14:schemeClr w14:val="tx1"/>
                  </w14:solidFill>
                </w14:textFill>
              </w:rPr>
              <w:t>j</w:t>
            </w:r>
            <w:r>
              <w:rPr>
                <w:rFonts w:hint="default" w:ascii="Times New Roman" w:hAnsi="Times New Roman" w:eastAsia="宋体" w:cs="Times New Roman"/>
                <w:color w:val="000000" w:themeColor="text1"/>
                <w:spacing w:val="4"/>
                <w:szCs w:val="24"/>
                <w:highlight w:val="none"/>
                <w14:textFill>
                  <w14:solidFill>
                    <w14:schemeClr w14:val="tx1"/>
                  </w14:solidFill>
                </w14:textFill>
              </w:rPr>
              <w:t>.联单保存期限为五年；贮存危险废物的，其联单保存期限与危险废物贮存期限相同。</w:t>
            </w:r>
          </w:p>
          <w:p>
            <w:pPr>
              <w:pStyle w:val="12"/>
              <w:rPr>
                <w:rFonts w:hint="default"/>
              </w:rPr>
            </w:pPr>
            <w:r>
              <w:rPr>
                <w:rFonts w:hint="eastAsia"/>
                <w:lang w:val="en-US" w:eastAsia="zh-CN"/>
              </w:rPr>
              <w:t>本项目产生的危险废物在采取以上措施后</w:t>
            </w:r>
            <w:r>
              <w:rPr>
                <w:rFonts w:hint="default"/>
              </w:rPr>
              <w:t>对环境的影响很小。</w:t>
            </w:r>
          </w:p>
          <w:p>
            <w:pPr>
              <w:spacing w:line="480" w:lineRule="exact"/>
              <w:ind w:firstLine="482"/>
              <w:rPr>
                <w:rFonts w:hint="default" w:ascii="Times New Roman" w:hAnsi="Times New Roman" w:eastAsia="宋体" w:cs="Times New Roman"/>
                <w:b/>
                <w:bCs/>
                <w:color w:val="000000" w:themeColor="text1"/>
                <w:szCs w:val="32"/>
                <w:highlight w:val="none"/>
                <w14:textFill>
                  <w14:solidFill>
                    <w14:schemeClr w14:val="tx1"/>
                  </w14:solidFill>
                </w14:textFill>
              </w:rPr>
            </w:pPr>
            <w:r>
              <w:rPr>
                <w:rFonts w:hint="default" w:ascii="Times New Roman" w:hAnsi="Times New Roman" w:eastAsia="宋体" w:cs="Times New Roman"/>
                <w:b/>
                <w:bCs/>
                <w:color w:val="000000" w:themeColor="text1"/>
                <w:szCs w:val="32"/>
                <w:highlight w:val="none"/>
                <w14:textFill>
                  <w14:solidFill>
                    <w14:schemeClr w14:val="tx1"/>
                  </w14:solidFill>
                </w14:textFill>
              </w:rPr>
              <w:t>五、土壤影响分析</w:t>
            </w:r>
          </w:p>
          <w:p>
            <w:pPr>
              <w:spacing w:line="480" w:lineRule="exact"/>
              <w:ind w:firstLine="480"/>
              <w:rPr>
                <w:rFonts w:hint="default" w:ascii="Times New Roman" w:hAnsi="Times New Roman" w:eastAsia="宋体" w:cs="Times New Roman"/>
                <w:bCs/>
                <w:color w:val="000000" w:themeColor="text1"/>
                <w:kern w:val="0"/>
                <w:highlight w:val="none"/>
                <w14:textFill>
                  <w14:solidFill>
                    <w14:schemeClr w14:val="tx1"/>
                  </w14:solidFill>
                </w14:textFill>
              </w:rPr>
            </w:pPr>
            <w:r>
              <w:rPr>
                <w:rFonts w:hint="default" w:ascii="Times New Roman" w:hAnsi="Times New Roman" w:eastAsia="宋体" w:cs="Times New Roman"/>
                <w:bCs/>
                <w:color w:val="000000" w:themeColor="text1"/>
                <w:kern w:val="0"/>
                <w:highlight w:val="none"/>
                <w14:textFill>
                  <w14:solidFill>
                    <w14:schemeClr w14:val="tx1"/>
                  </w14:solidFill>
                </w14:textFill>
              </w:rPr>
              <w:t>本项目为矿井水处理项目，根据《环境影响评价技术导则  土壤环境》（HJ964-2018）附录A，属于电力热力燃气及水生产和工业中的其他类别，为</w:t>
            </w:r>
            <w:r>
              <w:rPr>
                <w:rFonts w:hint="default" w:ascii="Times New Roman" w:hAnsi="Times New Roman" w:eastAsia="宋体" w:cs="Times New Roman"/>
                <w:bCs/>
                <w:color w:val="000000" w:themeColor="text1"/>
                <w:kern w:val="0"/>
                <w:highlight w:val="none"/>
                <w14:textFill>
                  <w14:solidFill>
                    <w14:schemeClr w14:val="tx1"/>
                  </w14:solidFill>
                </w14:textFill>
              </w:rPr>
              <w:fldChar w:fldCharType="begin"/>
            </w:r>
            <w:r>
              <w:rPr>
                <w:rFonts w:hint="default" w:ascii="Times New Roman" w:hAnsi="Times New Roman" w:eastAsia="宋体" w:cs="Times New Roman"/>
                <w:bCs/>
                <w:color w:val="000000" w:themeColor="text1"/>
                <w:kern w:val="0"/>
                <w:highlight w:val="none"/>
                <w14:textFill>
                  <w14:solidFill>
                    <w14:schemeClr w14:val="tx1"/>
                  </w14:solidFill>
                </w14:textFill>
              </w:rPr>
              <w:instrText xml:space="preserve"> = 4 \* ROMAN </w:instrText>
            </w:r>
            <w:r>
              <w:rPr>
                <w:rFonts w:hint="default" w:ascii="Times New Roman" w:hAnsi="Times New Roman" w:eastAsia="宋体" w:cs="Times New Roman"/>
                <w:bCs/>
                <w:color w:val="000000" w:themeColor="text1"/>
                <w:kern w:val="0"/>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kern w:val="0"/>
                <w:highlight w:val="none"/>
                <w14:textFill>
                  <w14:solidFill>
                    <w14:schemeClr w14:val="tx1"/>
                  </w14:solidFill>
                </w14:textFill>
              </w:rPr>
              <w:t>IV</w:t>
            </w:r>
            <w:r>
              <w:rPr>
                <w:rFonts w:hint="default" w:ascii="Times New Roman" w:hAnsi="Times New Roman" w:eastAsia="宋体" w:cs="Times New Roman"/>
                <w:bCs/>
                <w:color w:val="000000" w:themeColor="text1"/>
                <w:kern w:val="0"/>
                <w:highlight w:val="none"/>
                <w14:textFill>
                  <w14:solidFill>
                    <w14:schemeClr w14:val="tx1"/>
                  </w14:solidFill>
                </w14:textFill>
              </w:rPr>
              <w:fldChar w:fldCharType="end"/>
            </w:r>
            <w:r>
              <w:rPr>
                <w:rFonts w:hint="default" w:ascii="Times New Roman" w:hAnsi="Times New Roman" w:eastAsia="宋体" w:cs="Times New Roman"/>
                <w:bCs/>
                <w:color w:val="000000" w:themeColor="text1"/>
                <w:kern w:val="0"/>
                <w:highlight w:val="none"/>
                <w14:textFill>
                  <w14:solidFill>
                    <w14:schemeClr w14:val="tx1"/>
                  </w14:solidFill>
                </w14:textFill>
              </w:rPr>
              <w:t>类建设项目，不需要进行土壤评价。</w:t>
            </w:r>
          </w:p>
          <w:p>
            <w:pPr>
              <w:spacing w:line="480" w:lineRule="exact"/>
              <w:ind w:firstLine="482"/>
              <w:rPr>
                <w:rFonts w:hint="default" w:ascii="Times New Roman" w:hAnsi="Times New Roman" w:eastAsia="宋体" w:cs="Times New Roman"/>
                <w:b/>
                <w:bCs/>
                <w:color w:val="000000" w:themeColor="text1"/>
                <w:szCs w:val="32"/>
                <w:highlight w:val="none"/>
                <w14:textFill>
                  <w14:solidFill>
                    <w14:schemeClr w14:val="tx1"/>
                  </w14:solidFill>
                </w14:textFill>
              </w:rPr>
            </w:pPr>
            <w:r>
              <w:rPr>
                <w:rFonts w:hint="default" w:ascii="Times New Roman" w:hAnsi="Times New Roman" w:eastAsia="宋体" w:cs="Times New Roman"/>
                <w:b/>
                <w:bCs/>
                <w:color w:val="000000" w:themeColor="text1"/>
                <w:szCs w:val="32"/>
                <w:highlight w:val="none"/>
                <w14:textFill>
                  <w14:solidFill>
                    <w14:schemeClr w14:val="tx1"/>
                  </w14:solidFill>
                </w14:textFill>
              </w:rPr>
              <w:t>六、地下水影响分析</w:t>
            </w:r>
          </w:p>
          <w:p>
            <w:pPr>
              <w:spacing w:line="480" w:lineRule="exact"/>
              <w:ind w:firstLine="480"/>
              <w:contextualSpacing/>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根据《环境影响评价技术导则·地下水环境》（HJ610-2016）附录A对项目的分类要求，本项目属于“U城镇基础设施及房地146、海水淡化、其他水处理及应用”，地下水环境影响评价</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4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IV</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类项目，不需开展地下水评价。</w:t>
            </w:r>
          </w:p>
          <w:p>
            <w:pPr>
              <w:spacing w:line="480" w:lineRule="exact"/>
              <w:ind w:firstLine="480"/>
              <w:contextualSpacing/>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本项目虽然不进行地下水评价，但是为了防止新建的调节池</w:t>
            </w:r>
            <w:r>
              <w:rPr>
                <w:rFonts w:hint="eastAsia" w:ascii="Times New Roman" w:hAnsi="Times New Roman" w:cs="Times New Roman"/>
                <w:color w:val="000000" w:themeColor="text1"/>
                <w:highlight w:val="none"/>
                <w:lang w:val="en-US" w:eastAsia="zh-CN"/>
                <w14:textFill>
                  <w14:solidFill>
                    <w14:schemeClr w14:val="tx1"/>
                  </w14:solidFill>
                </w14:textFill>
              </w:rPr>
              <w:t>可能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对地下水产生影响，特本次要求新建的调节池应</w:t>
            </w:r>
            <w:r>
              <w:rPr>
                <w:rFonts w:hint="eastAsia" w:ascii="Times New Roman" w:hAnsi="Times New Roman" w:cs="Times New Roman"/>
                <w:color w:val="000000" w:themeColor="text1"/>
                <w:highlight w:val="none"/>
                <w:lang w:val="en-US" w:eastAsia="zh-CN"/>
                <w14:textFill>
                  <w14:solidFill>
                    <w14:schemeClr w14:val="tx1"/>
                  </w14:solidFill>
                </w14:textFill>
              </w:rPr>
              <w:t>同已经经过验收且合格的原有调节池、污水处理间、危废间等同等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作为重点防渗单元</w:t>
            </w:r>
            <w:r>
              <w:rPr>
                <w:rFonts w:hint="eastAsia" w:ascii="Times New Roman" w:hAnsi="Times New Roman" w:cs="Times New Roman"/>
                <w:color w:val="000000" w:themeColor="text1"/>
                <w:highlight w:val="none"/>
                <w:lang w:val="en-US" w:eastAsia="zh-CN"/>
                <w14:textFill>
                  <w14:solidFill>
                    <w14:schemeClr w14:val="tx1"/>
                  </w14:solidFill>
                </w14:textFill>
              </w:rPr>
              <w:t>对待</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，采取相应的防渗措施，</w:t>
            </w:r>
            <w:r>
              <w:rPr>
                <w:rFonts w:hint="eastAsia" w:ascii="Times New Roman" w:hAnsi="Times New Roman" w:cs="Times New Roman"/>
                <w:color w:val="000000" w:themeColor="text1"/>
                <w:highlight w:val="none"/>
                <w:lang w:val="en-US" w:eastAsia="zh-CN"/>
                <w14:textFill>
                  <w14:solidFill>
                    <w14:schemeClr w14:val="tx1"/>
                  </w14:solidFill>
                </w14:textFill>
              </w:rPr>
              <w:t>并</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具体的防渗措施见下表。</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w:t>
            </w:r>
            <w:r>
              <w:rPr>
                <w:rFonts w:hint="eastAsia" w:cs="Times New Roman"/>
                <w:lang w:val="en-US" w:eastAsia="zh-CN"/>
              </w:rPr>
              <w:t>20</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本次评价要求采取的防渗处理措施一览表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742"/>
              <w:gridCol w:w="888"/>
              <w:gridCol w:w="1580"/>
              <w:gridCol w:w="5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420" w:type="pct"/>
                  <w:vAlign w:val="center"/>
                </w:tcPr>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场地</w:t>
                  </w:r>
                </w:p>
              </w:tc>
              <w:tc>
                <w:tcPr>
                  <w:tcW w:w="503" w:type="pct"/>
                  <w:vAlign w:val="center"/>
                </w:tcPr>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防渗</w:t>
                  </w:r>
                </w:p>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分区</w:t>
                  </w:r>
                </w:p>
              </w:tc>
              <w:tc>
                <w:tcPr>
                  <w:tcW w:w="895" w:type="pct"/>
                  <w:vAlign w:val="center"/>
                </w:tcPr>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防渗技</w:t>
                  </w:r>
                </w:p>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术要求</w:t>
                  </w:r>
                </w:p>
              </w:tc>
              <w:tc>
                <w:tcPr>
                  <w:tcW w:w="2929" w:type="pct"/>
                  <w:vAlign w:val="center"/>
                </w:tcPr>
                <w:p>
                  <w:pPr>
                    <w:pStyle w:val="124"/>
                    <w:spacing w:before="0" w:line="320" w:lineRule="exact"/>
                    <w:ind w:firstLine="0" w:firstLine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采取的防渗处理措施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pPr>
                    <w:pStyle w:val="124"/>
                    <w:spacing w:before="0"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420" w:type="pct"/>
                  <w:vAlign w:val="center"/>
                </w:tcPr>
                <w:p>
                  <w:pPr>
                    <w:pStyle w:val="124"/>
                    <w:spacing w:before="0" w:line="320" w:lineRule="exact"/>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新建调节池</w:t>
                  </w:r>
                </w:p>
              </w:tc>
              <w:tc>
                <w:tcPr>
                  <w:tcW w:w="503" w:type="pct"/>
                  <w:vAlign w:val="center"/>
                </w:tcPr>
                <w:p>
                  <w:pPr>
                    <w:pStyle w:val="124"/>
                    <w:spacing w:before="0" w:line="32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w:t>
                  </w:r>
                </w:p>
              </w:tc>
              <w:tc>
                <w:tcPr>
                  <w:tcW w:w="895" w:type="pct"/>
                  <w:vAlign w:val="center"/>
                </w:tcPr>
                <w:p>
                  <w:pPr>
                    <w:pStyle w:val="124"/>
                    <w:spacing w:before="0" w:line="32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等效粘土防渗层Mb≥6.0m，K≤1×10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2929" w:type="pct"/>
                  <w:vAlign w:val="center"/>
                </w:tcPr>
                <w:p>
                  <w:pPr>
                    <w:pStyle w:val="124"/>
                    <w:spacing w:before="0" w:line="320" w:lineRule="exact"/>
                    <w:ind w:firstLine="420" w:firstLineChars="20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钢筋混凝土池体，池底及池壁为抗渗混凝土，强度等级为C30，抗渗等级为P8，内掺8%防渗抗裂剂，</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底部铺设土工防渗膜，</w:t>
                  </w:r>
                  <w:r>
                    <w:rPr>
                      <w:rFonts w:hint="default" w:ascii="Times New Roman" w:hAnsi="Times New Roman" w:eastAsia="宋体" w:cs="Times New Roman"/>
                      <w:color w:val="000000" w:themeColor="text1"/>
                      <w:sz w:val="21"/>
                      <w:szCs w:val="21"/>
                      <w:highlight w:val="none"/>
                      <w14:textFill>
                        <w14:solidFill>
                          <w14:schemeClr w14:val="tx1"/>
                        </w14:solidFill>
                      </w14:textFill>
                    </w:rPr>
                    <w:t>池体内表面刷防腐防渗涂料。垫层为强度等级为 C15 的素混凝土。基础土分层夯实，压实系数不小于0.95。</w:t>
                  </w:r>
                </w:p>
              </w:tc>
            </w:tr>
          </w:tbl>
          <w:p>
            <w:pPr>
              <w:spacing w:line="480" w:lineRule="exact"/>
              <w:ind w:firstLine="482"/>
              <w:contextualSpacing/>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七、环境风险分析</w:t>
            </w:r>
          </w:p>
          <w:p>
            <w:pPr>
              <w:pStyle w:val="5"/>
              <w:spacing w:line="480" w:lineRule="exact"/>
              <w:ind w:firstLine="48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（1）风险源调查</w:t>
            </w:r>
          </w:p>
          <w:p>
            <w:pPr>
              <w:adjustRightInd w:val="0"/>
              <w:snapToGrid w:val="0"/>
              <w:spacing w:line="48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通过对主要原辅材料、产品、污染物等进行分析识别，确定本项目的风险源主要为次氯酸钠。</w:t>
            </w:r>
          </w:p>
          <w:p>
            <w:pPr>
              <w:adjustRightInd w:val="0"/>
              <w:snapToGrid w:val="0"/>
              <w:spacing w:line="480" w:lineRule="exact"/>
              <w:ind w:firstLine="496"/>
              <w:rPr>
                <w:rFonts w:hint="default" w:ascii="Times New Roman" w:hAnsi="Times New Roman" w:eastAsia="宋体" w:cs="Times New Roman"/>
                <w:color w:val="000000" w:themeColor="text1"/>
                <w:spacing w:val="4"/>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其特性与危害毒性详见下表</w:t>
            </w:r>
            <w:r>
              <w:rPr>
                <w:rFonts w:hint="default" w:ascii="Times New Roman" w:hAnsi="Times New Roman" w:eastAsia="宋体" w:cs="Times New Roman"/>
                <w:b/>
                <w:color w:val="000000" w:themeColor="text1"/>
                <w:highlight w:val="none"/>
                <w14:textFill>
                  <w14:solidFill>
                    <w14:schemeClr w14:val="tx1"/>
                  </w14:solidFill>
                </w14:textFill>
              </w:rPr>
              <w:t>：</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w:t>
            </w:r>
            <w:r>
              <w:rPr>
                <w:rFonts w:hint="eastAsia" w:cs="Times New Roman"/>
                <w:lang w:val="en-US" w:eastAsia="zh-CN"/>
              </w:rPr>
              <w:t>21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次氯酸钠特性与危害毒性一览表</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2462"/>
              <w:gridCol w:w="1421"/>
              <w:gridCol w:w="35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分子式</w:t>
                  </w:r>
                </w:p>
              </w:tc>
              <w:tc>
                <w:tcPr>
                  <w:tcW w:w="139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NaClO</w:t>
                  </w:r>
                </w:p>
              </w:tc>
              <w:tc>
                <w:tcPr>
                  <w:tcW w:w="804"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外观与性状</w:t>
                  </w:r>
                </w:p>
              </w:tc>
              <w:tc>
                <w:tcPr>
                  <w:tcW w:w="201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微黄色</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"https://www.wiki8.com/rongye_109794/" \o "医学百科：溶液"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溶液</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，有似氯气的</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"https://www.wiki8.com/qiwei_10539/" \o "医学百科：气味"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气味</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沸  点</w:t>
                  </w:r>
                </w:p>
              </w:tc>
              <w:tc>
                <w:tcPr>
                  <w:tcW w:w="139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102.2℃</w:t>
                  </w:r>
                </w:p>
              </w:tc>
              <w:tc>
                <w:tcPr>
                  <w:tcW w:w="804"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溶解性</w:t>
                  </w:r>
                </w:p>
              </w:tc>
              <w:tc>
                <w:tcPr>
                  <w:tcW w:w="201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溶于水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密  度</w:t>
                  </w:r>
                </w:p>
              </w:tc>
              <w:tc>
                <w:tcPr>
                  <w:tcW w:w="139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相对密度（水=1）1.10</w:t>
                  </w:r>
                </w:p>
              </w:tc>
              <w:tc>
                <w:tcPr>
                  <w:tcW w:w="804"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稳定性</w:t>
                  </w:r>
                </w:p>
              </w:tc>
              <w:tc>
                <w:tcPr>
                  <w:tcW w:w="2013" w:type="pct"/>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不稳定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主要用途</w:t>
                  </w:r>
                </w:p>
              </w:tc>
              <w:tc>
                <w:tcPr>
                  <w:tcW w:w="4211" w:type="pct"/>
                  <w:gridSpan w:val="3"/>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用于水的</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"https://www.wiki8.com/jinghua_160342/" \o "医学百科：净化"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净化</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，以及作</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"https://www.wiki8.com/xiaoduji_123037/" \o "医学百科：消毒剂"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消毒剂</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、纸浆漂白等，医药工业中用制氯胺等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健康危害</w:t>
                  </w:r>
                </w:p>
              </w:tc>
              <w:tc>
                <w:tcPr>
                  <w:tcW w:w="4211" w:type="pct"/>
                  <w:gridSpan w:val="3"/>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侵入途径：</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"https://www.wiki8.com/xiru_2755/" \o "医学百科：吸入"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吸入</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、食入、经皮</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"https://www.wiki8.com/xishou_40743/" \o "医学百科：吸收"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吸收</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。健康危害：次氯酸钠放出的游离氯可引起</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"https://www.wiki8.com/zhongdu_5311/" \o "医学百科：中毒"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中毒</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，亦可引起</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"https://www.wiki8.com/pifu_40706/" \o "医学百科：皮肤"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皮肤</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病。已知本品有</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"https://www.wiki8.com/zhiminzuoyong_143680/" \o "医学百科：致敏作用"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致敏作用</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。用次氯酸钠漂白液洗手的工人，手掌大量</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"https://www.wiki8.com/chuhan_104651/" \o "医学百科：出汗"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出汗</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"https://www.wiki8.com/zhijia_5414/" \o "医学百科：指甲"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指甲</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变薄，</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"https://www.wiki8.com/maofatuoluo_150861/" \o "医学百科：毛发脱落"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毛发脱落</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毒理学资料及环境行为</w:t>
                  </w:r>
                </w:p>
              </w:tc>
              <w:tc>
                <w:tcPr>
                  <w:tcW w:w="4211" w:type="pct"/>
                  <w:gridSpan w:val="3"/>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"https://www.wiki8.com/jixingduxing_122309/" \o "医学百科：急性毒性"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急性毒性</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"https://www.wiki8.com/LD_143700/" \o "医学百科：LD"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LD</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z w:val="21"/>
                      <w:highlight w:val="none"/>
                      <w14:textFill>
                        <w14:solidFill>
                          <w14:schemeClr w14:val="tx1"/>
                        </w14:solidFill>
                      </w14:textFill>
                    </w:rPr>
                    <w:t>5800mg/kg（小鼠经口）危险特性：受</w:t>
                  </w:r>
                  <w:r>
                    <w:rPr>
                      <w:rFonts w:hint="default" w:ascii="Times New Roman" w:hAnsi="Times New Roman" w:eastAsia="宋体" w:cs="Times New Roman"/>
                      <w:color w:val="000000" w:themeColor="text1"/>
                      <w:sz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highlight w:val="none"/>
                      <w14:textFill>
                        <w14:solidFill>
                          <w14:schemeClr w14:val="tx1"/>
                        </w14:solidFill>
                      </w14:textFill>
                    </w:rPr>
                    <w:instrText xml:space="preserve"> HYPERLINK "https://www.wiki8.com/gaore_20766/" \o "医学百科：高热" </w:instrText>
                  </w:r>
                  <w:r>
                    <w:rPr>
                      <w:rFonts w:hint="default" w:ascii="Times New Roman" w:hAnsi="Times New Roman" w:eastAsia="宋体" w:cs="Times New Roman"/>
                      <w:color w:val="000000" w:themeColor="text1"/>
                      <w:sz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高热</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"https://www.wiki8.com/fenjie+fenmian_151071/" \o "医学百科：分解"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分解</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产生有毒的腐蚀性</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"https://www.wiki8.com/qiti_150120/" \o "医学百科：气体"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气体</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。有腐蚀性。燃烧（分解）产物：</w:t>
                  </w:r>
                  <w:r>
                    <w:rPr>
                      <w:rFonts w:hint="default" w:ascii="Times New Roman" w:hAnsi="Times New Roman" w:eastAsia="宋体" w:cs="Times New Roman"/>
                      <w:color w:val="000000" w:themeColor="text1"/>
                      <w:sz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highlight w:val="none"/>
                      <w14:textFill>
                        <w14:solidFill>
                          <w14:schemeClr w14:val="tx1"/>
                        </w14:solidFill>
                      </w14:textFill>
                    </w:rPr>
                    <w:instrText xml:space="preserve"> HYPERLINK "https://www.wiki8.com/lvhua_148764/" \o "医学百科：氯化" </w:instrText>
                  </w:r>
                  <w:r>
                    <w:rPr>
                      <w:rFonts w:hint="default" w:ascii="Times New Roman" w:hAnsi="Times New Roman" w:eastAsia="宋体" w:cs="Times New Roman"/>
                      <w:color w:val="000000" w:themeColor="text1"/>
                      <w:sz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氯化</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泄漏应急处理</w:t>
                  </w:r>
                </w:p>
              </w:tc>
              <w:tc>
                <w:tcPr>
                  <w:tcW w:w="4211" w:type="pct"/>
                  <w:gridSpan w:val="3"/>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疏散泄漏</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"https://www.wiki8.com/wuranqu_162168/" \o "医学百科：污染区"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污染区</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人员至安全区，禁止无关人员进入污染区，建议就急处理人员戴好防毒面具，穿相应的工作服。不要直接接触泄漏物，在确保安全情况下堵漏。用沙土、蛭石或其它惰性材料吸收，</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"https://www.wiki8.com/ranhou_147893/" \o "医学百科：然后"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然后</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"https://www.wiki8.com/zhuanyi_104069/" \o "医学百科：转移"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转移</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到安全场所。如大量泄漏，利用围堤收容，然后收集、转移、回收或无害处理后废弃。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防护措施</w:t>
                  </w:r>
                </w:p>
              </w:tc>
              <w:tc>
                <w:tcPr>
                  <w:tcW w:w="4211" w:type="pct"/>
                  <w:gridSpan w:val="3"/>
                  <w:vAlign w:val="center"/>
                </w:tcPr>
                <w:p>
                  <w:pPr>
                    <w:adjustRightInd w:val="0"/>
                    <w:snapToGrid w:val="0"/>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"https://www.wiki8.com/huxixitong_48371/" \o "医学百科：呼吸系统"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呼吸系统</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防护：高浓度环境中，应该佩带</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"https://www.wiki8.com/fangdukouzhao_122313/" \o "医学百科：防毒口罩"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防毒口罩</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。紧急事态抢救或逃生时，建议佩带自给式呼</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"https://www.wiki8.com/xiqi_106345/" \o "医学百科：吸器"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吸器</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。眼睛防护：戴化学安全防护眼镜。</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"https://www.wiki8.com/fanghufu_149385/" \o "医学百科：防护服"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防护服</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：穿工作服（</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"https://www.wiki8.com/fangfu_137477/" \o "医学百科：防腐"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防腐</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材料制作）。手防护：戴橡皮手套。其它：工作后，淋浴更衣。</w:t>
                  </w:r>
                  <w:r>
                    <w:rPr>
                      <w:rFonts w:hint="default" w:ascii="Times New Roman" w:hAnsi="Times New Roman" w:eastAsia="宋体" w:cs="Times New Roman"/>
                      <w:color w:val="000000" w:themeColor="text1"/>
                      <w:sz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highlight w:val="none"/>
                      <w14:textFill>
                        <w14:solidFill>
                          <w14:schemeClr w14:val="tx1"/>
                        </w14:solidFill>
                      </w14:textFill>
                    </w:rPr>
                    <w:instrText xml:space="preserve"> HYPERLINK "https://www.wiki8.com/zhuyi_123212/" \o "医学百科：注意" </w:instrText>
                  </w:r>
                  <w:r>
                    <w:rPr>
                      <w:rFonts w:hint="default" w:ascii="Times New Roman" w:hAnsi="Times New Roman" w:eastAsia="宋体" w:cs="Times New Roman"/>
                      <w:color w:val="000000" w:themeColor="text1"/>
                      <w:sz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注意</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个人</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"https://www.wiki8.com/qingjie_123034/" \o "医学百科：清洁"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color w:val="000000" w:themeColor="text1"/>
                      <w:sz w:val="21"/>
                      <w:highlight w:val="none"/>
                      <w14:textFill>
                        <w14:solidFill>
                          <w14:schemeClr w14:val="tx1"/>
                        </w14:solidFill>
                      </w14:textFill>
                    </w:rPr>
                    <w:t>清洁</w:t>
                  </w:r>
                  <w:r>
                    <w:rPr>
                      <w:rFonts w:hint="default" w:ascii="Times New Roman" w:hAnsi="Times New Roman" w:eastAsia="宋体" w:cs="Times New Roman"/>
                      <w:color w:val="000000" w:themeColor="text1"/>
                      <w:sz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highlight w:val="none"/>
                      <w14:textFill>
                        <w14:solidFill>
                          <w14:schemeClr w14:val="tx1"/>
                        </w14:solidFill>
                      </w14:textFill>
                    </w:rPr>
                    <w:t>卫生。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pct"/>
                  <w:vAlign w:val="center"/>
                </w:tcPr>
                <w:p>
                  <w:pPr>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急救措施</w:t>
                  </w:r>
                </w:p>
              </w:tc>
              <w:tc>
                <w:tcPr>
                  <w:tcW w:w="4211" w:type="pct"/>
                  <w:gridSpan w:val="3"/>
                  <w:vAlign w:val="center"/>
                </w:tcPr>
                <w:p>
                  <w:pPr>
                    <w:pStyle w:val="24"/>
                    <w:adjustRightInd w:val="0"/>
                    <w:snapToGrid w:val="0"/>
                    <w:spacing w:before="0" w:beforeAutospacing="0" w:after="0" w:afterAutospacing="0" w:line="320" w:lineRule="exact"/>
                    <w:ind w:firstLine="42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皮肤接触：脱去污染的衣着，用大量流动清水彻底冲洗。眼睛接触：立即提起眼睑，用大量流动清水彻底冲洗。吸入：脱离现场至空气新鲜处。必要时进行人工呼吸。就医。食入：误服者给饮大量温水，催吐，就医。灭火方法：雾状水、二氧化碳、砂土、泡沫。</w:t>
                  </w:r>
                </w:p>
              </w:tc>
            </w:tr>
          </w:tbl>
          <w:p>
            <w:pPr>
              <w:pStyle w:val="8"/>
              <w:spacing w:line="480" w:lineRule="exact"/>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（2）风险潜势初判</w:t>
            </w:r>
          </w:p>
          <w:p>
            <w:pPr>
              <w:spacing w:line="480" w:lineRule="exact"/>
              <w:ind w:firstLine="480"/>
              <w:rPr>
                <w:rFonts w:hint="default" w:ascii="Times New Roman" w:hAnsi="Times New Roman" w:eastAsia="宋体" w:cs="Times New Roman"/>
                <w:color w:val="000000" w:themeColor="text1"/>
                <w:szCs w:val="20"/>
                <w:highlight w:val="none"/>
                <w14:textFill>
                  <w14:solidFill>
                    <w14:schemeClr w14:val="tx1"/>
                  </w14:solidFill>
                </w14:textFill>
              </w:rPr>
            </w:pPr>
            <w:r>
              <w:rPr>
                <w:rFonts w:hint="default" w:ascii="Times New Roman" w:hAnsi="Times New Roman" w:eastAsia="宋体" w:cs="Times New Roman"/>
                <w:color w:val="000000" w:themeColor="text1"/>
                <w:szCs w:val="20"/>
                <w:highlight w:val="none"/>
                <w14:textFill>
                  <w14:solidFill>
                    <w14:schemeClr w14:val="tx1"/>
                  </w14:solidFill>
                </w14:textFill>
              </w:rPr>
              <w:t>根据《建设项目环境风险评价技术导则》（HJ169-2018），应定量分析危险物质数量与临界量的比值（Q）和所属行业及生产工艺特点（M），按附录C对危险物质及工艺系统危险性（P）等级进行判断。</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w:t>
            </w:r>
            <w:r>
              <w:rPr>
                <w:rFonts w:hint="eastAsia" w:cs="Times New Roman"/>
                <w:lang w:val="en-US" w:eastAsia="zh-CN"/>
              </w:rPr>
              <w:t>22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建设项目环境风险潜势划分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597"/>
              <w:gridCol w:w="1614"/>
              <w:gridCol w:w="1601"/>
              <w:gridCol w:w="1597"/>
              <w:gridCol w:w="1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序号</w:t>
                  </w:r>
                </w:p>
              </w:tc>
              <w:tc>
                <w:tcPr>
                  <w:tcW w:w="1597"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危险物质名称</w:t>
                  </w:r>
                </w:p>
              </w:tc>
              <w:tc>
                <w:tcPr>
                  <w:tcW w:w="1614"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CAS号</w:t>
                  </w:r>
                </w:p>
              </w:tc>
              <w:tc>
                <w:tcPr>
                  <w:tcW w:w="1601"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临界量/t</w:t>
                  </w:r>
                </w:p>
              </w:tc>
              <w:tc>
                <w:tcPr>
                  <w:tcW w:w="1597"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项目最大储量/t</w:t>
                  </w:r>
                </w:p>
              </w:tc>
              <w:tc>
                <w:tcPr>
                  <w:tcW w:w="1597" w:type="dxa"/>
                </w:tcPr>
                <w:p>
                  <w:pPr>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1</w:t>
                  </w:r>
                </w:p>
              </w:tc>
              <w:tc>
                <w:tcPr>
                  <w:tcW w:w="1597"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次氯酸钠</w:t>
                  </w:r>
                </w:p>
              </w:tc>
              <w:tc>
                <w:tcPr>
                  <w:tcW w:w="1614"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7681-52-9</w:t>
                  </w:r>
                </w:p>
              </w:tc>
              <w:tc>
                <w:tcPr>
                  <w:tcW w:w="1601"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5</w:t>
                  </w:r>
                </w:p>
              </w:tc>
              <w:tc>
                <w:tcPr>
                  <w:tcW w:w="1597"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0.5</w:t>
                  </w:r>
                </w:p>
              </w:tc>
              <w:tc>
                <w:tcPr>
                  <w:tcW w:w="1597" w:type="dxa"/>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7" w:type="dxa"/>
                  <w:gridSpan w:val="5"/>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项目环境风险评价Q值</w:t>
                  </w:r>
                  <w:r>
                    <w:rPr>
                      <w:rFonts w:hint="default" w:ascii="Times New Roman" w:hAnsi="Times New Roman" w:eastAsia="宋体" w:cs="Times New Roman"/>
                      <w:bCs/>
                      <w:color w:val="000000" w:themeColor="text1"/>
                      <w:sz w:val="21"/>
                      <w:szCs w:val="18"/>
                      <w:highlight w:val="none"/>
                      <w14:textFill>
                        <w14:solidFill>
                          <w14:schemeClr w14:val="tx1"/>
                        </w14:solidFill>
                      </w14:textFill>
                    </w:rPr>
                    <w:t>Ʃ</w:t>
                  </w:r>
                </w:p>
              </w:tc>
              <w:tc>
                <w:tcPr>
                  <w:tcW w:w="1597" w:type="dxa"/>
                  <w:vAlign w:val="center"/>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0.1</w:t>
                  </w:r>
                </w:p>
              </w:tc>
            </w:tr>
          </w:tbl>
          <w:p>
            <w:pPr>
              <w:autoSpaceDE w:val="0"/>
              <w:autoSpaceDN w:val="0"/>
              <w:adjustRightInd w:val="0"/>
              <w:spacing w:line="480" w:lineRule="exact"/>
              <w:ind w:firstLine="480"/>
              <w:jc w:val="left"/>
              <w:rPr>
                <w:rFonts w:hint="default" w:ascii="Times New Roman" w:hAnsi="Times New Roman" w:eastAsia="宋体" w:cs="Times New Roman"/>
                <w:bCs/>
                <w:color w:val="000000" w:themeColor="text1"/>
                <w:highlight w:val="red"/>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本项目</w:t>
            </w:r>
            <w:r>
              <w:rPr>
                <w:rFonts w:hint="default" w:ascii="Times New Roman" w:hAnsi="Times New Roman" w:eastAsia="宋体" w:cs="Times New Roman"/>
                <w:color w:val="000000" w:themeColor="text1"/>
                <w:kern w:val="0"/>
                <w:highlight w:val="none"/>
                <w14:textFill>
                  <w14:solidFill>
                    <w14:schemeClr w14:val="tx1"/>
                  </w14:solidFill>
                </w14:textFill>
              </w:rPr>
              <w:t>Q=0.1＜1，</w:t>
            </w:r>
            <w:r>
              <w:rPr>
                <w:rFonts w:hint="default" w:ascii="Times New Roman" w:hAnsi="Times New Roman" w:eastAsia="宋体" w:cs="Times New Roman"/>
                <w:bCs/>
                <w:color w:val="000000" w:themeColor="text1"/>
                <w:highlight w:val="none"/>
                <w14:textFill>
                  <w14:solidFill>
                    <w14:schemeClr w14:val="tx1"/>
                  </w14:solidFill>
                </w14:textFill>
              </w:rPr>
              <w:t>因此，确定本项目环境风险</w:t>
            </w:r>
            <w:r>
              <w:rPr>
                <w:rFonts w:hint="default" w:ascii="Times New Roman" w:hAnsi="Times New Roman" w:eastAsia="宋体" w:cs="Times New Roman"/>
                <w:color w:val="000000" w:themeColor="text1"/>
                <w:highlight w:val="none"/>
                <w14:textFill>
                  <w14:solidFill>
                    <w14:schemeClr w14:val="tx1"/>
                  </w14:solidFill>
                </w14:textFill>
              </w:rPr>
              <w:t>潜势</w:t>
            </w:r>
            <w:r>
              <w:rPr>
                <w:rFonts w:hint="default" w:ascii="Times New Roman" w:hAnsi="Times New Roman" w:eastAsia="宋体" w:cs="Times New Roman"/>
                <w:bCs/>
                <w:color w:val="000000" w:themeColor="text1"/>
                <w:highlight w:val="none"/>
                <w14:textFill>
                  <w14:solidFill>
                    <w14:schemeClr w14:val="tx1"/>
                  </w14:solidFill>
                </w14:textFill>
              </w:rPr>
              <w:t>为</w:t>
            </w:r>
            <w:r>
              <w:rPr>
                <w:rFonts w:hint="default" w:ascii="Times New Roman" w:hAnsi="Times New Roman" w:eastAsia="宋体" w:cs="Times New Roman"/>
                <w:color w:val="000000" w:themeColor="text1"/>
                <w:kern w:val="0"/>
                <w:highlight w:val="none"/>
                <w14:textFill>
                  <w14:solidFill>
                    <w14:schemeClr w14:val="tx1"/>
                  </w14:solidFill>
                </w14:textFill>
              </w:rPr>
              <w:t>Ⅰ</w:t>
            </w:r>
            <w:r>
              <w:rPr>
                <w:rFonts w:hint="default" w:ascii="Times New Roman" w:hAnsi="Times New Roman" w:eastAsia="宋体" w:cs="Times New Roman"/>
                <w:bCs/>
                <w:color w:val="000000" w:themeColor="text1"/>
                <w:highlight w:val="none"/>
                <w14:textFill>
                  <w14:solidFill>
                    <w14:schemeClr w14:val="tx1"/>
                  </w14:solidFill>
                </w14:textFill>
              </w:rPr>
              <w:t>。</w:t>
            </w:r>
          </w:p>
          <w:p>
            <w:pPr>
              <w:pStyle w:val="8"/>
              <w:spacing w:line="480" w:lineRule="exact"/>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（3）评价等级</w:t>
            </w:r>
          </w:p>
          <w:p>
            <w:pPr>
              <w:spacing w:line="480" w:lineRule="atLeast"/>
              <w:ind w:firstLine="424" w:firstLineChars="177"/>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根据《建设项目环境风险评价技术导则》（HJ/T169-2018）中的划分依据和原则，本项目环境风险潜势为I，故环境风险评价等级为简单分析。</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w:t>
            </w:r>
            <w:r>
              <w:rPr>
                <w:rFonts w:hint="eastAsia" w:cs="Times New Roman"/>
                <w:lang w:val="en-US" w:eastAsia="zh-CN"/>
              </w:rPr>
              <w:t>23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本项目环境风险简单分析内容表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1276"/>
              <w:gridCol w:w="1843"/>
              <w:gridCol w:w="1216"/>
              <w:gridCol w:w="1194"/>
              <w:gridCol w:w="1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建设项目名称</w:t>
                  </w:r>
                </w:p>
              </w:tc>
              <w:tc>
                <w:tcPr>
                  <w:tcW w:w="6658" w:type="dxa"/>
                  <w:gridSpan w:val="5"/>
                  <w:vAlign w:val="center"/>
                </w:tcPr>
                <w:p>
                  <w:pPr>
                    <w:adjustRightInd w:val="0"/>
                    <w:snapToGrid w:val="0"/>
                    <w:spacing w:line="320" w:lineRule="exact"/>
                    <w:ind w:firstLine="0" w:firstLineChars="0"/>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山西朔州平鲁区兰花永胜煤业有限公司矿井水处理站提标改造项目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建设地点</w:t>
                  </w:r>
                </w:p>
              </w:tc>
              <w:tc>
                <w:tcPr>
                  <w:tcW w:w="127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（山西）省</w:t>
                  </w:r>
                </w:p>
              </w:tc>
              <w:tc>
                <w:tcPr>
                  <w:tcW w:w="1843"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朔州</w:t>
                  </w:r>
                  <w:r>
                    <w:rPr>
                      <w:rFonts w:hint="default" w:ascii="Times New Roman" w:hAnsi="Times New Roman" w:eastAsia="宋体" w:cs="Times New Roman"/>
                      <w:color w:val="000000" w:themeColor="text1"/>
                      <w:sz w:val="21"/>
                      <w:szCs w:val="18"/>
                      <w:highlight w:val="none"/>
                      <w14:textFill>
                        <w14:solidFill>
                          <w14:schemeClr w14:val="tx1"/>
                        </w14:solidFill>
                      </w14:textFill>
                    </w:rPr>
                    <w:t>）市</w:t>
                  </w:r>
                </w:p>
              </w:tc>
              <w:tc>
                <w:tcPr>
                  <w:tcW w:w="121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w:t>
                  </w:r>
                  <w:r>
                    <w:rPr>
                      <w:rFonts w:hint="default" w:ascii="Times New Roman" w:hAnsi="Times New Roman" w:eastAsia="宋体" w:cs="Times New Roman"/>
                      <w:color w:val="000000" w:themeColor="text1"/>
                      <w:sz w:val="21"/>
                      <w:szCs w:val="18"/>
                      <w:highlight w:val="none"/>
                      <w:lang w:eastAsia="zh-CN"/>
                      <w14:textFill>
                        <w14:solidFill>
                          <w14:schemeClr w14:val="tx1"/>
                        </w14:solidFill>
                      </w14:textFill>
                    </w:rPr>
                    <w:t>平鲁</w:t>
                  </w:r>
                  <w:r>
                    <w:rPr>
                      <w:rFonts w:hint="default" w:ascii="Times New Roman" w:hAnsi="Times New Roman" w:eastAsia="宋体" w:cs="Times New Roman"/>
                      <w:color w:val="000000" w:themeColor="text1"/>
                      <w:sz w:val="21"/>
                      <w:szCs w:val="18"/>
                      <w:highlight w:val="none"/>
                      <w14:textFill>
                        <w14:solidFill>
                          <w14:schemeClr w14:val="tx1"/>
                        </w14:solidFill>
                      </w14:textFill>
                    </w:rPr>
                    <w:t>）区</w:t>
                  </w:r>
                </w:p>
              </w:tc>
              <w:tc>
                <w:tcPr>
                  <w:tcW w:w="1194"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w:t>
                  </w:r>
                  <w: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）县</w:t>
                  </w:r>
                </w:p>
              </w:tc>
              <w:tc>
                <w:tcPr>
                  <w:tcW w:w="1129"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w:t>
                  </w:r>
                  <w:r>
                    <w:rPr>
                      <w:rFonts w:hint="default" w:ascii="Times New Roman" w:hAnsi="Times New Roman" w:eastAsia="宋体" w:cs="Times New Roman"/>
                      <w:color w:val="000000" w:themeColor="text1"/>
                      <w:sz w:val="21"/>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18"/>
                      <w:highlight w:val="none"/>
                      <w14:textFill>
                        <w14:solidFill>
                          <w14:schemeClr w14:val="tx1"/>
                        </w14:solidFill>
                      </w14:textFill>
                    </w:rPr>
                    <w:t>）园区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地理坐标</w:t>
                  </w:r>
                </w:p>
              </w:tc>
              <w:tc>
                <w:tcPr>
                  <w:tcW w:w="127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经度</w:t>
                  </w:r>
                </w:p>
              </w:tc>
              <w:tc>
                <w:tcPr>
                  <w:tcW w:w="1843"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E112°26′21.96″</w:t>
                  </w:r>
                </w:p>
              </w:tc>
              <w:tc>
                <w:tcPr>
                  <w:tcW w:w="121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纬度</w:t>
                  </w:r>
                </w:p>
              </w:tc>
              <w:tc>
                <w:tcPr>
                  <w:tcW w:w="2323" w:type="dxa"/>
                  <w:gridSpan w:val="2"/>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N39°36′20.29″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主要危险物质及分布</w:t>
                  </w:r>
                </w:p>
              </w:tc>
              <w:tc>
                <w:tcPr>
                  <w:tcW w:w="6658" w:type="dxa"/>
                  <w:gridSpan w:val="5"/>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污水处理单元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环境影响途径及危害后果（大气、地表水、地下水等）</w:t>
                  </w:r>
                </w:p>
              </w:tc>
              <w:tc>
                <w:tcPr>
                  <w:tcW w:w="6658" w:type="dxa"/>
                  <w:gridSpan w:val="5"/>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1、废水渗漏造成地表水及土壤污染；2、次氯酸钠泄漏对周边大气环境造成污染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6" w:type="dxa"/>
                  <w:vAlign w:val="center"/>
                </w:tcPr>
                <w:p>
                  <w:pPr>
                    <w:tabs>
                      <w:tab w:val="left" w:pos="4660"/>
                    </w:tabs>
                    <w:adjustRightInd w:val="0"/>
                    <w:snapToGrid w:val="0"/>
                    <w:spacing w:line="320" w:lineRule="exact"/>
                    <w:ind w:firstLine="0" w:firstLineChars="0"/>
                    <w:jc w:val="center"/>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风险防范措施要求</w:t>
                  </w:r>
                </w:p>
              </w:tc>
              <w:tc>
                <w:tcPr>
                  <w:tcW w:w="6658" w:type="dxa"/>
                  <w:gridSpan w:val="5"/>
                  <w:vAlign w:val="center"/>
                </w:tcPr>
                <w:p>
                  <w:pPr>
                    <w:pStyle w:val="8"/>
                    <w:spacing w:line="320" w:lineRule="exact"/>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①污水处理站供电采用双电源设计，机械设备选型采用国内外先进产品，其自控水平很高，因此由于电力机械故障造成的事故几率很低；</w:t>
                  </w:r>
                </w:p>
                <w:p>
                  <w:pPr>
                    <w:pStyle w:val="8"/>
                    <w:spacing w:line="320" w:lineRule="exact"/>
                    <w:ind w:firstLine="0" w:firstLineChars="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②当污水系统某一构筑物出现运行异常，必须立即予以排除；</w:t>
                  </w:r>
                </w:p>
                <w:p>
                  <w:pPr>
                    <w:spacing w:line="320" w:lineRule="exact"/>
                    <w:ind w:firstLine="0" w:firstLineChars="0"/>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③为使在事故状态下污水处理站能够迅速恢复正常运行，应在主要水工建筑物的容积上留有相应的缓冲能力，并配有相应的设备(如回流泵、回流管道、阀门及仪表等)。</w:t>
                  </w:r>
                </w:p>
                <w:p>
                  <w:pPr>
                    <w:spacing w:line="320" w:lineRule="exact"/>
                    <w:ind w:firstLine="0" w:firstLineChars="0"/>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④选用优质设备，对污水处理厂各种机械电器、仪表等设备，必须选择质量优良、事故率低、便于维修的产品，关键设备应一备一用，易损部件要有备用件。</w:t>
                  </w:r>
                </w:p>
                <w:p>
                  <w:pPr>
                    <w:spacing w:line="320" w:lineRule="exact"/>
                    <w:ind w:firstLine="0" w:firstLineChars="0"/>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⑤加强事故苗头监控，定期巡检、调节、保养、维修。及时发现有可能引起事故的异常运行苗头，消除事故隐患，防范于未然。</w:t>
                  </w:r>
                </w:p>
                <w:p>
                  <w:pPr>
                    <w:spacing w:line="320" w:lineRule="exact"/>
                    <w:ind w:firstLine="0" w:firstLineChars="0"/>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⑥严格控制处理单元的水量、水质、停留时间、负荷强度等工艺参数，确保处理效果的稳定性。配备流量、水质自动分析监控仪器，定期取样监测。操作人员及时调整，使设各处于最佳工况。如发现不正常现象，立即采取预防措施。</w:t>
                  </w:r>
                </w:p>
                <w:p>
                  <w:pPr>
                    <w:spacing w:line="320" w:lineRule="exact"/>
                    <w:ind w:firstLine="0" w:firstLineChars="0"/>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⑦建立安全操作规程，在平时严格按规程办事，定期对污水处理厂人员的理论知识和操作技能进行培训和检查。</w:t>
                  </w:r>
                </w:p>
                <w:p>
                  <w:pPr>
                    <w:tabs>
                      <w:tab w:val="left" w:pos="4660"/>
                    </w:tabs>
                    <w:adjustRightInd w:val="0"/>
                    <w:snapToGrid w:val="0"/>
                    <w:spacing w:line="320" w:lineRule="exact"/>
                    <w:ind w:firstLine="0" w:firstLineChars="0"/>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bCs/>
                      <w:color w:val="000000" w:themeColor="text1"/>
                      <w:spacing w:val="4"/>
                      <w:sz w:val="21"/>
                      <w:szCs w:val="18"/>
                      <w:highlight w:val="none"/>
                      <w14:textFill>
                        <w14:solidFill>
                          <w14:schemeClr w14:val="tx1"/>
                        </w14:solidFill>
                      </w14:textFill>
                    </w:rPr>
                    <w:t>⑧建立安全责任制度，在日常的工作管理方面建立一套完整的制度，落实到人、明确职责、定期检查。制订风险事故的应急措施，明确事故发生时的应急、抢险操作制度。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4" w:type="dxa"/>
                  <w:gridSpan w:val="6"/>
                  <w:vAlign w:val="center"/>
                </w:tcPr>
                <w:p>
                  <w:pPr>
                    <w:tabs>
                      <w:tab w:val="left" w:pos="4660"/>
                    </w:tabs>
                    <w:adjustRightInd w:val="0"/>
                    <w:snapToGrid w:val="0"/>
                    <w:spacing w:line="320" w:lineRule="exact"/>
                    <w:ind w:firstLine="0" w:firstLineChars="0"/>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填表说明（列出相关信息及评价说明）</w:t>
                  </w:r>
                </w:p>
                <w:p>
                  <w:pPr>
                    <w:tabs>
                      <w:tab w:val="left" w:pos="4660"/>
                    </w:tabs>
                    <w:adjustRightInd w:val="0"/>
                    <w:snapToGrid w:val="0"/>
                    <w:spacing w:line="320" w:lineRule="exact"/>
                    <w:ind w:firstLine="4200" w:firstLineChars="2000"/>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w:t>
                  </w:r>
                </w:p>
              </w:tc>
            </w:tr>
          </w:tbl>
          <w:p>
            <w:pPr>
              <w:pStyle w:val="5"/>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八、环境管理与监测计划</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建成后，项目应设立环境管理组织，负责整个厂区的环保工作，配置管理人员l人，负责对项目废气、废水、噪声和固体废物处理处置情况进行监督管理，对外的环保协调工作，履行环境管理和环境监控职责，现分述如下：</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（1）环境管理职责</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①贯彻执行环境保护法规和标准；</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②建立各种环境管理制度，并经常检查监督；</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③编制项目环境保护规划并组织实施；</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④领导并组织实施项目的环境监测工作，建立监控挡案；</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⑤抓好环境教育和技术培训工作，提高员工素质；</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⑥建立项目有关污染物排放和环保设施运转的规章制度；</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⑦负责日常环境管理工作，并配合环保管理部门做好与其它社会各界有关环保问题的协调工作；</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⑧定期检查监督环保法规执行情况，及时和有关部门联系落实各方面的环保措施，使之正常运行。</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（2）环境监控职责</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①制定环境监测年度计划和实施方案，并建立环保规章制度加以落实；</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②按时完成项目的环境监控计划规定的各项监控任务，并按有关规定编制报告表，负责做好呈报工作；</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③组织并监督环境监测计划的实施；</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④在环境监测基础上，建立项目的污染源档案，了解项目污染物排放量、排放源强、排放规律及相关的污染治理、综合利用情况。</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（3）环境监测计划</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环境监测是环境保护中最重要的环节和技术支持，项目业主应委托有资质的监测单位进行监测，建议每年一次。环保人员应在有关部门和单位进行专业培训。</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开展环境监测的目的在于：</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①检查、跟踪项目投产后运行过程中各项环保措施的实施情况和效果，掌握环境质量的变化动态；</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②了解项目环境设施的运行状况，确保设施的正常运行；</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③了解项目有关的环境质量监控实施情况。</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（4）监测内容</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w:t>
            </w:r>
            <w:r>
              <w:rPr>
                <w:rFonts w:hint="eastAsia" w:cs="Times New Roman"/>
                <w:lang w:val="en-US" w:eastAsia="zh-CN"/>
              </w:rPr>
              <w:t>24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环境监测点位、监测项目及监测频率一览表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64"/>
              <w:gridCol w:w="1220"/>
              <w:gridCol w:w="3106"/>
              <w:gridCol w:w="1710"/>
              <w:gridCol w:w="18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46" w:type="pct"/>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污染源</w:t>
                  </w:r>
                </w:p>
              </w:tc>
              <w:tc>
                <w:tcPr>
                  <w:tcW w:w="691" w:type="pct"/>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监测位置</w:t>
                  </w:r>
                </w:p>
              </w:tc>
              <w:tc>
                <w:tcPr>
                  <w:tcW w:w="1759" w:type="pct"/>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监测项目</w:t>
                  </w:r>
                </w:p>
              </w:tc>
              <w:tc>
                <w:tcPr>
                  <w:tcW w:w="968" w:type="pct"/>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监测频率</w:t>
                  </w:r>
                </w:p>
              </w:tc>
              <w:tc>
                <w:tcPr>
                  <w:tcW w:w="1033" w:type="pct"/>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46" w:type="pct"/>
                  <w:tcBorders>
                    <w:bottom w:val="single" w:color="auto" w:sz="4" w:space="0"/>
                  </w:tcBorders>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废水</w:t>
                  </w:r>
                </w:p>
              </w:tc>
              <w:tc>
                <w:tcPr>
                  <w:tcW w:w="691" w:type="pct"/>
                  <w:tcBorders>
                    <w:bottom w:val="single" w:color="auto" w:sz="4" w:space="0"/>
                  </w:tcBorders>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矿井水处理装置进口、总排口</w:t>
                  </w:r>
                </w:p>
              </w:tc>
              <w:tc>
                <w:tcPr>
                  <w:tcW w:w="1759" w:type="pct"/>
                  <w:tcBorders>
                    <w:bottom w:val="single" w:color="auto" w:sz="4" w:space="0"/>
                  </w:tcBorders>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流量、COD、氨氮、TP</w:t>
                  </w:r>
                </w:p>
              </w:tc>
              <w:tc>
                <w:tcPr>
                  <w:tcW w:w="968" w:type="pct"/>
                  <w:tcBorders>
                    <w:bottom w:val="single" w:color="auto" w:sz="4" w:space="0"/>
                  </w:tcBorders>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val="zh-TW" w:eastAsia="zh-TW" w:bidi="ar"/>
                      <w14:textFill>
                        <w14:solidFill>
                          <w14:schemeClr w14:val="tx1"/>
                        </w14:solidFill>
                      </w14:textFill>
                    </w:rPr>
                    <w:t>自动在线监测</w:t>
                  </w:r>
                </w:p>
              </w:tc>
              <w:tc>
                <w:tcPr>
                  <w:tcW w:w="1033" w:type="pct"/>
                  <w:tcBorders>
                    <w:bottom w:val="single" w:color="auto" w:sz="4" w:space="0"/>
                  </w:tcBorders>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val="zh-TW" w:eastAsia="zh-TW" w:bidi="ar"/>
                      <w14:textFill>
                        <w14:solidFill>
                          <w14:schemeClr w14:val="tx1"/>
                        </w14:solidFill>
                      </w14:textFill>
                    </w:rPr>
                    <w:t>出水口安装在线监测设备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46" w:type="pct"/>
                  <w:tcBorders>
                    <w:top w:val="single" w:color="auto" w:sz="4" w:space="0"/>
                  </w:tcBorders>
                  <w:vAlign w:val="center"/>
                </w:tcPr>
                <w:p>
                  <w:pPr>
                    <w:pStyle w:val="40"/>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大沙沟</w:t>
                  </w:r>
                </w:p>
              </w:tc>
              <w:tc>
                <w:tcPr>
                  <w:tcW w:w="691" w:type="pct"/>
                  <w:tcBorders>
                    <w:top w:val="single" w:color="auto" w:sz="4" w:space="0"/>
                  </w:tcBorders>
                  <w:vAlign w:val="center"/>
                </w:tcPr>
                <w:p>
                  <w:pPr>
                    <w:pStyle w:val="40"/>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排污口下游</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100m处</w:t>
                  </w:r>
                </w:p>
              </w:tc>
              <w:tc>
                <w:tcPr>
                  <w:tcW w:w="1759" w:type="pct"/>
                  <w:tcBorders>
                    <w:top w:val="single" w:color="auto" w:sz="4" w:space="0"/>
                  </w:tcBorders>
                  <w:vAlign w:val="center"/>
                </w:tcPr>
                <w:p>
                  <w:pPr>
                    <w:pStyle w:val="4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流量、COD、氨氮、TP</w:t>
                  </w:r>
                </w:p>
              </w:tc>
              <w:tc>
                <w:tcPr>
                  <w:tcW w:w="968" w:type="pct"/>
                  <w:tcBorders>
                    <w:top w:val="single" w:color="auto" w:sz="4" w:space="0"/>
                  </w:tcBorders>
                  <w:vAlign w:val="center"/>
                </w:tcPr>
                <w:p>
                  <w:pPr>
                    <w:pStyle w:val="40"/>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zh-TW" w:eastAsia="zh-CN" w:bidi="ar"/>
                      <w14:textFill>
                        <w14:solidFill>
                          <w14:schemeClr w14:val="tx1"/>
                        </w14:solidFill>
                      </w14:textFill>
                    </w:rPr>
                    <w:t>枯水期</w:t>
                  </w: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/年/次</w:t>
                  </w:r>
                </w:p>
              </w:tc>
              <w:tc>
                <w:tcPr>
                  <w:tcW w:w="1033" w:type="pct"/>
                  <w:tcBorders>
                    <w:top w:val="single" w:color="auto" w:sz="4" w:space="0"/>
                  </w:tcBorders>
                  <w:vAlign w:val="center"/>
                </w:tcPr>
                <w:p>
                  <w:pPr>
                    <w:pStyle w:val="40"/>
                    <w:rPr>
                      <w:rFonts w:hint="default" w:ascii="Times New Roman" w:hAnsi="Times New Roman" w:eastAsia="宋体" w:cs="Times New Roman"/>
                      <w:color w:val="000000" w:themeColor="text1"/>
                      <w:highlight w:val="none"/>
                      <w:lang w:val="zh-TW" w:eastAsia="zh-CN" w:bidi="ar"/>
                      <w14:textFill>
                        <w14:solidFill>
                          <w14:schemeClr w14:val="tx1"/>
                        </w14:solidFill>
                      </w14:textFill>
                    </w:rPr>
                  </w:pPr>
                  <w:r>
                    <w:rPr>
                      <w:rFonts w:hint="default" w:ascii="Times New Roman" w:hAnsi="Times New Roman" w:eastAsia="宋体" w:cs="Times New Roman"/>
                      <w:color w:val="000000" w:themeColor="text1"/>
                      <w:highlight w:val="none"/>
                      <w:lang w:val="zh-TW" w:eastAsia="zh-CN" w:bidi="ar"/>
                      <w14:textFill>
                        <w14:solidFill>
                          <w14:schemeClr w14:val="tx1"/>
                        </w14:solidFill>
                      </w14:textFill>
                    </w:rPr>
                    <w:t>委托监测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46" w:type="pct"/>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噪声</w:t>
                  </w:r>
                </w:p>
              </w:tc>
              <w:tc>
                <w:tcPr>
                  <w:tcW w:w="691" w:type="pct"/>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厂界</w:t>
                  </w:r>
                </w:p>
              </w:tc>
              <w:tc>
                <w:tcPr>
                  <w:tcW w:w="1759" w:type="pct"/>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L</w:t>
                  </w:r>
                  <w:r>
                    <w:rPr>
                      <w:rFonts w:hint="default" w:ascii="Times New Roman" w:hAnsi="Times New Roman" w:eastAsia="宋体" w:cs="Times New Roman"/>
                      <w:color w:val="000000" w:themeColor="text1"/>
                      <w:highlight w:val="none"/>
                      <w:vertAlign w:val="subscript"/>
                      <w:lang w:bidi="ar"/>
                      <w14:textFill>
                        <w14:solidFill>
                          <w14:schemeClr w14:val="tx1"/>
                        </w14:solidFill>
                      </w14:textFill>
                    </w:rPr>
                    <w:t>eq</w:t>
                  </w:r>
                </w:p>
              </w:tc>
              <w:tc>
                <w:tcPr>
                  <w:tcW w:w="968" w:type="pct"/>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每季度1次</w:t>
                  </w:r>
                </w:p>
              </w:tc>
              <w:tc>
                <w:tcPr>
                  <w:tcW w:w="1033" w:type="pct"/>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委托监测</w:t>
                  </w:r>
                </w:p>
              </w:tc>
            </w:tr>
          </w:tbl>
          <w:p>
            <w:pPr>
              <w:pStyle w:val="42"/>
              <w:spacing w:line="480" w:lineRule="exact"/>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为使地方环保管理部门对污水处理站运行的管理，环评要求在污水排放口安装污水排放在线监测装置，监测内容包括流量、COD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Cr</w:t>
            </w:r>
            <w:r>
              <w:rPr>
                <w:rFonts w:hint="default" w:ascii="Times New Roman" w:hAnsi="Times New Roman" w:eastAsia="宋体" w:cs="Times New Roman"/>
                <w:color w:val="000000" w:themeColor="text1"/>
                <w:sz w:val="24"/>
                <w:highlight w:val="none"/>
                <w14:textFill>
                  <w14:solidFill>
                    <w14:schemeClr w14:val="tx1"/>
                  </w14:solidFill>
                </w14:textFill>
              </w:rPr>
              <w:t>、NH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-N、总磷，在线监测装置的终端和</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朔州市生态环境</w:t>
            </w:r>
            <w:r>
              <w:rPr>
                <w:rFonts w:hint="default" w:ascii="Times New Roman" w:hAnsi="Times New Roman" w:eastAsia="宋体" w:cs="Times New Roman"/>
                <w:color w:val="000000" w:themeColor="text1"/>
                <w:sz w:val="24"/>
                <w:highlight w:val="none"/>
                <w14:textFill>
                  <w14:solidFill>
                    <w14:schemeClr w14:val="tx1"/>
                  </w14:solidFill>
                </w14:textFill>
              </w:rPr>
              <w:t>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平鲁分局</w:t>
            </w:r>
            <w:r>
              <w:rPr>
                <w:rFonts w:hint="default" w:ascii="Times New Roman" w:hAnsi="Times New Roman" w:eastAsia="宋体" w:cs="Times New Roman"/>
                <w:color w:val="000000" w:themeColor="text1"/>
                <w:sz w:val="24"/>
                <w:highlight w:val="none"/>
                <w14:textFill>
                  <w14:solidFill>
                    <w14:schemeClr w14:val="tx1"/>
                  </w14:solidFill>
                </w14:textFill>
              </w:rPr>
              <w:t>电脑监控装置相连接，确保当地</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生态环境</w:t>
            </w:r>
            <w:r>
              <w:rPr>
                <w:rFonts w:hint="default" w:ascii="Times New Roman" w:hAnsi="Times New Roman" w:eastAsia="宋体" w:cs="Times New Roman"/>
                <w:color w:val="000000" w:themeColor="text1"/>
                <w:sz w:val="24"/>
                <w:highlight w:val="none"/>
                <w14:textFill>
                  <w14:solidFill>
                    <w14:schemeClr w14:val="tx1"/>
                  </w14:solidFill>
                </w14:textFill>
              </w:rPr>
              <w:t>管理部门对污水处理站正常运转的管理。</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（5）信息公开计划</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以上监测项目，点位及频率进行监测，每次监测完毕后，及时整理监测数据，以监测报告的形式写出监测分析报告，报告由建设单位备案存档，并报送环保部门，以便公司内各管理部门和地方环保部门及时了解全公司排污及环保治理措施的运行状况，及时发现问题、及时解决，同时由建设单位定期向周边敏感目标、人群公布监测结果。</w:t>
            </w:r>
          </w:p>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九、环保投资估算</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本次项目总投资为</w:t>
            </w:r>
            <w:r>
              <w:rPr>
                <w:rFonts w:hint="eastAsia" w:cs="Times New Roman"/>
                <w:color w:val="000000" w:themeColor="text1"/>
                <w:highlight w:val="none"/>
                <w:lang w:eastAsia="zh-CN"/>
                <w14:textFill>
                  <w14:solidFill>
                    <w14:schemeClr w14:val="tx1"/>
                  </w14:solidFill>
                </w14:textFill>
              </w:rPr>
              <w:t>309</w:t>
            </w:r>
            <w:r>
              <w:rPr>
                <w:rFonts w:hint="default" w:ascii="Times New Roman" w:hAnsi="Times New Roman" w:eastAsia="宋体" w:cs="Times New Roman"/>
                <w:color w:val="000000" w:themeColor="text1"/>
                <w:highlight w:val="none"/>
                <w14:textFill>
                  <w14:solidFill>
                    <w14:schemeClr w14:val="tx1"/>
                  </w14:solidFill>
                </w14:textFill>
              </w:rPr>
              <w:t>万元，其中环保投资为</w:t>
            </w:r>
            <w:r>
              <w:rPr>
                <w:rFonts w:hint="eastAsia" w:cs="Times New Roman"/>
                <w:color w:val="000000" w:themeColor="text1"/>
                <w:highlight w:val="none"/>
                <w:lang w:eastAsia="zh-CN"/>
                <w14:textFill>
                  <w14:solidFill>
                    <w14:schemeClr w14:val="tx1"/>
                  </w14:solidFill>
                </w14:textFill>
              </w:rPr>
              <w:t>309</w:t>
            </w:r>
            <w:r>
              <w:rPr>
                <w:rFonts w:hint="default" w:ascii="Times New Roman" w:hAnsi="Times New Roman" w:eastAsia="宋体" w:cs="Times New Roman"/>
                <w:color w:val="000000" w:themeColor="text1"/>
                <w:highlight w:val="none"/>
                <w14:textFill>
                  <w14:solidFill>
                    <w14:schemeClr w14:val="tx1"/>
                  </w14:solidFill>
                </w14:textFill>
              </w:rPr>
              <w:t>万元，占总投资的100%。本项目污染源污染物排放清单及环境保护投资一览表见</w:t>
            </w:r>
            <w:r>
              <w:rPr>
                <w:rFonts w:hint="default" w:ascii="Times New Roman" w:hAnsi="Times New Roman" w:eastAsia="宋体" w:cs="Times New Roman"/>
                <w:color w:val="000000" w:themeColor="text1"/>
                <w:highlight w:val="none"/>
                <w:lang w:eastAsia="zh-CN"/>
                <w14:textFill>
                  <w14:solidFill>
                    <w14:schemeClr w14:val="tx1"/>
                  </w14:solidFill>
                </w14:textFill>
              </w:rPr>
              <w:t>下</w:t>
            </w:r>
            <w:r>
              <w:rPr>
                <w:rFonts w:hint="default" w:ascii="Times New Roman" w:hAnsi="Times New Roman" w:eastAsia="宋体" w:cs="Times New Roman"/>
                <w:color w:val="000000" w:themeColor="text1"/>
                <w:highlight w:val="none"/>
                <w14:textFill>
                  <w14:solidFill>
                    <w14:schemeClr w14:val="tx1"/>
                  </w14:solidFill>
                </w14:textFill>
              </w:rPr>
              <w:t>表。</w:t>
            </w:r>
          </w:p>
          <w:p>
            <w:pPr>
              <w:pStyle w:val="122"/>
              <w:bidi w:val="0"/>
              <w:rPr>
                <w:rFonts w:hint="default" w:ascii="Times New Roman" w:hAnsi="Times New Roman" w:eastAsia="宋体" w:cs="Times New Roman"/>
              </w:rPr>
            </w:pPr>
            <w:r>
              <w:rPr>
                <w:rFonts w:hint="default" w:ascii="Times New Roman" w:hAnsi="Times New Roman" w:eastAsia="宋体" w:cs="Times New Roman"/>
              </w:rPr>
              <w:t>表7</w:t>
            </w:r>
            <w:r>
              <w:rPr>
                <w:rFonts w:hint="default" w:ascii="Times New Roman" w:hAnsi="Times New Roman" w:eastAsia="宋体" w:cs="Times New Roman"/>
                <w:lang w:val="en-US" w:eastAsia="zh-CN"/>
              </w:rPr>
              <w:t>-</w:t>
            </w:r>
            <w:r>
              <w:rPr>
                <w:rFonts w:hint="eastAsia" w:cs="Times New Roman"/>
                <w:lang w:val="en-US" w:eastAsia="zh-CN"/>
              </w:rPr>
              <w:t>25</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污染防治环保投资估算一览表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62"/>
              <w:gridCol w:w="5865"/>
              <w:gridCol w:w="1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6" w:type="pct"/>
                  <w:shd w:val="clear" w:color="auto" w:fill="auto"/>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序号</w:t>
                  </w:r>
                </w:p>
              </w:tc>
              <w:tc>
                <w:tcPr>
                  <w:tcW w:w="658" w:type="pct"/>
                  <w:shd w:val="clear" w:color="auto" w:fill="auto"/>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名称</w:t>
                  </w:r>
                </w:p>
              </w:tc>
              <w:tc>
                <w:tcPr>
                  <w:tcW w:w="3321" w:type="pct"/>
                  <w:shd w:val="clear" w:color="auto" w:fill="auto"/>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环保治理设施/方案</w:t>
                  </w:r>
                </w:p>
              </w:tc>
              <w:tc>
                <w:tcPr>
                  <w:tcW w:w="623" w:type="pct"/>
                  <w:shd w:val="clear" w:color="auto" w:fill="auto"/>
                  <w:vAlign w:val="center"/>
                </w:tcPr>
                <w:p>
                  <w:pPr>
                    <w:pStyle w:val="40"/>
                    <w:rPr>
                      <w:rFonts w:hint="default" w:ascii="Times New Roman" w:hAnsi="Times New Roman" w:eastAsia="宋体" w:cs="Times New Roman"/>
                      <w:b/>
                      <w:bCs/>
                      <w:color w:val="000000" w:themeColor="text1"/>
                      <w:highlight w:val="none"/>
                      <w:lang w:bidi="ar"/>
                      <w14:textFill>
                        <w14:solidFill>
                          <w14:schemeClr w14:val="tx1"/>
                        </w14:solidFill>
                      </w14:textFill>
                    </w:rPr>
                  </w:pPr>
                  <w:r>
                    <w:rPr>
                      <w:rFonts w:hint="default" w:ascii="Times New Roman" w:hAnsi="Times New Roman" w:eastAsia="宋体" w:cs="Times New Roman"/>
                      <w:b/>
                      <w:bCs/>
                      <w:color w:val="000000" w:themeColor="text1"/>
                      <w:highlight w:val="none"/>
                      <w:lang w:bidi="ar"/>
                      <w14:textFill>
                        <w14:solidFill>
                          <w14:schemeClr w14:val="tx1"/>
                        </w14:solidFill>
                      </w14:textFill>
                    </w:rPr>
                    <w:t>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6" w:type="pct"/>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w:t>
                  </w:r>
                </w:p>
              </w:tc>
              <w:tc>
                <w:tcPr>
                  <w:tcW w:w="658" w:type="pct"/>
                  <w:shd w:val="clear" w:color="auto" w:fill="auto"/>
                  <w:vAlign w:val="center"/>
                </w:tcPr>
                <w:p>
                  <w:pPr>
                    <w:pStyle w:val="40"/>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污水处理车间</w:t>
                  </w:r>
                </w:p>
              </w:tc>
              <w:tc>
                <w:tcPr>
                  <w:tcW w:w="3321" w:type="pct"/>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将现有的预处理能力提升至</w:t>
                  </w:r>
                  <w:r>
                    <w:rPr>
                      <w:rFonts w:hint="eastAsia" w:cs="Times New Roman"/>
                      <w:bCs/>
                      <w:color w:val="000000" w:themeColor="text1"/>
                      <w:highlight w:val="none"/>
                      <w:lang w:val="en-US" w:eastAsia="zh-CN"/>
                      <w14:textFill>
                        <w14:solidFill>
                          <w14:schemeClr w14:val="tx1"/>
                        </w14:solidFill>
                      </w14:textFill>
                    </w:rPr>
                    <w:t>40m</w:t>
                  </w:r>
                  <w:r>
                    <w:rPr>
                      <w:rFonts w:hint="eastAsia" w:cs="Times New Roman"/>
                      <w:bCs/>
                      <w:color w:val="000000" w:themeColor="text1"/>
                      <w:highlight w:val="none"/>
                      <w:vertAlign w:val="superscript"/>
                      <w:lang w:val="en-US" w:eastAsia="zh-CN"/>
                      <w14:textFill>
                        <w14:solidFill>
                          <w14:schemeClr w14:val="tx1"/>
                        </w14:solidFill>
                      </w14:textFill>
                    </w:rPr>
                    <w:t>3</w:t>
                  </w:r>
                  <w:r>
                    <w:rPr>
                      <w:rFonts w:hint="eastAsia" w:cs="Times New Roman"/>
                      <w:bCs/>
                      <w:color w:val="000000" w:themeColor="text1"/>
                      <w:highlight w:val="none"/>
                      <w:lang w:val="en-US" w:eastAsia="zh-CN"/>
                      <w14:textFill>
                        <w14:solidFill>
                          <w14:schemeClr w14:val="tx1"/>
                        </w14:solidFill>
                      </w14:textFill>
                    </w:rPr>
                    <w:t>/h</w:t>
                  </w:r>
                  <w:r>
                    <w:rPr>
                      <w:rFonts w:hint="default" w:ascii="Times New Roman" w:hAnsi="Times New Roman" w:eastAsia="宋体"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新增两套</w:t>
                  </w:r>
                  <w:r>
                    <w:rPr>
                      <w:rFonts w:hint="default" w:ascii="Times New Roman" w:hAnsi="Times New Roman" w:eastAsia="宋体" w:cs="Times New Roman"/>
                      <w:bCs/>
                      <w:color w:val="000000" w:themeColor="text1"/>
                      <w:highlight w:val="none"/>
                      <w:lang w:eastAsia="zh-CN"/>
                      <w14:textFill>
                        <w14:solidFill>
                          <w14:schemeClr w14:val="tx1"/>
                        </w14:solidFill>
                      </w14:textFill>
                    </w:rPr>
                    <w:t>矿井水深度处理</w:t>
                  </w:r>
                  <w:r>
                    <w:rPr>
                      <w:rFonts w:hint="eastAsia" w:cs="Times New Roman"/>
                      <w:bCs/>
                      <w:color w:val="000000" w:themeColor="text1"/>
                      <w:highlight w:val="none"/>
                      <w:lang w:eastAsia="zh-CN"/>
                      <w14:textFill>
                        <w14:solidFill>
                          <w14:schemeClr w14:val="tx1"/>
                        </w14:solidFill>
                      </w14:textFill>
                    </w:rPr>
                    <w:t>设备，均采用超滤的深度处理工艺，其中一套处理能力为</w:t>
                  </w:r>
                  <w:r>
                    <w:rPr>
                      <w:rFonts w:hint="eastAsia"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另外一套处理能力为</w:t>
                  </w:r>
                  <w:r>
                    <w:rPr>
                      <w:rFonts w:hint="eastAsia" w:cs="Times New Roman"/>
                      <w:bCs/>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p>
              </w:tc>
              <w:tc>
                <w:tcPr>
                  <w:tcW w:w="623" w:type="pct"/>
                  <w:shd w:val="clear" w:color="auto" w:fill="auto"/>
                  <w:vAlign w:val="center"/>
                </w:tcPr>
                <w:p>
                  <w:pPr>
                    <w:pStyle w:val="40"/>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eastAsia" w:cs="Times New Roman"/>
                      <w:color w:val="000000" w:themeColor="text1"/>
                      <w:highlight w:val="none"/>
                      <w:lang w:val="en-US" w:eastAsia="zh-CN" w:bidi="ar"/>
                      <w14:textFill>
                        <w14:solidFill>
                          <w14:schemeClr w14:val="tx1"/>
                        </w14:solidFill>
                      </w14:textFill>
                    </w:rPr>
                    <w:t>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6" w:type="pct"/>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2</w:t>
                  </w:r>
                </w:p>
              </w:tc>
              <w:tc>
                <w:tcPr>
                  <w:tcW w:w="658"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室外</w:t>
                  </w:r>
                  <w:r>
                    <w:rPr>
                      <w:rFonts w:hint="default" w:ascii="Times New Roman" w:hAnsi="Times New Roman" w:eastAsia="宋体" w:cs="Times New Roman"/>
                      <w:color w:val="000000" w:themeColor="text1"/>
                      <w:highlight w:val="none"/>
                      <w:lang w:eastAsia="zh-CN" w:bidi="ar"/>
                      <w14:textFill>
                        <w14:solidFill>
                          <w14:schemeClr w14:val="tx1"/>
                        </w14:solidFill>
                      </w14:textFill>
                    </w:rPr>
                    <w:t>明渠</w:t>
                  </w:r>
                </w:p>
              </w:tc>
              <w:tc>
                <w:tcPr>
                  <w:tcW w:w="3321"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建设矿井水室外</w:t>
                  </w:r>
                  <w:r>
                    <w:rPr>
                      <w:rFonts w:hint="default" w:ascii="Times New Roman" w:hAnsi="Times New Roman" w:eastAsia="宋体" w:cs="Times New Roman"/>
                      <w:color w:val="000000" w:themeColor="text1"/>
                      <w:highlight w:val="none"/>
                      <w:lang w:eastAsia="zh-CN" w:bidi="ar"/>
                      <w14:textFill>
                        <w14:solidFill>
                          <w14:schemeClr w14:val="tx1"/>
                        </w14:solidFill>
                      </w14:textFill>
                    </w:rPr>
                    <w:t>明渠1km</w:t>
                  </w:r>
                </w:p>
              </w:tc>
              <w:tc>
                <w:tcPr>
                  <w:tcW w:w="623"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highlight w:val="none"/>
                      <w:lang w:val="en-US" w:eastAsia="zh-CN" w:bidi="ar"/>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6" w:type="pct"/>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3</w:t>
                  </w:r>
                </w:p>
              </w:tc>
              <w:tc>
                <w:tcPr>
                  <w:tcW w:w="658"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噪声</w:t>
                  </w:r>
                </w:p>
              </w:tc>
              <w:tc>
                <w:tcPr>
                  <w:tcW w:w="3321"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设备置于室内，建筑隔声、基础减振降噪</w:t>
                  </w:r>
                </w:p>
              </w:tc>
              <w:tc>
                <w:tcPr>
                  <w:tcW w:w="623"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6" w:type="pct"/>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4</w:t>
                  </w:r>
                </w:p>
              </w:tc>
              <w:tc>
                <w:tcPr>
                  <w:tcW w:w="658"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固体废物</w:t>
                  </w:r>
                </w:p>
              </w:tc>
              <w:tc>
                <w:tcPr>
                  <w:tcW w:w="3321"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去氯化工序产生的废活性炭，以及药剂废弃包装，暂存于工业场地危废暂存间，定期交由有危废处理资质的单位处理</w:t>
                  </w:r>
                </w:p>
              </w:tc>
              <w:tc>
                <w:tcPr>
                  <w:tcW w:w="623"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376" w:type="pct"/>
                  <w:gridSpan w:val="3"/>
                  <w:shd w:val="clear" w:color="auto" w:fill="auto"/>
                  <w:vAlign w:val="center"/>
                </w:tcPr>
                <w:p>
                  <w:pPr>
                    <w:pStyle w:val="40"/>
                    <w:rPr>
                      <w:rFonts w:hint="default" w:ascii="Times New Roman" w:hAnsi="Times New Roman" w:eastAsia="宋体" w:cs="Times New Roman"/>
                      <w:color w:val="000000" w:themeColor="text1"/>
                      <w:highlight w:val="none"/>
                      <w:lang w:bidi="ar"/>
                      <w14:textFill>
                        <w14:solidFill>
                          <w14:schemeClr w14:val="tx1"/>
                        </w14:solidFill>
                      </w14:textFill>
                    </w:rPr>
                  </w:pPr>
                  <w:r>
                    <w:rPr>
                      <w:rFonts w:hint="default" w:ascii="Times New Roman" w:hAnsi="Times New Roman" w:eastAsia="宋体" w:cs="Times New Roman"/>
                      <w:color w:val="000000" w:themeColor="text1"/>
                      <w:highlight w:val="none"/>
                      <w:lang w:bidi="ar"/>
                      <w14:textFill>
                        <w14:solidFill>
                          <w14:schemeClr w14:val="tx1"/>
                        </w14:solidFill>
                      </w14:textFill>
                    </w:rPr>
                    <w:t>总计</w:t>
                  </w:r>
                </w:p>
              </w:tc>
              <w:tc>
                <w:tcPr>
                  <w:tcW w:w="623" w:type="pct"/>
                  <w:shd w:val="clear" w:color="auto" w:fill="auto"/>
                  <w:vAlign w:val="center"/>
                </w:tcPr>
                <w:p>
                  <w:pPr>
                    <w:pStyle w:val="40"/>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309</w:t>
                  </w:r>
                </w:p>
              </w:tc>
            </w:tr>
          </w:tbl>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十、本项目主要污染物排放情况及技改前后“三本帐”计算一览表</w:t>
            </w:r>
          </w:p>
          <w:p>
            <w:pPr>
              <w:pStyle w:val="8"/>
              <w:spacing w:line="480" w:lineRule="exact"/>
              <w:ind w:firstLine="419" w:firstLineChars="169"/>
              <w:rPr>
                <w:rFonts w:hint="default" w:ascii="Times New Roman" w:hAnsi="Times New Roman" w:eastAsia="宋体" w:cs="Times New Roman"/>
                <w:color w:val="000000" w:themeColor="text1"/>
                <w:spacing w:val="4"/>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根据</w:t>
            </w:r>
            <w:r>
              <w:rPr>
                <w:rFonts w:hint="default" w:ascii="Times New Roman" w:hAnsi="Times New Roman" w:eastAsia="宋体" w:cs="Times New Roman"/>
                <w:color w:val="000000" w:themeColor="text1"/>
                <w:sz w:val="24"/>
                <w:szCs w:val="22"/>
                <w:highlight w:val="none"/>
                <w14:textFill>
                  <w14:solidFill>
                    <w14:schemeClr w14:val="tx1"/>
                  </w14:solidFill>
                </w14:textFill>
              </w:rPr>
              <w:t>晋环发[2015]25号“关于印发《山西省环境保护厅建设项目主要污染物排放总量核定办法》的通知”：“工业污水及污水化学需氧量、氨氮污染物核定量指全年经过建设项目所有排放口排到厂区外部环境的污水及污染物量。污水包括生产污水、外排的直接冷却水和清污不分流的间接冷却水、与工业污水混排的厂区生活污水。不包括清污分流的间接冷却水和达地表水环境质量</w:t>
            </w:r>
            <w:r>
              <w:rPr>
                <w:rFonts w:hint="eastAsia" w:cs="Times New Roman"/>
                <w:color w:val="000000" w:themeColor="text1"/>
                <w:sz w:val="24"/>
                <w:szCs w:val="22"/>
                <w:highlight w:val="none"/>
                <w:lang w:eastAsia="zh-CN"/>
                <w14:textFill>
                  <w14:solidFill>
                    <w14:schemeClr w14:val="tx1"/>
                  </w14:solidFill>
                </w14:textFill>
              </w:rPr>
              <w:t>Ⅲ类</w:t>
            </w:r>
            <w:r>
              <w:rPr>
                <w:rFonts w:hint="default" w:ascii="Times New Roman" w:hAnsi="Times New Roman" w:eastAsia="宋体" w:cs="Times New Roman"/>
                <w:color w:val="000000" w:themeColor="text1"/>
                <w:sz w:val="24"/>
                <w:szCs w:val="22"/>
                <w:highlight w:val="none"/>
                <w14:textFill>
                  <w14:solidFill>
                    <w14:schemeClr w14:val="tx1"/>
                  </w14:solidFill>
                </w14:textFill>
              </w:rPr>
              <w:t>及以上水质标准的矿井地下水。”</w:t>
            </w:r>
          </w:p>
          <w:p>
            <w:pPr>
              <w:pStyle w:val="8"/>
              <w:spacing w:line="480" w:lineRule="exact"/>
              <w:ind w:firstLine="419" w:firstLineChars="169"/>
              <w:rPr>
                <w:rFonts w:hint="default" w:ascii="Times New Roman" w:hAnsi="Times New Roman" w:eastAsia="宋体" w:cs="Times New Roman"/>
                <w:color w:val="000000" w:themeColor="text1"/>
                <w:spacing w:val="4"/>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因此，本项目外排矿井水不</w:t>
            </w:r>
            <w:r>
              <w:rPr>
                <w:rFonts w:hint="default" w:ascii="Times New Roman" w:hAnsi="Times New Roman" w:eastAsia="宋体" w:cs="Times New Roman"/>
                <w:color w:val="000000" w:themeColor="text1"/>
                <w:spacing w:val="4"/>
                <w:sz w:val="24"/>
                <w:szCs w:val="32"/>
                <w:highlight w:val="none"/>
                <w:lang w:eastAsia="zh-CN"/>
                <w14:textFill>
                  <w14:solidFill>
                    <w14:schemeClr w14:val="tx1"/>
                  </w14:solidFill>
                </w14:textFill>
              </w:rPr>
              <w:t>申请总量</w:t>
            </w:r>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w:t>
            </w:r>
          </w:p>
          <w:p>
            <w:pPr>
              <w:pStyle w:val="8"/>
              <w:spacing w:line="480" w:lineRule="exact"/>
              <w:ind w:firstLine="419" w:firstLineChars="169"/>
              <w:rPr>
                <w:rFonts w:hint="default" w:ascii="Times New Roman" w:hAnsi="Times New Roman" w:eastAsia="宋体" w:cs="Times New Roman"/>
                <w:color w:val="000000" w:themeColor="text1"/>
                <w:spacing w:val="4"/>
                <w:sz w:val="24"/>
                <w:szCs w:val="32"/>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本项目技改工程</w:t>
            </w:r>
            <w:bookmarkStart w:id="5" w:name="_Hlk534727237"/>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污染物排放“三本账”</w:t>
            </w:r>
            <w:bookmarkEnd w:id="5"/>
            <w:r>
              <w:rPr>
                <w:rFonts w:hint="default" w:ascii="Times New Roman" w:hAnsi="Times New Roman" w:eastAsia="宋体" w:cs="Times New Roman"/>
                <w:color w:val="000000" w:themeColor="text1"/>
                <w:spacing w:val="4"/>
                <w:sz w:val="24"/>
                <w:szCs w:val="32"/>
                <w:highlight w:val="none"/>
                <w14:textFill>
                  <w14:solidFill>
                    <w14:schemeClr w14:val="tx1"/>
                  </w14:solidFill>
                </w14:textFill>
              </w:rPr>
              <w:t>计算如下：</w:t>
            </w: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7-2</w:t>
            </w:r>
            <w:r>
              <w:rPr>
                <w:rFonts w:hint="eastAsia" w:cs="Times New Roman"/>
                <w:lang w:val="en-US" w:eastAsia="zh-CN"/>
              </w:rPr>
              <w:t>6</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水污染物排放“三本帐”计算表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681"/>
              <w:gridCol w:w="1286"/>
              <w:gridCol w:w="1146"/>
              <w:gridCol w:w="1181"/>
              <w:gridCol w:w="1602"/>
              <w:gridCol w:w="1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restart"/>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类别</w:t>
                  </w:r>
                </w:p>
              </w:tc>
              <w:tc>
                <w:tcPr>
                  <w:tcW w:w="952" w:type="pct"/>
                  <w:vMerge w:val="restart"/>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项目</w:t>
                  </w:r>
                </w:p>
              </w:tc>
              <w:tc>
                <w:tcPr>
                  <w:tcW w:w="728" w:type="pct"/>
                  <w:vMerge w:val="restart"/>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技改前排放量</w:t>
                  </w:r>
                </w:p>
              </w:tc>
              <w:tc>
                <w:tcPr>
                  <w:tcW w:w="649" w:type="pct"/>
                  <w:vMerge w:val="restart"/>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技改工程排放量</w:t>
                  </w:r>
                </w:p>
              </w:tc>
              <w:tc>
                <w:tcPr>
                  <w:tcW w:w="1576" w:type="pct"/>
                  <w:gridSpan w:val="2"/>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技改后</w:t>
                  </w:r>
                </w:p>
              </w:tc>
              <w:tc>
                <w:tcPr>
                  <w:tcW w:w="661" w:type="pct"/>
                  <w:vMerge w:val="restart"/>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技改前后增减量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p>
              </w:tc>
              <w:tc>
                <w:tcPr>
                  <w:tcW w:w="952" w:type="pct"/>
                  <w:vMerge w:val="continue"/>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p>
              </w:tc>
              <w:tc>
                <w:tcPr>
                  <w:tcW w:w="728" w:type="pct"/>
                  <w:vMerge w:val="continue"/>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p>
              </w:tc>
              <w:tc>
                <w:tcPr>
                  <w:tcW w:w="649" w:type="pct"/>
                  <w:vMerge w:val="continue"/>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p>
              </w:tc>
              <w:tc>
                <w:tcPr>
                  <w:tcW w:w="669"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以新带老削减量</w:t>
                  </w:r>
                </w:p>
              </w:tc>
              <w:tc>
                <w:tcPr>
                  <w:tcW w:w="906" w:type="pct"/>
                  <w:vAlign w:val="center"/>
                </w:tcPr>
                <w:p>
                  <w:pPr>
                    <w:pStyle w:val="8"/>
                    <w:spacing w:line="320" w:lineRule="exact"/>
                    <w:ind w:firstLine="0" w:firstLineChars="0"/>
                    <w:jc w:val="center"/>
                    <w:rPr>
                      <w:rFonts w:hint="default" w:ascii="Times New Roman" w:hAnsi="Times New Roman" w:eastAsia="宋体" w:cs="Times New Roman"/>
                      <w:b/>
                      <w:bCs/>
                      <w:color w:val="000000" w:themeColor="text1"/>
                      <w:spacing w:val="4"/>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Cs w:val="21"/>
                      <w:highlight w:val="none"/>
                      <w14:textFill>
                        <w14:solidFill>
                          <w14:schemeClr w14:val="tx1"/>
                        </w14:solidFill>
                      </w14:textFill>
                    </w:rPr>
                    <w:t>预测排放总量</w:t>
                  </w:r>
                </w:p>
              </w:tc>
              <w:tc>
                <w:tcPr>
                  <w:tcW w:w="661" w:type="pct"/>
                  <w:vMerge w:val="continue"/>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restart"/>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spacing w:val="4"/>
                      <w:sz w:val="21"/>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废水</w:t>
                  </w:r>
                </w:p>
              </w:tc>
              <w:tc>
                <w:tcPr>
                  <w:tcW w:w="952" w:type="pct"/>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spacing w:val="4"/>
                      <w:sz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highlight w:val="none"/>
                      <w14:textFill>
                        <w14:solidFill>
                          <w14:schemeClr w14:val="tx1"/>
                        </w14:solidFill>
                      </w14:textFill>
                    </w:rPr>
                    <w:t>COD</w:t>
                  </w:r>
                </w:p>
              </w:tc>
              <w:tc>
                <w:tcPr>
                  <w:tcW w:w="728"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Cs w:val="21"/>
                      <w:highlight w:val="none"/>
                      <w:lang w:val="en-US" w:eastAsia="zh-CN"/>
                      <w14:textFill>
                        <w14:solidFill>
                          <w14:schemeClr w14:val="tx1"/>
                        </w14:solidFill>
                      </w14:textFill>
                    </w:rPr>
                    <w:t>0</w:t>
                  </w:r>
                </w:p>
              </w:tc>
              <w:tc>
                <w:tcPr>
                  <w:tcW w:w="649"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c>
                <w:tcPr>
                  <w:tcW w:w="669"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szCs w:val="21"/>
                      <w:highlight w:val="none"/>
                      <w14:textFill>
                        <w14:solidFill>
                          <w14:schemeClr w14:val="tx1"/>
                        </w14:solidFill>
                      </w14:textFill>
                    </w:rPr>
                  </w:pPr>
                  <w:r>
                    <w:rPr>
                      <w:rFonts w:hint="default" w:ascii="Times New Roman" w:hAnsi="Times New Roman" w:eastAsia="宋体" w:cs="Times New Roman"/>
                      <w:color w:val="000000" w:themeColor="text1"/>
                      <w:spacing w:val="4"/>
                      <w:szCs w:val="21"/>
                      <w:highlight w:val="none"/>
                      <w14:textFill>
                        <w14:solidFill>
                          <w14:schemeClr w14:val="tx1"/>
                        </w14:solidFill>
                      </w14:textFill>
                    </w:rPr>
                    <w:t>0</w:t>
                  </w:r>
                </w:p>
              </w:tc>
              <w:tc>
                <w:tcPr>
                  <w:tcW w:w="906"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c>
                <w:tcPr>
                  <w:tcW w:w="661"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sz w:val="21"/>
                      <w:szCs w:val="18"/>
                      <w:highlight w:val="none"/>
                      <w14:textFill>
                        <w14:solidFill>
                          <w14:schemeClr w14:val="tx1"/>
                        </w14:solidFill>
                      </w14:textFill>
                    </w:rPr>
                  </w:pPr>
                </w:p>
              </w:tc>
              <w:tc>
                <w:tcPr>
                  <w:tcW w:w="952" w:type="pct"/>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highlight w:val="none"/>
                      <w14:textFill>
                        <w14:solidFill>
                          <w14:schemeClr w14:val="tx1"/>
                        </w14:solidFill>
                      </w14:textFill>
                    </w:rPr>
                    <w:t>氨氮</w:t>
                  </w:r>
                </w:p>
              </w:tc>
              <w:tc>
                <w:tcPr>
                  <w:tcW w:w="728"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Cs w:val="21"/>
                      <w:highlight w:val="none"/>
                      <w:lang w:val="en-US" w:eastAsia="zh-CN"/>
                      <w14:textFill>
                        <w14:solidFill>
                          <w14:schemeClr w14:val="tx1"/>
                        </w14:solidFill>
                      </w14:textFill>
                    </w:rPr>
                    <w:t>0</w:t>
                  </w:r>
                </w:p>
              </w:tc>
              <w:tc>
                <w:tcPr>
                  <w:tcW w:w="649"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c>
                <w:tcPr>
                  <w:tcW w:w="669"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Cs w:val="21"/>
                      <w:highlight w:val="none"/>
                      <w14:textFill>
                        <w14:solidFill>
                          <w14:schemeClr w14:val="tx1"/>
                        </w14:solidFill>
                      </w14:textFill>
                    </w:rPr>
                    <w:t>0</w:t>
                  </w:r>
                </w:p>
              </w:tc>
              <w:tc>
                <w:tcPr>
                  <w:tcW w:w="906"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c>
                <w:tcPr>
                  <w:tcW w:w="661"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pct"/>
                  <w:vMerge w:val="continue"/>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952" w:type="pct"/>
                  <w:shd w:val="clear" w:color="auto" w:fill="auto"/>
                  <w:vAlign w:val="center"/>
                </w:tcPr>
                <w:p>
                  <w:pPr>
                    <w:spacing w:line="320" w:lineRule="exact"/>
                    <w:ind w:firstLine="0" w:firstLineChars="0"/>
                    <w:jc w:val="center"/>
                    <w:rPr>
                      <w:rFonts w:hint="default" w:ascii="Times New Roman" w:hAnsi="Times New Roman" w:eastAsia="宋体" w:cs="Times New Roman"/>
                      <w:color w:val="000000" w:themeColor="text1"/>
                      <w:spacing w:val="4"/>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highlight w:val="none"/>
                      <w:lang w:val="en-US" w:eastAsia="zh-CN"/>
                      <w14:textFill>
                        <w14:solidFill>
                          <w14:schemeClr w14:val="tx1"/>
                        </w14:solidFill>
                      </w14:textFill>
                    </w:rPr>
                    <w:t>TP</w:t>
                  </w:r>
                </w:p>
              </w:tc>
              <w:tc>
                <w:tcPr>
                  <w:tcW w:w="728"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Cs w:val="21"/>
                      <w:highlight w:val="none"/>
                      <w:lang w:val="en-US" w:eastAsia="zh-CN"/>
                      <w14:textFill>
                        <w14:solidFill>
                          <w14:schemeClr w14:val="tx1"/>
                        </w14:solidFill>
                      </w14:textFill>
                    </w:rPr>
                    <w:t>0</w:t>
                  </w:r>
                </w:p>
              </w:tc>
              <w:tc>
                <w:tcPr>
                  <w:tcW w:w="649" w:type="pct"/>
                  <w:shd w:val="clear" w:color="auto" w:fill="auto"/>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c>
                <w:tcPr>
                  <w:tcW w:w="669" w:type="pct"/>
                  <w:shd w:val="clear" w:color="auto" w:fill="auto"/>
                  <w:vAlign w:val="center"/>
                </w:tcPr>
                <w:p>
                  <w:pPr>
                    <w:pStyle w:val="8"/>
                    <w:spacing w:line="320" w:lineRule="exact"/>
                    <w:ind w:firstLine="0" w:firstLineChars="0"/>
                    <w:jc w:val="center"/>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Cs w:val="21"/>
                      <w:highlight w:val="none"/>
                      <w14:textFill>
                        <w14:solidFill>
                          <w14:schemeClr w14:val="tx1"/>
                        </w14:solidFill>
                      </w14:textFill>
                    </w:rPr>
                    <w:t>0</w:t>
                  </w:r>
                </w:p>
              </w:tc>
              <w:tc>
                <w:tcPr>
                  <w:tcW w:w="906"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c>
                <w:tcPr>
                  <w:tcW w:w="661"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r>
          </w:tbl>
          <w:p>
            <w:pPr>
              <w:pStyle w:val="16"/>
              <w:spacing w:line="480" w:lineRule="exact"/>
              <w:ind w:firstLine="482"/>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建设单位应根据晋环发[2015]25号“关于印发《山西省环境保护厅建设项目主要污染物排放总量核定办法》的通知”要求及相关文件要求，本项目</w:t>
            </w: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无需申请</w:t>
            </w:r>
            <w:r>
              <w:rPr>
                <w:rFonts w:hint="default" w:ascii="Times New Roman" w:hAnsi="Times New Roman" w:eastAsia="宋体" w:cs="Times New Roman"/>
                <w:color w:val="000000" w:themeColor="text1"/>
                <w:sz w:val="24"/>
                <w:szCs w:val="22"/>
                <w:highlight w:val="none"/>
                <w14:textFill>
                  <w14:solidFill>
                    <w14:schemeClr w14:val="tx1"/>
                  </w14:solidFill>
                </w14:textFill>
              </w:rPr>
              <w:t>总量。</w:t>
            </w:r>
          </w:p>
          <w:p>
            <w:pPr>
              <w:pStyle w:val="5"/>
              <w:spacing w:line="480" w:lineRule="exact"/>
              <w:ind w:firstLine="48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十一、污染物排放清单</w:t>
            </w:r>
          </w:p>
          <w:p>
            <w:pPr>
              <w:pStyle w:val="42"/>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项目污染源排放清单见下表。</w:t>
            </w:r>
          </w:p>
        </w:tc>
      </w:tr>
    </w:tbl>
    <w:p>
      <w:pPr>
        <w:pStyle w:val="42"/>
        <w:ind w:firstLine="0" w:firstLineChars="0"/>
        <w:rPr>
          <w:rFonts w:hint="default" w:ascii="Times New Roman" w:hAnsi="Times New Roman" w:eastAsia="宋体" w:cs="Times New Roman"/>
          <w:color w:val="000000" w:themeColor="text1"/>
          <w:highlight w:val="red"/>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pPr>
        <w:pStyle w:val="122"/>
        <w:bidi w:val="0"/>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7-2</w:t>
      </w:r>
      <w:r>
        <w:rPr>
          <w:rFonts w:hint="eastAsia" w:cs="Times New Roman"/>
          <w:lang w:val="en-US" w:eastAsia="zh-CN"/>
        </w:rPr>
        <w:t>7</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污染源污染物排放清单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627"/>
        <w:gridCol w:w="850"/>
        <w:gridCol w:w="1121"/>
        <w:gridCol w:w="1568"/>
        <w:gridCol w:w="1446"/>
        <w:gridCol w:w="3028"/>
        <w:gridCol w:w="1480"/>
        <w:gridCol w:w="1405"/>
        <w:gridCol w:w="25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类别</w:t>
            </w:r>
          </w:p>
        </w:tc>
        <w:tc>
          <w:tcPr>
            <w:tcW w:w="301" w:type="pct"/>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污染源</w:t>
            </w:r>
          </w:p>
        </w:tc>
        <w:tc>
          <w:tcPr>
            <w:tcW w:w="397" w:type="pct"/>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污染物</w:t>
            </w:r>
          </w:p>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名称</w:t>
            </w:r>
          </w:p>
        </w:tc>
        <w:tc>
          <w:tcPr>
            <w:tcW w:w="1067" w:type="pct"/>
            <w:gridSpan w:val="2"/>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产生量</w:t>
            </w:r>
          </w:p>
        </w:tc>
        <w:tc>
          <w:tcPr>
            <w:tcW w:w="1072" w:type="pct"/>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治理措施</w:t>
            </w:r>
          </w:p>
        </w:tc>
        <w:tc>
          <w:tcPr>
            <w:tcW w:w="1021" w:type="pct"/>
            <w:gridSpan w:val="2"/>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排放量</w:t>
            </w:r>
          </w:p>
        </w:tc>
        <w:tc>
          <w:tcPr>
            <w:tcW w:w="917" w:type="pct"/>
            <w:vMerge w:val="restar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01"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97"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555" w:type="pc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产生浓度mg/L</w:t>
            </w:r>
          </w:p>
        </w:tc>
        <w:tc>
          <w:tcPr>
            <w:tcW w:w="512" w:type="pc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产生量t/a</w:t>
            </w:r>
          </w:p>
        </w:tc>
        <w:tc>
          <w:tcPr>
            <w:tcW w:w="1072"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524" w:type="pc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排放浓度mg/L</w:t>
            </w:r>
          </w:p>
        </w:tc>
        <w:tc>
          <w:tcPr>
            <w:tcW w:w="497" w:type="pct"/>
            <w:vAlign w:val="center"/>
          </w:tcPr>
          <w:p>
            <w:pPr>
              <w:pStyle w:val="40"/>
              <w:spacing w:line="320" w:lineRule="exact"/>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排放量t/a</w:t>
            </w:r>
          </w:p>
        </w:tc>
        <w:tc>
          <w:tcPr>
            <w:tcW w:w="917"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废气</w:t>
            </w:r>
          </w:p>
        </w:tc>
        <w:tc>
          <w:tcPr>
            <w:tcW w:w="301"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污水处理单元</w:t>
            </w:r>
          </w:p>
        </w:tc>
        <w:tc>
          <w:tcPr>
            <w:tcW w:w="3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555"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51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107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524"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4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91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水污染物</w:t>
            </w:r>
          </w:p>
        </w:tc>
        <w:tc>
          <w:tcPr>
            <w:tcW w:w="301" w:type="pct"/>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矿井水</w:t>
            </w:r>
          </w:p>
        </w:tc>
        <w:tc>
          <w:tcPr>
            <w:tcW w:w="3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水量</w:t>
            </w:r>
          </w:p>
        </w:tc>
        <w:tc>
          <w:tcPr>
            <w:tcW w:w="555"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51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332470.05</w:t>
            </w:r>
          </w:p>
        </w:tc>
        <w:tc>
          <w:tcPr>
            <w:tcW w:w="1072" w:type="pct"/>
            <w:vMerge w:val="restart"/>
            <w:vAlign w:val="center"/>
          </w:tcPr>
          <w:p>
            <w:pPr>
              <w:pStyle w:val="40"/>
              <w:spacing w:line="320" w:lineRule="exact"/>
              <w:rPr>
                <w:rFonts w:hint="default" w:ascii="Times New Roman" w:hAnsi="Times New Roman" w:eastAsia="宋体" w:cs="Times New Roman"/>
                <w:color w:val="000000" w:themeColor="text1"/>
                <w:szCs w:val="24"/>
                <w:highlight w:val="red"/>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调节、混凝、沉淀、过滤、超滤、消毒</w:t>
            </w:r>
          </w:p>
        </w:tc>
        <w:tc>
          <w:tcPr>
            <w:tcW w:w="524"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4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78750.9</w:t>
            </w:r>
          </w:p>
        </w:tc>
        <w:tc>
          <w:tcPr>
            <w:tcW w:w="917" w:type="pct"/>
            <w:vMerge w:val="restart"/>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《地表水环境质量标准》（GB3838- 2002）的Ⅲ类水体标准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01"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97" w:type="pct"/>
            <w:vAlign w:val="center"/>
          </w:tcPr>
          <w:p>
            <w:pPr>
              <w:spacing w:line="320" w:lineRule="exact"/>
              <w:ind w:firstLine="0" w:firstLineChars="0"/>
              <w:jc w:val="center"/>
              <w:rPr>
                <w:rFonts w:hint="default" w:ascii="Times New Roman" w:hAnsi="Times New Roman" w:eastAsia="宋体" w:cs="Times New Roman"/>
                <w:bCs/>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CODcr</w:t>
            </w:r>
          </w:p>
        </w:tc>
        <w:tc>
          <w:tcPr>
            <w:tcW w:w="1568" w:type="dxa"/>
            <w:vAlign w:val="center"/>
          </w:tcPr>
          <w:p>
            <w:pPr>
              <w:pStyle w:val="40"/>
              <w:ind w:firstLine="0" w:firstLineChars="0"/>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60</w:t>
            </w:r>
          </w:p>
        </w:tc>
        <w:tc>
          <w:tcPr>
            <w:tcW w:w="1446" w:type="dxa"/>
            <w:vAlign w:val="center"/>
          </w:tcPr>
          <w:p>
            <w:pPr>
              <w:pStyle w:val="40"/>
              <w:ind w:firstLine="0" w:firstLineChars="0"/>
              <w:jc w:val="center"/>
              <w:rPr>
                <w:rFonts w:hint="default" w:ascii="Times New Roman" w:hAnsi="Times New Roman" w:eastAsia="宋体" w:cs="Times New Roman"/>
                <w:color w:val="000000" w:themeColor="text1"/>
                <w:kern w:val="0"/>
                <w:sz w:val="2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19.9</w:t>
            </w:r>
          </w:p>
        </w:tc>
        <w:tc>
          <w:tcPr>
            <w:tcW w:w="1072"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524"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20</w:t>
            </w:r>
          </w:p>
        </w:tc>
        <w:tc>
          <w:tcPr>
            <w:tcW w:w="497"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1.575</w:t>
            </w:r>
          </w:p>
        </w:tc>
        <w:tc>
          <w:tcPr>
            <w:tcW w:w="917"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01"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97" w:type="pct"/>
            <w:vAlign w:val="center"/>
          </w:tcPr>
          <w:p>
            <w:pPr>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NH</w:t>
            </w:r>
            <w:r>
              <w:rPr>
                <w:rFonts w:hint="default" w:ascii="Times New Roman" w:hAnsi="Times New Roman" w:eastAsia="宋体" w:cs="Times New Roman"/>
                <w:color w:val="000000" w:themeColor="text1"/>
                <w:sz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highlight w:val="none"/>
                <w14:textFill>
                  <w14:solidFill>
                    <w14:schemeClr w14:val="tx1"/>
                  </w14:solidFill>
                </w14:textFill>
              </w:rPr>
              <w:t>-N</w:t>
            </w:r>
          </w:p>
        </w:tc>
        <w:tc>
          <w:tcPr>
            <w:tcW w:w="1568" w:type="dxa"/>
            <w:vAlign w:val="center"/>
          </w:tcPr>
          <w:p>
            <w:pPr>
              <w:pStyle w:val="40"/>
              <w:ind w:firstLine="0" w:firstLineChars="0"/>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2.5</w:t>
            </w:r>
          </w:p>
        </w:tc>
        <w:tc>
          <w:tcPr>
            <w:tcW w:w="1446" w:type="dxa"/>
            <w:vAlign w:val="center"/>
          </w:tcPr>
          <w:p>
            <w:pPr>
              <w:pStyle w:val="40"/>
              <w:ind w:firstLine="0" w:firstLineChars="0"/>
              <w:jc w:val="center"/>
              <w:rPr>
                <w:rFonts w:hint="default" w:ascii="Times New Roman" w:hAnsi="Times New Roman" w:eastAsia="宋体" w:cs="Times New Roman"/>
                <w:color w:val="000000" w:themeColor="text1"/>
                <w:sz w:val="2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0.831</w:t>
            </w:r>
          </w:p>
        </w:tc>
        <w:tc>
          <w:tcPr>
            <w:tcW w:w="1072"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524"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497"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0.079</w:t>
            </w:r>
          </w:p>
        </w:tc>
        <w:tc>
          <w:tcPr>
            <w:tcW w:w="917"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01" w:type="pct"/>
            <w:vMerge w:val="continue"/>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p>
        </w:tc>
        <w:tc>
          <w:tcPr>
            <w:tcW w:w="397" w:type="pct"/>
            <w:vAlign w:val="center"/>
          </w:tcPr>
          <w:p>
            <w:pPr>
              <w:spacing w:line="320" w:lineRule="exact"/>
              <w:ind w:firstLine="0" w:firstLineChars="0"/>
              <w:jc w:val="center"/>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TP</w:t>
            </w:r>
          </w:p>
        </w:tc>
        <w:tc>
          <w:tcPr>
            <w:tcW w:w="1568" w:type="dxa"/>
            <w:vAlign w:val="center"/>
          </w:tcPr>
          <w:p>
            <w:pPr>
              <w:pStyle w:val="40"/>
              <w:ind w:firstLine="0" w:firstLineChars="0"/>
              <w:rPr>
                <w:rFonts w:hint="default" w:ascii="Times New Roman" w:hAnsi="Times New Roman" w:eastAsia="宋体" w:cs="Times New Roman"/>
                <w:color w:val="000000" w:themeColor="text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0.5</w:t>
            </w:r>
          </w:p>
        </w:tc>
        <w:tc>
          <w:tcPr>
            <w:tcW w:w="1446" w:type="dxa"/>
            <w:vAlign w:val="center"/>
          </w:tcPr>
          <w:p>
            <w:pPr>
              <w:pStyle w:val="40"/>
              <w:ind w:firstLine="0" w:firstLineChars="0"/>
              <w:jc w:val="center"/>
              <w:rPr>
                <w:rFonts w:hint="default" w:ascii="Times New Roman" w:hAnsi="Times New Roman" w:eastAsia="宋体" w:cs="Times New Roman"/>
                <w:color w:val="000000" w:themeColor="text1"/>
                <w:sz w:val="21"/>
                <w:highlight w:val="red"/>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0.166</w:t>
            </w:r>
          </w:p>
        </w:tc>
        <w:tc>
          <w:tcPr>
            <w:tcW w:w="1072"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524" w:type="pct"/>
            <w:vAlign w:val="center"/>
          </w:tcPr>
          <w:p>
            <w:pPr>
              <w:pStyle w:val="4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0.2</w:t>
            </w:r>
          </w:p>
        </w:tc>
        <w:tc>
          <w:tcPr>
            <w:tcW w:w="497" w:type="pct"/>
            <w:vAlign w:val="center"/>
          </w:tcPr>
          <w:p>
            <w:pPr>
              <w:pStyle w:val="40"/>
              <w:ind w:firstLine="0" w:firstLine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0.016</w:t>
            </w:r>
          </w:p>
        </w:tc>
        <w:tc>
          <w:tcPr>
            <w:tcW w:w="917"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固废</w:t>
            </w:r>
          </w:p>
        </w:tc>
        <w:tc>
          <w:tcPr>
            <w:tcW w:w="301" w:type="pct"/>
            <w:vMerge w:val="restart"/>
            <w:vAlign w:val="center"/>
          </w:tcPr>
          <w:p>
            <w:pPr>
              <w:pStyle w:val="40"/>
              <w:spacing w:line="320" w:lineRule="exac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矿井水处理站</w:t>
            </w:r>
          </w:p>
        </w:tc>
        <w:tc>
          <w:tcPr>
            <w:tcW w:w="3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废活性炭</w:t>
            </w:r>
          </w:p>
        </w:tc>
        <w:tc>
          <w:tcPr>
            <w:tcW w:w="1067" w:type="pct"/>
            <w:gridSpan w:val="2"/>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1.0t/a</w:t>
            </w:r>
          </w:p>
        </w:tc>
        <w:tc>
          <w:tcPr>
            <w:tcW w:w="1072" w:type="pct"/>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在危废暂存间存放，定期交由有危废处理资质的单位处置</w:t>
            </w:r>
          </w:p>
        </w:tc>
        <w:tc>
          <w:tcPr>
            <w:tcW w:w="1021" w:type="pct"/>
            <w:gridSpan w:val="2"/>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合理处置</w:t>
            </w:r>
          </w:p>
        </w:tc>
        <w:tc>
          <w:tcPr>
            <w:tcW w:w="917" w:type="pct"/>
            <w:vMerge w:val="restar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《危险废物贮存污染控制标准》（GB18597-2001）、《危险废物储存、贮存、运输技术规范》（HJ2025-2012）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301"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3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药剂废弃包装</w:t>
            </w:r>
          </w:p>
        </w:tc>
        <w:tc>
          <w:tcPr>
            <w:tcW w:w="1067" w:type="pct"/>
            <w:gridSpan w:val="2"/>
            <w:vAlign w:val="center"/>
          </w:tcPr>
          <w:p>
            <w:pPr>
              <w:pStyle w:val="40"/>
              <w:spacing w:line="320" w:lineRule="exact"/>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0.005t/a</w:t>
            </w:r>
          </w:p>
        </w:tc>
        <w:tc>
          <w:tcPr>
            <w:tcW w:w="1072"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c>
          <w:tcPr>
            <w:tcW w:w="1021" w:type="pct"/>
            <w:gridSpan w:val="2"/>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合理处置</w:t>
            </w:r>
          </w:p>
        </w:tc>
        <w:tc>
          <w:tcPr>
            <w:tcW w:w="917" w:type="pct"/>
            <w:vMerge w:val="continue"/>
            <w:vAlign w:val="center"/>
          </w:tcPr>
          <w:p>
            <w:pPr>
              <w:pStyle w:val="40"/>
              <w:spacing w:line="320" w:lineRule="exact"/>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22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301"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泵类</w:t>
            </w:r>
          </w:p>
        </w:tc>
        <w:tc>
          <w:tcPr>
            <w:tcW w:w="39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1067" w:type="pct"/>
            <w:gridSpan w:val="2"/>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-85dB（A）</w:t>
            </w:r>
          </w:p>
        </w:tc>
        <w:tc>
          <w:tcPr>
            <w:tcW w:w="1072"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优选低噪设备，基础减振，室内安装、加强管理</w:t>
            </w:r>
          </w:p>
        </w:tc>
        <w:tc>
          <w:tcPr>
            <w:tcW w:w="1021" w:type="pct"/>
            <w:gridSpan w:val="2"/>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减轻影响</w:t>
            </w:r>
          </w:p>
        </w:tc>
        <w:tc>
          <w:tcPr>
            <w:tcW w:w="917" w:type="pct"/>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《工业企业厂界环境噪声排放标准》（GB 12348-2008）2类标准</w:t>
            </w:r>
          </w:p>
        </w:tc>
      </w:tr>
    </w:tbl>
    <w:p>
      <w:pPr>
        <w:pStyle w:val="3"/>
        <w:rPr>
          <w:rFonts w:hint="default" w:ascii="Times New Roman" w:hAnsi="Times New Roman" w:eastAsia="宋体" w:cs="Times New Roman"/>
          <w:color w:val="000000" w:themeColor="text1"/>
          <w:highlight w:val="red"/>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26"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八、</w:t>
      </w:r>
      <w:r>
        <w:rPr>
          <w:rFonts w:hint="default" w:ascii="Times New Roman" w:hAnsi="Times New Roman" w:eastAsia="宋体" w:cs="Times New Roman"/>
          <w:color w:val="000000" w:themeColor="text1"/>
          <w:highlight w:val="none"/>
          <w14:textFill>
            <w14:solidFill>
              <w14:schemeClr w14:val="tx1"/>
            </w14:solidFill>
          </w14:textFill>
        </w:rPr>
        <w:t>建设项目拟采取的防治措施及预期治理效果</w:t>
      </w:r>
    </w:p>
    <w:tbl>
      <w:tblPr>
        <w:tblStyle w:val="2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1"/>
        <w:gridCol w:w="1418"/>
        <w:gridCol w:w="1417"/>
        <w:gridCol w:w="3544"/>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top w:val="single" w:color="auto" w:sz="12" w:space="0"/>
              <w:left w:val="single" w:color="auto" w:sz="12" w:space="0"/>
              <w:tl2br w:val="single" w:color="auto" w:sz="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    内容</w:t>
            </w:r>
          </w:p>
          <w:p>
            <w:pPr>
              <w:pStyle w:val="40"/>
              <w:spacing w:line="320" w:lineRule="exact"/>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类型</w:t>
            </w:r>
          </w:p>
        </w:tc>
        <w:tc>
          <w:tcPr>
            <w:tcW w:w="1418" w:type="dxa"/>
            <w:tcBorders>
              <w:top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排放源</w:t>
            </w:r>
          </w:p>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（编号）</w:t>
            </w:r>
          </w:p>
        </w:tc>
        <w:tc>
          <w:tcPr>
            <w:tcW w:w="1417" w:type="dxa"/>
            <w:tcBorders>
              <w:top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w:t>
            </w:r>
          </w:p>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名称</w:t>
            </w:r>
          </w:p>
        </w:tc>
        <w:tc>
          <w:tcPr>
            <w:tcW w:w="3544" w:type="dxa"/>
            <w:tcBorders>
              <w:top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防治措施</w:t>
            </w:r>
          </w:p>
        </w:tc>
        <w:tc>
          <w:tcPr>
            <w:tcW w:w="1487" w:type="dxa"/>
            <w:tcBorders>
              <w:top w:val="single" w:color="auto" w:sz="12" w:space="0"/>
              <w:righ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lef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大气污染物</w:t>
            </w:r>
          </w:p>
        </w:tc>
        <w:tc>
          <w:tcPr>
            <w:tcW w:w="1418" w:type="dxa"/>
            <w:vAlign w:val="center"/>
          </w:tcPr>
          <w:p>
            <w:pPr>
              <w:pStyle w:val="40"/>
              <w:spacing w:line="320" w:lineRule="exact"/>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1417"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3544"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1487" w:type="dxa"/>
            <w:tcBorders>
              <w:righ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lef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水污染物</w:t>
            </w:r>
          </w:p>
        </w:tc>
        <w:tc>
          <w:tcPr>
            <w:tcW w:w="1418"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矿井水处理站</w:t>
            </w:r>
          </w:p>
        </w:tc>
        <w:tc>
          <w:tcPr>
            <w:tcW w:w="1417"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COD、氨氮、TP等</w:t>
            </w:r>
          </w:p>
        </w:tc>
        <w:tc>
          <w:tcPr>
            <w:tcW w:w="3544" w:type="dxa"/>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lang w:eastAsia="zh-CN"/>
                <w14:textFill>
                  <w14:solidFill>
                    <w14:schemeClr w14:val="tx1"/>
                  </w14:solidFill>
                </w14:textFill>
              </w:rPr>
              <w:t>处理</w:t>
            </w:r>
            <w:r>
              <w:rPr>
                <w:rFonts w:hint="default" w:ascii="Times New Roman" w:hAnsi="Times New Roman" w:eastAsia="宋体" w:cs="Times New Roman"/>
                <w:color w:val="000000" w:themeColor="text1"/>
                <w:szCs w:val="24"/>
                <w:highlight w:val="none"/>
                <w14:textFill>
                  <w14:solidFill>
                    <w14:schemeClr w14:val="tx1"/>
                  </w14:solidFill>
                </w14:textFill>
              </w:rPr>
              <w:t>工艺为“</w:t>
            </w:r>
            <w:r>
              <w:rPr>
                <w:rFonts w:hint="eastAsia" w:cs="Times New Roman"/>
                <w:color w:val="000000" w:themeColor="text1"/>
                <w:szCs w:val="24"/>
                <w:highlight w:val="none"/>
                <w:lang w:eastAsia="zh-CN"/>
                <w14:textFill>
                  <w14:solidFill>
                    <w14:schemeClr w14:val="tx1"/>
                  </w14:solidFill>
                </w14:textFill>
              </w:rPr>
              <w:t>调节、混凝、沉淀、过滤、超滤、消毒</w:t>
            </w:r>
            <w:r>
              <w:rPr>
                <w:rFonts w:hint="default" w:ascii="Times New Roman" w:hAnsi="Times New Roman" w:eastAsia="宋体" w:cs="Times New Roman"/>
                <w:color w:val="000000" w:themeColor="text1"/>
                <w:szCs w:val="24"/>
                <w:highlight w:val="none"/>
                <w14:textFill>
                  <w14:solidFill>
                    <w14:schemeClr w14:val="tx1"/>
                  </w14:solidFill>
                </w14:textFill>
              </w:rPr>
              <w:t>”</w:t>
            </w:r>
          </w:p>
        </w:tc>
        <w:tc>
          <w:tcPr>
            <w:tcW w:w="1487" w:type="dxa"/>
            <w:tcBorders>
              <w:righ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left w:val="single" w:color="auto" w:sz="12"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固体废物</w:t>
            </w:r>
          </w:p>
        </w:tc>
        <w:tc>
          <w:tcPr>
            <w:tcW w:w="1418" w:type="dxa"/>
            <w:tcBorders>
              <w:left w:val="single" w:color="auto" w:sz="4" w:space="0"/>
              <w:bottom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污水处理站</w:t>
            </w:r>
          </w:p>
        </w:tc>
        <w:tc>
          <w:tcPr>
            <w:tcW w:w="1417" w:type="dxa"/>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废活性炭、药剂废弃包装等</w:t>
            </w:r>
          </w:p>
        </w:tc>
        <w:tc>
          <w:tcPr>
            <w:tcW w:w="3544" w:type="dxa"/>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在危废暂存间存放，定期交由有危废处理资质的单位处置</w:t>
            </w:r>
          </w:p>
        </w:tc>
        <w:tc>
          <w:tcPr>
            <w:tcW w:w="1487" w:type="dxa"/>
            <w:tcBorders>
              <w:left w:val="single" w:color="auto" w:sz="4" w:space="0"/>
              <w:right w:val="single" w:color="auto" w:sz="12" w:space="0"/>
            </w:tcBorders>
            <w:vAlign w:val="center"/>
          </w:tcPr>
          <w:p>
            <w:pPr>
              <w:pStyle w:val="40"/>
              <w:spacing w:line="320" w:lineRule="exact"/>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left w:val="single" w:color="auto" w:sz="12"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1418" w:type="dxa"/>
            <w:tcBorders>
              <w:right w:val="single" w:color="auto" w:sz="4" w:space="0"/>
            </w:tcBorders>
            <w:vAlign w:val="center"/>
          </w:tcPr>
          <w:p>
            <w:pPr>
              <w:pStyle w:val="40"/>
              <w:spacing w:line="320" w:lineRule="exact"/>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泵类</w:t>
            </w:r>
          </w:p>
        </w:tc>
        <w:tc>
          <w:tcPr>
            <w:tcW w:w="1417" w:type="dxa"/>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设备噪声</w:t>
            </w:r>
          </w:p>
        </w:tc>
        <w:tc>
          <w:tcPr>
            <w:tcW w:w="3544" w:type="dxa"/>
            <w:tcBorders>
              <w:left w:val="single" w:color="auto" w:sz="4" w:space="0"/>
              <w:right w:val="single" w:color="auto" w:sz="4" w:space="0"/>
            </w:tcBorders>
            <w:vAlign w:val="center"/>
          </w:tcPr>
          <w:p>
            <w:pPr>
              <w:pStyle w:val="40"/>
              <w:spacing w:line="32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采用低噪声型，并采取消声、隔声、减振、隔振的措施。</w:t>
            </w:r>
          </w:p>
        </w:tc>
        <w:tc>
          <w:tcPr>
            <w:tcW w:w="1487" w:type="dxa"/>
            <w:tcBorders>
              <w:left w:val="single" w:color="auto" w:sz="4" w:space="0"/>
              <w:right w:val="single" w:color="auto" w:sz="12" w:space="0"/>
            </w:tcBorders>
            <w:vAlign w:val="center"/>
          </w:tcPr>
          <w:p>
            <w:pPr>
              <w:pStyle w:val="40"/>
              <w:spacing w:line="320" w:lineRule="exact"/>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厂界达标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91" w:type="dxa"/>
            <w:tcBorders>
              <w:left w:val="single" w:color="auto" w:sz="12" w:space="0"/>
            </w:tcBorders>
            <w:vAlign w:val="center"/>
          </w:tcPr>
          <w:p>
            <w:pPr>
              <w:pStyle w:val="40"/>
              <w:spacing w:line="320" w:lineRule="exact"/>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其他</w:t>
            </w:r>
          </w:p>
        </w:tc>
        <w:tc>
          <w:tcPr>
            <w:tcW w:w="7866" w:type="dxa"/>
            <w:gridSpan w:val="4"/>
            <w:tcBorders>
              <w:right w:val="single" w:color="auto" w:sz="12" w:space="0"/>
            </w:tcBorders>
            <w:vAlign w:val="center"/>
          </w:tcPr>
          <w:p>
            <w:pPr>
              <w:pStyle w:val="40"/>
              <w:spacing w:line="320" w:lineRule="exact"/>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057" w:type="dxa"/>
            <w:gridSpan w:val="5"/>
            <w:tcBorders>
              <w:left w:val="single" w:color="auto" w:sz="12" w:space="0"/>
              <w:bottom w:val="single" w:color="auto" w:sz="12" w:space="0"/>
              <w:right w:val="single" w:color="auto" w:sz="12" w:space="0"/>
            </w:tcBorders>
          </w:tcPr>
          <w:p>
            <w:pPr>
              <w:pStyle w:val="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生态保护措施及预期效果：</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1、施工期：本项目排水明渠的修建过程中会占用现有的天然排水沟壑，会造成沟壑中草丛植被的破坏，本次通过采取不占用沟壑以外的土地，明渠硬化，</w:t>
            </w:r>
            <w:r>
              <w:rPr>
                <w:rFonts w:hint="eastAsia" w:ascii="Times New Roman" w:hAnsi="Times New Roman" w:eastAsia="宋体" w:cs="Times New Roman"/>
                <w:snapToGrid w:val="0"/>
                <w:spacing w:val="4"/>
                <w:kern w:val="0"/>
                <w:sz w:val="24"/>
                <w:szCs w:val="24"/>
                <w:highlight w:val="none"/>
                <w:lang w:val="en-US" w:eastAsia="zh-CN" w:bidi="ar-SA"/>
              </w:rPr>
              <w:t>明渠两侧</w:t>
            </w:r>
            <w:r>
              <w:rPr>
                <w:rFonts w:hint="eastAsia" w:cs="Times New Roman"/>
                <w:snapToGrid w:val="0"/>
                <w:spacing w:val="4"/>
                <w:kern w:val="0"/>
                <w:sz w:val="24"/>
                <w:szCs w:val="24"/>
                <w:highlight w:val="none"/>
                <w:lang w:val="en-US" w:eastAsia="zh-CN" w:bidi="ar-SA"/>
              </w:rPr>
              <w:t>以播撒披碱草的方式进行绿化</w:t>
            </w:r>
            <w:r>
              <w:rPr>
                <w:rFonts w:hint="eastAsia"/>
                <w:sz w:val="24"/>
                <w:szCs w:val="24"/>
                <w:lang w:val="en-US" w:eastAsia="zh-CN"/>
              </w:rPr>
              <w:t>等措施后，本项目施工期对生态造成的影响会随之消失。</w:t>
            </w:r>
          </w:p>
          <w:p>
            <w:pPr>
              <w:spacing w:line="480" w:lineRule="exact"/>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2、运营期：</w:t>
            </w:r>
            <w:r>
              <w:rPr>
                <w:rFonts w:hint="default" w:ascii="Times New Roman" w:hAnsi="Times New Roman" w:eastAsia="宋体" w:cs="Times New Roman"/>
                <w:color w:val="000000" w:themeColor="text1"/>
                <w:highlight w:val="none"/>
                <w14:textFill>
                  <w14:solidFill>
                    <w14:schemeClr w14:val="tx1"/>
                  </w14:solidFill>
                </w14:textFill>
              </w:rPr>
              <w:t>项目在运营期</w:t>
            </w:r>
            <w:r>
              <w:rPr>
                <w:rFonts w:hint="eastAsia" w:cs="Times New Roman"/>
                <w:color w:val="000000" w:themeColor="text1"/>
                <w:highlight w:val="none"/>
                <w:lang w:val="en-US" w:eastAsia="zh-CN"/>
                <w14:textFill>
                  <w14:solidFill>
                    <w14:schemeClr w14:val="tx1"/>
                  </w14:solidFill>
                </w14:textFill>
              </w:rPr>
              <w:t>通过</w:t>
            </w:r>
            <w:r>
              <w:rPr>
                <w:rFonts w:hint="default" w:ascii="Times New Roman" w:hAnsi="Times New Roman" w:eastAsia="宋体" w:cs="Times New Roman"/>
                <w:color w:val="000000" w:themeColor="text1"/>
                <w:highlight w:val="none"/>
                <w14:textFill>
                  <w14:solidFill>
                    <w14:schemeClr w14:val="tx1"/>
                  </w14:solidFill>
                </w14:textFill>
              </w:rPr>
              <w:t>加强对生产设施的管理，保证各项设施正常运行，保证本项目矿井水处理后长期稳定达到地表水</w:t>
            </w:r>
            <w:r>
              <w:rPr>
                <w:rFonts w:hint="eastAsia" w:cs="Times New Roman"/>
                <w:color w:val="000000" w:themeColor="text1"/>
                <w:highlight w:val="none"/>
                <w:lang w:eastAsia="zh-CN"/>
                <w14:textFill>
                  <w14:solidFill>
                    <w14:schemeClr w14:val="tx1"/>
                  </w14:solidFill>
                </w14:textFill>
              </w:rPr>
              <w:t>Ⅲ类</w:t>
            </w:r>
            <w:r>
              <w:rPr>
                <w:rFonts w:hint="default" w:ascii="Times New Roman" w:hAnsi="Times New Roman" w:eastAsia="宋体" w:cs="Times New Roman"/>
                <w:color w:val="000000" w:themeColor="text1"/>
                <w:highlight w:val="none"/>
                <w14:textFill>
                  <w14:solidFill>
                    <w14:schemeClr w14:val="tx1"/>
                  </w14:solidFill>
                </w14:textFill>
              </w:rPr>
              <w:t>标准</w:t>
            </w:r>
            <w:r>
              <w:rPr>
                <w:rFonts w:hint="eastAsia" w:ascii="Times New Roman" w:hAnsi="Times New Roman" w:cs="Times New Roman"/>
                <w:color w:val="000000" w:themeColor="text1"/>
                <w:highlight w:val="none"/>
                <w:lang w:val="en-US" w:eastAsia="zh-CN"/>
                <w14:textFill>
                  <w14:solidFill>
                    <w14:schemeClr w14:val="tx1"/>
                  </w14:solidFill>
                </w14:textFill>
              </w:rPr>
              <w:t>后排入执行</w:t>
            </w:r>
            <w:r>
              <w:rPr>
                <w:rFonts w:hint="eastAsia" w:cs="Times New Roman"/>
                <w:color w:val="000000" w:themeColor="text1"/>
                <w:highlight w:val="none"/>
                <w:lang w:val="en-US" w:eastAsia="zh-CN"/>
                <w14:textFill>
                  <w14:solidFill>
                    <w14:schemeClr w14:val="tx1"/>
                  </w14:solidFill>
                </w14:textFill>
              </w:rPr>
              <w:t>Ⅳ类</w:t>
            </w:r>
            <w:r>
              <w:rPr>
                <w:rFonts w:hint="default" w:ascii="Times New Roman" w:hAnsi="Times New Roman" w:eastAsia="宋体" w:cs="Times New Roman"/>
                <w:color w:val="000000" w:themeColor="text1"/>
                <w:highlight w:val="none"/>
                <w14:textFill>
                  <w14:solidFill>
                    <w14:schemeClr w14:val="tx1"/>
                  </w14:solidFill>
                </w14:textFill>
              </w:rPr>
              <w:t>标准</w:t>
            </w:r>
            <w:r>
              <w:rPr>
                <w:rFonts w:hint="eastAsia"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eastAsia"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highlight w:val="none"/>
                <w14:textFill>
                  <w14:solidFill>
                    <w14:schemeClr w14:val="tx1"/>
                  </w14:solidFill>
                </w14:textFill>
              </w:rPr>
              <w:t>外排矿井水</w:t>
            </w:r>
            <w:r>
              <w:rPr>
                <w:rFonts w:hint="eastAsia" w:cs="Times New Roman"/>
                <w:color w:val="000000" w:themeColor="text1"/>
                <w:highlight w:val="none"/>
                <w:lang w:val="en-US" w:eastAsia="zh-CN"/>
                <w14:textFill>
                  <w14:solidFill>
                    <w14:schemeClr w14:val="tx1"/>
                  </w14:solidFill>
                </w14:textFill>
              </w:rPr>
              <w:t>不会对水生生态造成影响</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并且</w:t>
            </w:r>
            <w:r>
              <w:rPr>
                <w:rFonts w:hint="eastAsia" w:cs="Times New Roman"/>
                <w:color w:val="000000" w:themeColor="text1"/>
                <w:highlight w:val="none"/>
                <w:lang w:val="en-US" w:eastAsia="zh-CN"/>
                <w14:textFill>
                  <w14:solidFill>
                    <w14:schemeClr w14:val="tx1"/>
                  </w14:solidFill>
                </w14:textFill>
              </w:rPr>
              <w:t>会对大沙沟的水体流量起到一定的补充，</w:t>
            </w:r>
            <w:r>
              <w:rPr>
                <w:rFonts w:hint="default" w:ascii="Times New Roman" w:hAnsi="Times New Roman" w:eastAsia="宋体" w:cs="Times New Roman"/>
                <w:color w:val="000000" w:themeColor="text1"/>
                <w:highlight w:val="none"/>
                <w14:textFill>
                  <w14:solidFill>
                    <w14:schemeClr w14:val="tx1"/>
                  </w14:solidFill>
                </w14:textFill>
              </w:rPr>
              <w:t>对当地</w:t>
            </w:r>
            <w:r>
              <w:rPr>
                <w:rFonts w:hint="default" w:ascii="Times New Roman" w:hAnsi="Times New Roman" w:eastAsia="宋体" w:cs="Times New Roman"/>
                <w:color w:val="000000" w:themeColor="text1"/>
                <w:highlight w:val="none"/>
                <w:lang w:eastAsia="zh-CN"/>
                <w14:textFill>
                  <w14:solidFill>
                    <w14:schemeClr w14:val="tx1"/>
                  </w14:solidFill>
                </w14:textFill>
              </w:rPr>
              <w:t>水</w:t>
            </w:r>
            <w:r>
              <w:rPr>
                <w:rFonts w:hint="default" w:ascii="Times New Roman" w:hAnsi="Times New Roman" w:eastAsia="宋体" w:cs="Times New Roman"/>
                <w:color w:val="000000" w:themeColor="text1"/>
                <w:highlight w:val="none"/>
                <w14:textFill>
                  <w14:solidFill>
                    <w14:schemeClr w14:val="tx1"/>
                  </w14:solidFill>
                </w14:textFill>
              </w:rPr>
              <w:t>环境</w:t>
            </w:r>
            <w:r>
              <w:rPr>
                <w:rFonts w:hint="default" w:ascii="Times New Roman" w:hAnsi="Times New Roman" w:eastAsia="宋体" w:cs="Times New Roman"/>
                <w:color w:val="000000" w:themeColor="text1"/>
                <w:highlight w:val="none"/>
                <w:lang w:eastAsia="zh-CN"/>
                <w14:textFill>
                  <w14:solidFill>
                    <w14:schemeClr w14:val="tx1"/>
                  </w14:solidFill>
                </w14:textFill>
              </w:rPr>
              <w:t>起正面影响</w:t>
            </w:r>
            <w:r>
              <w:rPr>
                <w:rFonts w:hint="default" w:ascii="Times New Roman" w:hAnsi="Times New Roman" w:eastAsia="宋体" w:cs="Times New Roman"/>
                <w:color w:val="000000" w:themeColor="text1"/>
                <w:highlight w:val="none"/>
                <w14:textFill>
                  <w14:solidFill>
                    <w14:schemeClr w14:val="tx1"/>
                  </w14:solidFill>
                </w14:textFill>
              </w:rPr>
              <w:t>。</w:t>
            </w: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bCs/>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bl>
    <w:p>
      <w:pPr>
        <w:pStyle w:val="42"/>
        <w:ind w:firstLine="420"/>
        <w:rPr>
          <w:rFonts w:hint="default" w:ascii="Times New Roman" w:hAnsi="Times New Roman" w:eastAsia="宋体" w:cs="Times New Roman"/>
          <w:color w:val="000000" w:themeColor="text1"/>
          <w:highlight w:val="red"/>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九、</w:t>
      </w:r>
      <w:r>
        <w:rPr>
          <w:rFonts w:hint="default" w:ascii="Times New Roman" w:hAnsi="Times New Roman" w:eastAsia="宋体" w:cs="Times New Roman"/>
          <w:color w:val="000000" w:themeColor="text1"/>
          <w:highlight w:val="none"/>
          <w14:textFill>
            <w14:solidFill>
              <w14:schemeClr w14:val="tx1"/>
            </w14:solidFill>
          </w14:textFill>
        </w:rPr>
        <w:t>结论与建议</w:t>
      </w:r>
    </w:p>
    <w:tbl>
      <w:tblPr>
        <w:tblStyle w:val="27"/>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1" w:hRule="atLeast"/>
        </w:trPr>
        <w:tc>
          <w:tcPr>
            <w:tcW w:w="9286" w:type="dxa"/>
          </w:tcPr>
          <w:p>
            <w:pPr>
              <w:ind w:firstLine="0" w:firstLineChars="0"/>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一、结论</w:t>
            </w:r>
          </w:p>
          <w:p>
            <w:pPr>
              <w:pStyle w:val="23"/>
              <w:spacing w:after="0" w:line="360" w:lineRule="auto"/>
              <w:ind w:firstLine="480"/>
              <w:rPr>
                <w:rFonts w:hint="default" w:ascii="Times New Roman" w:hAnsi="Times New Roman" w:eastAsia="宋体" w:cs="Times New Roman"/>
                <w:b/>
                <w:color w:val="000000" w:themeColor="text1"/>
                <w:sz w:val="24"/>
                <w:highlight w:val="none"/>
                <w14:textFill>
                  <w14:solidFill>
                    <w14:schemeClr w14:val="tx1"/>
                  </w14:solidFill>
                </w14:textFill>
              </w:rPr>
            </w:pPr>
            <w:bookmarkStart w:id="6" w:name="_Toc423540243"/>
            <w:bookmarkStart w:id="7" w:name="_Toc423540424"/>
            <w:bookmarkStart w:id="8" w:name="_Toc425956925"/>
            <w:r>
              <w:rPr>
                <w:rFonts w:hint="default" w:ascii="Times New Roman" w:hAnsi="Times New Roman" w:eastAsia="宋体" w:cs="Times New Roman"/>
                <w:b/>
                <w:color w:val="000000" w:themeColor="text1"/>
                <w:sz w:val="24"/>
                <w:highlight w:val="none"/>
                <w14:textFill>
                  <w14:solidFill>
                    <w14:schemeClr w14:val="tx1"/>
                  </w14:solidFill>
                </w14:textFill>
              </w:rPr>
              <w:t>1、项目概况</w:t>
            </w:r>
          </w:p>
          <w:p>
            <w:pPr>
              <w:spacing w:line="480" w:lineRule="exact"/>
              <w:ind w:firstLine="480"/>
              <w:rPr>
                <w:rFonts w:hint="default" w:ascii="Times New Roman" w:hAnsi="Times New Roman" w:eastAsia="宋体" w:cs="Times New Roman"/>
                <w:color w:val="000000" w:themeColor="text1"/>
                <w:szCs w:val="24"/>
                <w:highlight w:val="red"/>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本项目建设地点位于朔州市平鲁区榆岭乡石峰村（</w:t>
            </w:r>
            <w:r>
              <w:rPr>
                <w:rFonts w:hint="default" w:ascii="Times New Roman" w:hAnsi="Times New Roman" w:eastAsia="宋体" w:cs="Times New Roman"/>
                <w:bCs/>
                <w:color w:val="000000" w:themeColor="text1"/>
                <w:highlight w:val="none"/>
                <w:lang w:eastAsia="zh-CN"/>
                <w14:textFill>
                  <w14:solidFill>
                    <w14:schemeClr w14:val="tx1"/>
                  </w14:solidFill>
                </w14:textFill>
              </w:rPr>
              <w:t>兰花永胜煤业有限公司生产区工业场地矿井水处理站</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工程内容为</w:t>
            </w:r>
            <w:r>
              <w:rPr>
                <w:rFonts w:hint="eastAsia" w:cs="Times New Roman"/>
                <w:color w:val="000000" w:themeColor="text1"/>
                <w:szCs w:val="32"/>
                <w:highlight w:val="none"/>
                <w:lang w:eastAsia="zh-CN"/>
                <w14:textFill>
                  <w14:solidFill>
                    <w14:schemeClr w14:val="tx1"/>
                  </w14:solidFill>
                </w14:textFill>
              </w:rPr>
              <w:t>拟</w:t>
            </w:r>
            <w:r>
              <w:rPr>
                <w:rFonts w:hint="eastAsia" w:cs="Times New Roman"/>
                <w:bCs/>
                <w:color w:val="000000" w:themeColor="text1"/>
                <w:highlight w:val="none"/>
                <w:lang w:eastAsia="zh-CN"/>
                <w14:textFill>
                  <w14:solidFill>
                    <w14:schemeClr w14:val="tx1"/>
                  </w14:solidFill>
                </w14:textFill>
              </w:rPr>
              <w:t>新增一座</w:t>
            </w:r>
            <w:r>
              <w:rPr>
                <w:rFonts w:hint="eastAsia" w:cs="Times New Roman"/>
                <w:bCs/>
                <w:color w:val="000000" w:themeColor="text1"/>
                <w:highlight w:val="none"/>
                <w:lang w:val="en-US" w:eastAsia="zh-CN"/>
                <w14:textFill>
                  <w14:solidFill>
                    <w14:schemeClr w14:val="tx1"/>
                  </w14:solidFill>
                </w14:textFill>
              </w:rPr>
              <w:t>230</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highlight w:val="none"/>
                <w:lang w:eastAsia="zh-CN"/>
                <w14:textFill>
                  <w14:solidFill>
                    <w14:schemeClr w14:val="tx1"/>
                  </w14:solidFill>
                </w14:textFill>
              </w:rPr>
              <w:t>的调节池，并</w:t>
            </w:r>
            <w:r>
              <w:rPr>
                <w:rFonts w:hint="eastAsia" w:cs="Times New Roman"/>
                <w:bCs/>
                <w:color w:val="000000" w:themeColor="text1"/>
                <w:highlight w:val="none"/>
                <w:lang w:eastAsia="zh-CN"/>
                <w14:textFill>
                  <w14:solidFill>
                    <w14:schemeClr w14:val="tx1"/>
                  </w14:solidFill>
                </w14:textFill>
              </w:rPr>
              <w:t>将现有的预处理能力提升至</w:t>
            </w:r>
            <w:r>
              <w:rPr>
                <w:rFonts w:hint="eastAsia" w:cs="Times New Roman"/>
                <w:bCs/>
                <w:color w:val="000000" w:themeColor="text1"/>
                <w:highlight w:val="none"/>
                <w:lang w:val="en-US" w:eastAsia="zh-CN"/>
                <w14:textFill>
                  <w14:solidFill>
                    <w14:schemeClr w14:val="tx1"/>
                  </w14:solidFill>
                </w14:textFill>
              </w:rPr>
              <w:t>40m</w:t>
            </w:r>
            <w:r>
              <w:rPr>
                <w:rFonts w:hint="eastAsia" w:cs="Times New Roman"/>
                <w:bCs/>
                <w:color w:val="000000" w:themeColor="text1"/>
                <w:highlight w:val="none"/>
                <w:vertAlign w:val="superscript"/>
                <w:lang w:val="en-US" w:eastAsia="zh-CN"/>
                <w14:textFill>
                  <w14:solidFill>
                    <w14:schemeClr w14:val="tx1"/>
                  </w14:solidFill>
                </w14:textFill>
              </w:rPr>
              <w:t>3</w:t>
            </w:r>
            <w:r>
              <w:rPr>
                <w:rFonts w:hint="eastAsia" w:cs="Times New Roman"/>
                <w:bCs/>
                <w:color w:val="000000" w:themeColor="text1"/>
                <w:highlight w:val="none"/>
                <w:lang w:val="en-US" w:eastAsia="zh-CN"/>
                <w14:textFill>
                  <w14:solidFill>
                    <w14:schemeClr w14:val="tx1"/>
                  </w14:solidFill>
                </w14:textFill>
              </w:rPr>
              <w:t>/h</w:t>
            </w:r>
            <w:r>
              <w:rPr>
                <w:rFonts w:hint="default" w:ascii="Times New Roman" w:hAnsi="Times New Roman" w:eastAsia="宋体"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新增两套</w:t>
            </w:r>
            <w:r>
              <w:rPr>
                <w:rFonts w:hint="default" w:ascii="Times New Roman" w:hAnsi="Times New Roman" w:eastAsia="宋体" w:cs="Times New Roman"/>
                <w:bCs/>
                <w:color w:val="000000" w:themeColor="text1"/>
                <w:highlight w:val="none"/>
                <w:lang w:eastAsia="zh-CN"/>
                <w14:textFill>
                  <w14:solidFill>
                    <w14:schemeClr w14:val="tx1"/>
                  </w14:solidFill>
                </w14:textFill>
              </w:rPr>
              <w:t>矿井水深度处理</w:t>
            </w:r>
            <w:r>
              <w:rPr>
                <w:rFonts w:hint="eastAsia" w:cs="Times New Roman"/>
                <w:bCs/>
                <w:color w:val="000000" w:themeColor="text1"/>
                <w:highlight w:val="none"/>
                <w:lang w:eastAsia="zh-CN"/>
                <w14:textFill>
                  <w14:solidFill>
                    <w14:schemeClr w14:val="tx1"/>
                  </w14:solidFill>
                </w14:textFill>
              </w:rPr>
              <w:t>设备，采用超滤的深度处理工艺，其中一套处理能力为</w:t>
            </w:r>
            <w:r>
              <w:rPr>
                <w:rFonts w:hint="eastAsia"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另外一套处理能力为</w:t>
            </w:r>
            <w:r>
              <w:rPr>
                <w:rFonts w:hint="eastAsia" w:cs="Times New Roman"/>
                <w:bCs/>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highlight w:val="none"/>
                <w:lang w:eastAsia="zh-CN"/>
                <w14:textFill>
                  <w14:solidFill>
                    <w14:schemeClr w14:val="tx1"/>
                  </w14:solidFill>
                </w14:textFill>
              </w:rPr>
              <w:t>/h</w:t>
            </w:r>
            <w:r>
              <w:rPr>
                <w:rFonts w:hint="default" w:ascii="Times New Roman" w:hAnsi="Times New Roman" w:eastAsia="宋体" w:cs="Times New Roman"/>
                <w:highlight w:val="none"/>
                <w:lang w:val="en-US" w:eastAsia="zh-CN"/>
              </w:rPr>
              <w:t>，</w:t>
            </w:r>
            <w:r>
              <w:rPr>
                <w:rFonts w:hint="eastAsia" w:cs="Times New Roman"/>
                <w:bCs/>
                <w:color w:val="000000" w:themeColor="text1"/>
                <w:highlight w:val="none"/>
                <w:lang w:eastAsia="zh-CN"/>
                <w14:textFill>
                  <w14:solidFill>
                    <w14:schemeClr w14:val="tx1"/>
                  </w14:solidFill>
                </w14:textFill>
              </w:rPr>
              <w:t>本项目完成后，矿井水处理站的</w:t>
            </w:r>
            <w:r>
              <w:rPr>
                <w:rFonts w:hint="default" w:ascii="Times New Roman" w:hAnsi="Times New Roman" w:eastAsia="宋体" w:cs="Times New Roman"/>
                <w:bCs/>
                <w:color w:val="000000" w:themeColor="text1"/>
                <w:highlight w:val="none"/>
                <w:lang w:eastAsia="zh-CN"/>
                <w14:textFill>
                  <w14:solidFill>
                    <w14:schemeClr w14:val="tx1"/>
                  </w14:solidFill>
                </w14:textFill>
              </w:rPr>
              <w:t>处理工艺</w:t>
            </w:r>
            <w:r>
              <w:rPr>
                <w:rFonts w:hint="eastAsia" w:cs="Times New Roman"/>
                <w:bCs/>
                <w:color w:val="000000" w:themeColor="text1"/>
                <w:highlight w:val="none"/>
                <w:lang w:eastAsia="zh-CN"/>
                <w14:textFill>
                  <w14:solidFill>
                    <w14:schemeClr w14:val="tx1"/>
                  </w14:solidFill>
                </w14:textFill>
              </w:rPr>
              <w:t>变</w:t>
            </w:r>
            <w:r>
              <w:rPr>
                <w:rFonts w:hint="default" w:ascii="Times New Roman" w:hAnsi="Times New Roman" w:eastAsia="宋体" w:cs="Times New Roman"/>
                <w:bCs/>
                <w:color w:val="000000" w:themeColor="text1"/>
                <w:highlight w:val="none"/>
                <w14:textFill>
                  <w14:solidFill>
                    <w14:schemeClr w14:val="tx1"/>
                  </w14:solidFill>
                </w14:textFill>
              </w:rPr>
              <w:t>为“</w:t>
            </w:r>
            <w:r>
              <w:rPr>
                <w:rFonts w:hint="eastAsia" w:cs="Times New Roman"/>
                <w:color w:val="000000" w:themeColor="text1"/>
                <w:highlight w:val="none"/>
                <w:lang w:eastAsia="zh-CN"/>
                <w14:textFill>
                  <w14:solidFill>
                    <w14:schemeClr w14:val="tx1"/>
                  </w14:solidFill>
                </w14:textFill>
              </w:rPr>
              <w:t>调节、混凝、沉淀、过滤、超滤、消毒</w:t>
            </w:r>
            <w:r>
              <w:rPr>
                <w:rFonts w:hint="default" w:ascii="Times New Roman" w:hAnsi="Times New Roman" w:eastAsia="宋体"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新建排水明渠</w:t>
            </w:r>
            <w:r>
              <w:rPr>
                <w:rFonts w:hint="eastAsia" w:cs="Times New Roman"/>
                <w:bCs/>
                <w:color w:val="000000" w:themeColor="text1"/>
                <w:highlight w:val="none"/>
                <w:lang w:val="en-US" w:eastAsia="zh-CN"/>
                <w14:textFill>
                  <w14:solidFill>
                    <w14:schemeClr w14:val="tx1"/>
                  </w14:solidFill>
                </w14:textFill>
              </w:rPr>
              <w:t>1km。</w:t>
            </w:r>
            <w:r>
              <w:rPr>
                <w:rFonts w:hint="default" w:ascii="Times New Roman" w:hAnsi="Times New Roman" w:eastAsia="宋体" w:cs="Times New Roman"/>
                <w:color w:val="000000" w:themeColor="text1"/>
                <w:szCs w:val="24"/>
                <w:highlight w:val="none"/>
                <w:lang w:eastAsia="zh-CN"/>
                <w14:textFill>
                  <w14:solidFill>
                    <w14:schemeClr w14:val="tx1"/>
                  </w14:solidFill>
                </w14:textFill>
              </w:rPr>
              <w:t>不能回用部分</w:t>
            </w:r>
            <w:r>
              <w:rPr>
                <w:rFonts w:hint="eastAsia" w:ascii="Times New Roman" w:hAnsi="Times New Roman" w:cs="Times New Roman"/>
                <w:color w:val="000000" w:themeColor="text1"/>
                <w:szCs w:val="24"/>
                <w:highlight w:val="none"/>
                <w:lang w:eastAsia="zh-CN"/>
                <w14:textFill>
                  <w14:solidFill>
                    <w14:schemeClr w14:val="tx1"/>
                  </w14:solidFill>
                </w14:textFill>
              </w:rPr>
              <w:t>的</w:t>
            </w:r>
            <w:r>
              <w:rPr>
                <w:rFonts w:hint="default" w:ascii="Times New Roman" w:hAnsi="Times New Roman" w:eastAsia="宋体" w:cs="Times New Roman"/>
                <w:color w:val="000000" w:themeColor="text1"/>
                <w:highlight w:val="none"/>
                <w14:textFill>
                  <w14:solidFill>
                    <w14:schemeClr w14:val="tx1"/>
                  </w14:solidFill>
                </w14:textFill>
              </w:rPr>
              <w:t>矿井水经深度处理后出水水质COD、氨氮、总磷满足</w:t>
            </w:r>
            <w:r>
              <w:rPr>
                <w:rFonts w:hint="default" w:ascii="Times New Roman" w:hAnsi="Times New Roman" w:eastAsia="宋体" w:cs="Times New Roman"/>
                <w:color w:val="000000" w:themeColor="text1"/>
                <w:szCs w:val="24"/>
                <w:highlight w:val="none"/>
                <w14:textFill>
                  <w14:solidFill>
                    <w14:schemeClr w14:val="tx1"/>
                  </w14:solidFill>
                </w14:textFill>
              </w:rPr>
              <w:t>《地表水环境质量标准》（GB 3838—2002）中Ⅲ类水水质标准</w:t>
            </w:r>
            <w:r>
              <w:rPr>
                <w:rFonts w:hint="eastAsia" w:cs="Times New Roman"/>
                <w:color w:val="000000" w:themeColor="text1"/>
                <w:szCs w:val="24"/>
                <w:highlight w:val="none"/>
                <w:lang w:eastAsia="zh-CN"/>
                <w14:textFill>
                  <w14:solidFill>
                    <w14:schemeClr w14:val="tx1"/>
                  </w14:solidFill>
                </w14:textFill>
              </w:rPr>
              <w:t>厚排入大沙沟</w:t>
            </w:r>
            <w:r>
              <w:rPr>
                <w:rFonts w:hint="default" w:ascii="Times New Roman" w:hAnsi="Times New Roman" w:eastAsia="宋体" w:cs="Times New Roman"/>
                <w:color w:val="000000" w:themeColor="text1"/>
                <w:szCs w:val="24"/>
                <w:highlight w:val="none"/>
                <w14:textFill>
                  <w14:solidFill>
                    <w14:schemeClr w14:val="tx1"/>
                  </w14:solidFill>
                </w14:textFill>
              </w:rPr>
              <w:t>。</w:t>
            </w:r>
          </w:p>
          <w:bookmarkEnd w:id="6"/>
          <w:bookmarkEnd w:id="7"/>
          <w:bookmarkEnd w:id="8"/>
          <w:p>
            <w:pPr>
              <w:widowControl/>
              <w:ind w:firstLine="480"/>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根据《产业结构调整指导目录（2019年本）》，本项目属于废水治理工程，属于鼓励类的“三废”综合利用及治理工程，因此，本次改造项目符合国家产业政策。</w:t>
            </w:r>
          </w:p>
          <w:p>
            <w:pPr>
              <w:pStyle w:val="4"/>
              <w:spacing w:line="360" w:lineRule="auto"/>
              <w:ind w:firstLine="482" w:firstLineChars="200"/>
              <w:rPr>
                <w:rFonts w:hint="default" w:ascii="Times New Roman" w:hAnsi="Times New Roman" w:eastAsia="宋体" w:cs="Times New Roman"/>
                <w:bCs w:val="0"/>
                <w:color w:val="000000" w:themeColor="text1"/>
                <w:sz w:val="24"/>
                <w:szCs w:val="24"/>
                <w:highlight w:val="none"/>
                <w14:textFill>
                  <w14:solidFill>
                    <w14:schemeClr w14:val="tx1"/>
                  </w14:solidFill>
                </w14:textFill>
              </w:rPr>
            </w:pPr>
            <w:bookmarkStart w:id="9" w:name="_Toc423540245"/>
            <w:bookmarkStart w:id="10" w:name="_Toc423540426"/>
            <w:bookmarkStart w:id="11" w:name="_Toc425956927"/>
            <w:r>
              <w:rPr>
                <w:rFonts w:hint="default" w:ascii="Times New Roman" w:hAnsi="Times New Roman" w:eastAsia="宋体" w:cs="Times New Roman"/>
                <w:bCs w:val="0"/>
                <w:color w:val="000000" w:themeColor="text1"/>
                <w:sz w:val="24"/>
                <w:szCs w:val="24"/>
                <w:highlight w:val="none"/>
                <w14:textFill>
                  <w14:solidFill>
                    <w14:schemeClr w14:val="tx1"/>
                  </w14:solidFill>
                </w14:textFill>
              </w:rPr>
              <w:t>2、环境质量现状</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①大气环境</w:t>
            </w:r>
          </w:p>
          <w:p>
            <w:pPr>
              <w:pStyle w:val="40"/>
              <w:spacing w:line="480" w:lineRule="exact"/>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本次评价收集到了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平鲁区</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2019年年度例行监测数据，根据例行监测数据，评价区域201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年PM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出现超标现象。本项目所在区域为环境空气不达标区。</w:t>
            </w:r>
          </w:p>
          <w:p>
            <w:pPr>
              <w:spacing w:line="480" w:lineRule="exact"/>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②水环境</w:t>
            </w:r>
          </w:p>
          <w:p>
            <w:pPr>
              <w:spacing w:line="480" w:lineRule="exact"/>
              <w:ind w:firstLine="480"/>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本项目直接纳污水体为</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14:textFill>
                  <w14:solidFill>
                    <w14:schemeClr w14:val="tx1"/>
                  </w14:solidFill>
                </w14:textFill>
              </w:rPr>
              <w:t>根据《山西省地表水功能区划》（DB14/67-2019），</w:t>
            </w:r>
            <w:r>
              <w:rPr>
                <w:rFonts w:hint="eastAsia" w:ascii="Times New Roman" w:hAnsi="Times New Roman" w:cs="Times New Roman"/>
                <w:bCs/>
                <w:color w:val="000000" w:themeColor="text1"/>
                <w:kern w:val="0"/>
                <w:highlight w:val="none"/>
                <w:lang w:eastAsia="zh-CN"/>
                <w14:textFill>
                  <w14:solidFill>
                    <w14:schemeClr w14:val="tx1"/>
                  </w14:solidFill>
                </w14:textFill>
              </w:rPr>
              <w:t>本河段</w:t>
            </w:r>
            <w:r>
              <w:rPr>
                <w:rFonts w:hint="default" w:ascii="Times New Roman" w:hAnsi="Times New Roman" w:eastAsia="宋体" w:cs="Times New Roman"/>
                <w:bCs/>
                <w:color w:val="000000" w:themeColor="text1"/>
                <w:kern w:val="0"/>
                <w:highlight w:val="none"/>
                <w14:textFill>
                  <w14:solidFill>
                    <w14:schemeClr w14:val="tx1"/>
                  </w14:solidFill>
                </w14:textFill>
              </w:rPr>
              <w:t>执行《地表水环境质量标准》（GB3838-2002）中Ⅳ类标准。根据</w:t>
            </w:r>
            <w:r>
              <w:rPr>
                <w:rFonts w:hint="eastAsia" w:cs="Times New Roman"/>
                <w:bCs/>
                <w:color w:val="000000" w:themeColor="text1"/>
                <w:kern w:val="0"/>
                <w:highlight w:val="none"/>
                <w:lang w:eastAsia="zh-CN"/>
                <w14:textFill>
                  <w14:solidFill>
                    <w14:schemeClr w14:val="tx1"/>
                  </w14:solidFill>
                </w14:textFill>
              </w:rPr>
              <w:t>朔州市生态环境局于</w:t>
            </w:r>
            <w:r>
              <w:rPr>
                <w:rFonts w:hint="eastAsia" w:cs="Times New Roman"/>
                <w:bCs/>
                <w:color w:val="000000" w:themeColor="text1"/>
                <w:kern w:val="0"/>
                <w:highlight w:val="none"/>
                <w:lang w:val="en-US" w:eastAsia="zh-CN"/>
                <w14:textFill>
                  <w14:solidFill>
                    <w14:schemeClr w14:val="tx1"/>
                  </w14:solidFill>
                </w14:textFill>
              </w:rPr>
              <w:t>2020年11月10日在朔州市生态环境局官网公开的2020年10月朔州市地表水环境质量状况可知，本项目河段隶属的神头桥监测断面结果为</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Ⅳ类</w:t>
            </w:r>
            <w:r>
              <w:rPr>
                <w:rFonts w:hint="eastAsia"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水质能达到《地表水环境质量标准》（GB3838-2002）中Ⅳ类标准要求</w:t>
            </w:r>
            <w:r>
              <w:rPr>
                <w:rFonts w:hint="default" w:ascii="Times New Roman" w:hAnsi="Times New Roman" w:eastAsia="宋体" w:cs="Times New Roman"/>
                <w:bCs/>
                <w:color w:val="000000" w:themeColor="text1"/>
                <w:kern w:val="0"/>
                <w:highlight w:val="none"/>
                <w14:textFill>
                  <w14:solidFill>
                    <w14:schemeClr w14:val="tx1"/>
                  </w14:solidFill>
                </w14:textFill>
              </w:rPr>
              <w:t>。</w:t>
            </w:r>
          </w:p>
          <w:p>
            <w:pPr>
              <w:pStyle w:val="4"/>
              <w:spacing w:line="360" w:lineRule="auto"/>
              <w:ind w:firstLine="482" w:firstLineChars="200"/>
              <w:rPr>
                <w:rFonts w:hint="default" w:ascii="Times New Roman" w:hAnsi="Times New Roman" w:eastAsia="宋体" w:cs="Times New Roman"/>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Cs w:val="0"/>
                <w:color w:val="000000" w:themeColor="text1"/>
                <w:sz w:val="24"/>
                <w:szCs w:val="24"/>
                <w:highlight w:val="none"/>
                <w14:textFill>
                  <w14:solidFill>
                    <w14:schemeClr w14:val="tx1"/>
                  </w14:solidFill>
                </w14:textFill>
              </w:rPr>
              <w:t>3、环境影响分析及污染防治措施</w:t>
            </w:r>
          </w:p>
          <w:p>
            <w:pPr>
              <w:adjustRightInd w:val="0"/>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本项目矿井水经“混凝、沉淀、过滤、消毒</w:t>
            </w:r>
            <w:r>
              <w:rPr>
                <w:rFonts w:hint="default" w:ascii="Times New Roman" w:hAnsi="Times New Roman" w:eastAsia="宋体" w:cs="Times New Roman"/>
                <w:color w:val="000000" w:themeColor="text1"/>
                <w:szCs w:val="24"/>
                <w:highlight w:val="none"/>
                <w14:textFill>
                  <w14:solidFill>
                    <w14:schemeClr w14:val="tx1"/>
                  </w14:solidFill>
                </w14:textFill>
              </w:rPr>
              <w:t>”工艺</w:t>
            </w:r>
            <w:r>
              <w:rPr>
                <w:rFonts w:hint="default" w:ascii="Times New Roman" w:hAnsi="Times New Roman" w:eastAsia="宋体" w:cs="Times New Roman"/>
                <w:color w:val="000000" w:themeColor="text1"/>
                <w:highlight w:val="none"/>
                <w14:textFill>
                  <w14:solidFill>
                    <w14:schemeClr w14:val="tx1"/>
                  </w14:solidFill>
                </w14:textFill>
              </w:rPr>
              <w:t>处理后，</w:t>
            </w:r>
            <w:r>
              <w:rPr>
                <w:rFonts w:hint="eastAsia" w:cs="Times New Roman"/>
                <w:color w:val="000000" w:themeColor="text1"/>
                <w:highlight w:val="none"/>
                <w:lang w:val="en-US" w:eastAsia="zh-CN"/>
                <w14:textFill>
                  <w14:solidFill>
                    <w14:schemeClr w14:val="tx1"/>
                  </w14:solidFill>
                </w14:textFill>
              </w:rPr>
              <w:t>回用部分的</w:t>
            </w:r>
            <w:r>
              <w:rPr>
                <w:rFonts w:hint="default" w:ascii="Times New Roman" w:hAnsi="Times New Roman" w:eastAsia="宋体" w:cs="Times New Roman"/>
                <w:bCs/>
                <w:color w:val="000000" w:themeColor="text1"/>
                <w:highlight w:val="none"/>
                <w14:textFill>
                  <w14:solidFill>
                    <w14:schemeClr w14:val="tx1"/>
                  </w14:solidFill>
                </w14:textFill>
              </w:rPr>
              <w:t>水质达到《煤矿井下消防、洒水设计规范》GB50383-2006中附录B《井下消防、洒水水质标准》</w:t>
            </w:r>
            <w:r>
              <w:rPr>
                <w:rFonts w:hint="default" w:ascii="Times New Roman" w:hAnsi="Times New Roman" w:eastAsia="宋体" w:cs="Times New Roman"/>
                <w:color w:val="000000" w:themeColor="text1"/>
                <w:highlight w:val="none"/>
                <w14:textFill>
                  <w14:solidFill>
                    <w14:schemeClr w14:val="tx1"/>
                  </w14:solidFill>
                </w14:textFill>
              </w:rPr>
              <w:t>，回用于井下洒水，</w:t>
            </w:r>
            <w:r>
              <w:rPr>
                <w:rFonts w:hint="eastAsia" w:cs="Times New Roman"/>
                <w:color w:val="000000" w:themeColor="text1"/>
                <w:highlight w:val="none"/>
                <w:lang w:eastAsia="zh-CN"/>
                <w14:textFill>
                  <w14:solidFill>
                    <w14:schemeClr w14:val="tx1"/>
                  </w14:solidFill>
                </w14:textFill>
              </w:rPr>
              <w:t>不能回用部分的</w:t>
            </w:r>
            <w:r>
              <w:rPr>
                <w:rFonts w:hint="default" w:ascii="Times New Roman" w:hAnsi="Times New Roman" w:eastAsia="宋体" w:cs="Times New Roman"/>
                <w:color w:val="000000" w:themeColor="text1"/>
                <w:highlight w:val="none"/>
                <w14:textFill>
                  <w14:solidFill>
                    <w14:schemeClr w14:val="tx1"/>
                  </w14:solidFill>
                </w14:textFill>
              </w:rPr>
              <w:t>矿井水经深度处理后，出水水质COD、氨氮、总磷达到《地表水环境质量标准》（GB3838-2002）中</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III</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类标准限值要求，通过</w:t>
            </w:r>
            <w:r>
              <w:rPr>
                <w:rFonts w:hint="default" w:ascii="Times New Roman" w:hAnsi="Times New Roman" w:eastAsia="宋体" w:cs="Times New Roman"/>
                <w:color w:val="000000" w:themeColor="text1"/>
                <w:highlight w:val="none"/>
                <w:lang w:eastAsia="zh-CN"/>
                <w14:textFill>
                  <w14:solidFill>
                    <w14:schemeClr w14:val="tx1"/>
                  </w14:solidFill>
                </w14:textFill>
              </w:rPr>
              <w:t>明渠</w:t>
            </w:r>
            <w:r>
              <w:rPr>
                <w:rFonts w:hint="default" w:ascii="Times New Roman" w:hAnsi="Times New Roman" w:eastAsia="宋体" w:cs="Times New Roman"/>
                <w:color w:val="000000" w:themeColor="text1"/>
                <w:highlight w:val="none"/>
                <w14:textFill>
                  <w14:solidFill>
                    <w14:schemeClr w14:val="tx1"/>
                  </w14:solidFill>
                </w14:textFill>
              </w:rPr>
              <w:t>排入</w:t>
            </w:r>
            <w:r>
              <w:rPr>
                <w:rFonts w:hint="default" w:ascii="Times New Roman" w:hAnsi="Times New Roman" w:eastAsia="宋体" w:cs="Times New Roman"/>
                <w:color w:val="000000" w:themeColor="text1"/>
                <w:highlight w:val="none"/>
                <w:lang w:eastAsia="zh-CN"/>
                <w14:textFill>
                  <w14:solidFill>
                    <w14:schemeClr w14:val="tx1"/>
                  </w14:solidFill>
                </w14:textFill>
              </w:rPr>
              <w:t>大沙沟</w:t>
            </w:r>
            <w:r>
              <w:rPr>
                <w:rFonts w:hint="default" w:ascii="Times New Roman" w:hAnsi="Times New Roman" w:eastAsia="宋体" w:cs="Times New Roman"/>
                <w:color w:val="000000" w:themeColor="text1"/>
                <w:highlight w:val="none"/>
                <w14:textFill>
                  <w14:solidFill>
                    <w14:schemeClr w14:val="tx1"/>
                  </w14:solidFill>
                </w14:textFill>
              </w:rPr>
              <w:t>，然后向东排入源子河，最后进入桑干河</w:t>
            </w:r>
            <w:r>
              <w:rPr>
                <w:rFonts w:hint="default" w:ascii="Times New Roman" w:hAnsi="Times New Roman" w:eastAsia="宋体" w:cs="Times New Roman"/>
                <w:bCs/>
                <w:color w:val="000000" w:themeColor="text1"/>
                <w:kern w:val="0"/>
                <w:highlight w:val="none"/>
                <w14:textFill>
                  <w14:solidFill>
                    <w14:schemeClr w14:val="tx1"/>
                  </w14:solidFill>
                </w14:textFill>
              </w:rPr>
              <w:t>。本项目外排矿井水水质达到</w:t>
            </w:r>
            <w:r>
              <w:rPr>
                <w:rFonts w:hint="default" w:ascii="Times New Roman" w:hAnsi="Times New Roman" w:eastAsia="宋体" w:cs="Times New Roman"/>
                <w:color w:val="000000" w:themeColor="text1"/>
                <w:highlight w:val="none"/>
                <w14:textFill>
                  <w14:solidFill>
                    <w14:schemeClr w14:val="tx1"/>
                  </w14:solidFill>
                </w14:textFill>
              </w:rPr>
              <w:t>《地表水环境质量标准》（GB3838-2002）中</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 3 \* ROMAN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III</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highlight w:val="none"/>
                <w14:textFill>
                  <w14:solidFill>
                    <w14:schemeClr w14:val="tx1"/>
                  </w14:solidFill>
                </w14:textFill>
              </w:rPr>
              <w:t>类标准限值</w:t>
            </w:r>
            <w:r>
              <w:rPr>
                <w:rFonts w:hint="default" w:ascii="Times New Roman" w:hAnsi="Times New Roman" w:eastAsia="宋体" w:cs="Times New Roman"/>
                <w:bCs/>
                <w:color w:val="000000" w:themeColor="text1"/>
                <w:kern w:val="0"/>
                <w:highlight w:val="none"/>
                <w14:textFill>
                  <w14:solidFill>
                    <w14:schemeClr w14:val="tx1"/>
                  </w14:solidFill>
                </w14:textFill>
              </w:rPr>
              <w:t>，不会对地表水造成不良影响，同时还可增加河道中的生态流量。</w:t>
            </w:r>
          </w:p>
          <w:p>
            <w:pPr>
              <w:adjustRightInd w:val="0"/>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本项目位于</w:t>
            </w: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w:t>
            </w:r>
            <w:r>
              <w:rPr>
                <w:rFonts w:hint="default" w:ascii="Times New Roman" w:hAnsi="Times New Roman" w:eastAsia="宋体" w:cs="Times New Roman"/>
                <w:color w:val="000000" w:themeColor="text1"/>
                <w:highlight w:val="none"/>
                <w14:textFill>
                  <w14:solidFill>
                    <w14:schemeClr w14:val="tx1"/>
                  </w14:solidFill>
                </w14:textFill>
              </w:rPr>
              <w:t>工业场地内，并且选用高效低噪设备；高噪设备采取防震、减震措施，安装隔声罩、消声器等，本项目的实施对周围声环境影响很小。</w:t>
            </w:r>
          </w:p>
          <w:p>
            <w:pPr>
              <w:adjustRightInd w:val="0"/>
              <w:ind w:firstLine="480"/>
              <w:jc w:val="left"/>
              <w:rPr>
                <w:rFonts w:hint="default" w:ascii="Times New Roman" w:hAnsi="Times New Roman" w:eastAsia="宋体" w:cs="Times New Roman"/>
                <w:color w:val="000000" w:themeColor="text1"/>
                <w:highlight w:val="red"/>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本项目产生的废活性炭、药剂废弃包装可以做到合理处置，不会产生二次污染。</w:t>
            </w:r>
          </w:p>
          <w:bookmarkEnd w:id="9"/>
          <w:bookmarkEnd w:id="10"/>
          <w:bookmarkEnd w:id="11"/>
          <w:p>
            <w:pPr>
              <w:ind w:firstLine="482"/>
              <w:contextualSpacing/>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4、结论</w:t>
            </w:r>
          </w:p>
          <w:p>
            <w:pPr>
              <w:spacing w:line="480" w:lineRule="exact"/>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山西朔州平鲁区兰花永胜煤业有限公司矿井水处理站提标改造项目</w:t>
            </w:r>
            <w:r>
              <w:rPr>
                <w:rFonts w:hint="default" w:ascii="Times New Roman" w:hAnsi="Times New Roman" w:eastAsia="宋体" w:cs="Times New Roman"/>
                <w:color w:val="000000" w:themeColor="text1"/>
                <w:highlight w:val="none"/>
                <w14:textFill>
                  <w14:solidFill>
                    <w14:schemeClr w14:val="tx1"/>
                  </w14:solidFill>
                </w14:textFill>
              </w:rPr>
              <w:t>符合国家产业政策，为国家鼓励类的建设项目；项目工艺先进，技术成熟，通过采取环评要求的环保措施后，不存在重大环境制约因素、对区域环境影响可接受，环保措施经济技术满足长期稳定达标及生态保护要求，本项目的建设有利于改善区域环境质量，从环保角度考虑是可行的。</w:t>
            </w:r>
          </w:p>
          <w:p>
            <w:pPr>
              <w:ind w:firstLine="0" w:firstLineChars="0"/>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二、建议</w:t>
            </w:r>
          </w:p>
          <w:p>
            <w:pPr>
              <w:adjustRightInd w:val="0"/>
              <w:ind w:firstLine="600" w:firstLineChars="25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（1）强化环境保护意识，在项目实施后，做好运行管理工作，制定设施操作运行规程，建立健全各项岗位责任制，强化环境管理。</w:t>
            </w:r>
          </w:p>
          <w:p>
            <w:pPr>
              <w:adjustRightInd w:val="0"/>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（2）加强职工上岗培训，提高安全防范意识，加强员工的自我保护意识，做好管理工作。</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left="0" w:leftChars="0" w:firstLine="0" w:firstLineChars="0"/>
              <w:rPr>
                <w:rFonts w:hint="default" w:ascii="Times New Roman" w:hAnsi="Times New Roman" w:eastAsia="宋体" w:cs="Times New Roman"/>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480"/>
              <w:rPr>
                <w:rFonts w:hint="default" w:ascii="Times New Roman" w:hAnsi="Times New Roman" w:eastAsia="宋体" w:cs="Times New Roman"/>
                <w:color w:val="000000" w:themeColor="text1"/>
                <w:highlight w:val="red"/>
                <w14:textFill>
                  <w14:solidFill>
                    <w14:schemeClr w14:val="tx1"/>
                  </w14:solidFill>
                </w14:textFill>
              </w:rPr>
            </w:pPr>
          </w:p>
          <w:p>
            <w:pPr>
              <w:ind w:firstLine="0" w:firstLineChars="0"/>
              <w:rPr>
                <w:rFonts w:hint="default" w:ascii="Times New Roman" w:hAnsi="Times New Roman" w:eastAsia="宋体" w:cs="Times New Roman"/>
                <w:color w:val="000000" w:themeColor="text1"/>
                <w:highlight w:val="red"/>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4" w:hRule="atLeast"/>
        </w:trPr>
        <w:tc>
          <w:tcPr>
            <w:tcW w:w="9286" w:type="dxa"/>
          </w:tcPr>
          <w:p>
            <w:pPr>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预审意见：</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公  章       </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经办人：   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4" w:hRule="atLeast"/>
        </w:trPr>
        <w:tc>
          <w:tcPr>
            <w:tcW w:w="9286" w:type="dxa"/>
          </w:tcPr>
          <w:p>
            <w:pPr>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下一级环境保护行政主管部门审查意见：</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公  章    </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8" w:hRule="atLeast"/>
        </w:trPr>
        <w:tc>
          <w:tcPr>
            <w:tcW w:w="9286" w:type="dxa"/>
          </w:tcPr>
          <w:p>
            <w:pPr>
              <w:ind w:firstLine="0" w:firstLine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审批意见：</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公  章      </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wordWrap w:val="0"/>
              <w:ind w:firstLine="480"/>
              <w:jc w:val="righ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经办人：   年   月   日</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8" w:hRule="atLeast"/>
        </w:trPr>
        <w:tc>
          <w:tcPr>
            <w:tcW w:w="9286" w:type="dxa"/>
          </w:tcPr>
          <w:p>
            <w:pPr>
              <w:spacing w:line="480" w:lineRule="exact"/>
              <w:ind w:right="240" w:rightChars="100" w:firstLine="562"/>
              <w:jc w:val="center"/>
              <w:rPr>
                <w:rFonts w:hint="default" w:ascii="Times New Roman" w:hAnsi="Times New Roman" w:eastAsia="宋体" w:cs="Times New Roman"/>
                <w:b/>
                <w:color w:val="000000" w:themeColor="text1"/>
                <w:kern w:val="2"/>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28"/>
                <w:highlight w:val="none"/>
                <w14:textFill>
                  <w14:solidFill>
                    <w14:schemeClr w14:val="tx1"/>
                  </w14:solidFill>
                </w14:textFill>
              </w:rPr>
              <w:t>注       释</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一、本报告表应附以附件</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附图：</w:t>
            </w:r>
          </w:p>
          <w:p>
            <w:pPr>
              <w:widowControl w:val="0"/>
              <w:adjustRightInd/>
              <w:snapToGrid/>
              <w:ind w:firstLine="720" w:firstLineChars="3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1、项目地理位置图；</w:t>
            </w:r>
          </w:p>
          <w:p>
            <w:pPr>
              <w:widowControl w:val="0"/>
              <w:adjustRightInd/>
              <w:snapToGrid/>
              <w:ind w:firstLine="720" w:firstLineChars="3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2、项目</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平面布置图</w:t>
            </w:r>
            <w:r>
              <w:rPr>
                <w:rFonts w:hint="default" w:ascii="Times New Roman" w:hAnsi="Times New Roman" w:eastAsia="宋体" w:cs="Times New Roman"/>
                <w:color w:val="000000" w:themeColor="text1"/>
                <w:kern w:val="2"/>
                <w:szCs w:val="24"/>
                <w:highlight w:val="none"/>
                <w14:textFill>
                  <w14:solidFill>
                    <w14:schemeClr w14:val="tx1"/>
                  </w14:solidFill>
                </w14:textFill>
              </w:rPr>
              <w:t>；</w:t>
            </w:r>
          </w:p>
          <w:p>
            <w:pPr>
              <w:widowControl w:val="0"/>
              <w:adjustRightInd/>
              <w:snapToGrid/>
              <w:ind w:firstLine="720" w:firstLineChars="300"/>
              <w:rPr>
                <w:rFonts w:hint="default" w:ascii="Times New Roman" w:hAnsi="Times New Roman" w:cs="Times New Roman"/>
                <w:color w:val="000000" w:themeColor="text1"/>
                <w:kern w:val="2"/>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3、矿井水外排走向</w:t>
            </w:r>
            <w:r>
              <w:rPr>
                <w:rFonts w:hint="default" w:ascii="Times New Roman" w:hAnsi="Times New Roman" w:eastAsia="宋体" w:cs="Times New Roman"/>
                <w:color w:val="000000" w:themeColor="text1"/>
                <w:kern w:val="2"/>
                <w:szCs w:val="24"/>
                <w:highlight w:val="none"/>
                <w14:textFill>
                  <w14:solidFill>
                    <w14:schemeClr w14:val="tx1"/>
                  </w14:solidFill>
                </w14:textFill>
              </w:rPr>
              <w:t>图</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w:t>
            </w:r>
          </w:p>
          <w:p>
            <w:pPr>
              <w:widowControl w:val="0"/>
              <w:adjustRightInd/>
              <w:snapToGrid/>
              <w:ind w:firstLine="720" w:firstLineChars="300"/>
              <w:rPr>
                <w:rFonts w:hint="eastAsia" w:ascii="Times New Roman" w:hAnsi="Times New Roman" w:cs="Times New Roman"/>
                <w:color w:val="000000" w:themeColor="text1"/>
                <w:kern w:val="2"/>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Cs w:val="24"/>
                <w:highlight w:val="none"/>
                <w14:textFill>
                  <w14:solidFill>
                    <w14:schemeClr w14:val="tx1"/>
                  </w14:solidFill>
                </w14:textFill>
              </w:rPr>
              <w:t>、项目所在区域地表水系图；</w:t>
            </w:r>
          </w:p>
          <w:p>
            <w:pPr>
              <w:widowControl w:val="0"/>
              <w:adjustRightInd/>
              <w:snapToGrid/>
              <w:ind w:firstLine="720" w:firstLineChars="300"/>
              <w:rPr>
                <w:rFonts w:hint="default" w:ascii="Times New Roman" w:hAnsi="Times New Roman" w:cs="Times New Roman"/>
                <w:color w:val="000000" w:themeColor="text1"/>
                <w:kern w:val="2"/>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5、本项目与神头泉域重点保护区相对位置图；</w:t>
            </w:r>
          </w:p>
          <w:p>
            <w:pPr>
              <w:widowControl w:val="0"/>
              <w:adjustRightInd/>
              <w:snapToGrid/>
              <w:ind w:firstLine="720" w:firstLineChars="300"/>
              <w:rPr>
                <w:rFonts w:hint="eastAsia"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
                <w:szCs w:val="24"/>
                <w:highlight w:val="none"/>
                <w14:textFill>
                  <w14:solidFill>
                    <w14:schemeClr w14:val="tx1"/>
                  </w14:solidFill>
                </w14:textFill>
              </w:rPr>
              <w:t>、本项目与平鲁区生态功能区划图</w:t>
            </w:r>
            <w:r>
              <w:rPr>
                <w:rFonts w:hint="eastAsia" w:ascii="Times New Roman" w:hAnsi="Times New Roman" w:cs="Times New Roman"/>
                <w:color w:val="000000" w:themeColor="text1"/>
                <w:kern w:val="2"/>
                <w:szCs w:val="24"/>
                <w:highlight w:val="none"/>
                <w:lang w:eastAsia="zh-CN"/>
                <w14:textFill>
                  <w14:solidFill>
                    <w14:schemeClr w14:val="tx1"/>
                  </w14:solidFill>
                </w14:textFill>
              </w:rPr>
              <w:t>；</w:t>
            </w:r>
          </w:p>
          <w:p>
            <w:pPr>
              <w:widowControl w:val="0"/>
              <w:adjustRightInd/>
              <w:snapToGrid/>
              <w:ind w:firstLine="720" w:firstLineChars="3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2"/>
                <w:szCs w:val="24"/>
                <w:highlight w:val="none"/>
                <w14:textFill>
                  <w14:solidFill>
                    <w14:schemeClr w14:val="tx1"/>
                  </w14:solidFill>
                </w14:textFill>
              </w:rPr>
              <w:t>、本项目与平鲁区生态经济区划图；</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附件：</w:t>
            </w:r>
          </w:p>
          <w:p>
            <w:pPr>
              <w:widowControl w:val="0"/>
              <w:adjustRightInd/>
              <w:snapToGrid/>
              <w:ind w:firstLine="720" w:firstLineChars="3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1、委托书；</w:t>
            </w:r>
          </w:p>
          <w:p>
            <w:pPr>
              <w:widowControl w:val="0"/>
              <w:adjustRightInd/>
              <w:snapToGrid/>
              <w:ind w:firstLine="720" w:firstLineChars="30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2、</w:t>
            </w:r>
            <w:r>
              <w:rPr>
                <w:rFonts w:hint="eastAsia" w:ascii="Times New Roman" w:hAnsi="Times New Roman" w:cs="Times New Roman"/>
                <w:color w:val="000000" w:themeColor="text1"/>
                <w:kern w:val="2"/>
                <w:szCs w:val="24"/>
                <w:highlight w:val="none"/>
                <w:lang w:eastAsia="zh-CN"/>
                <w14:textFill>
                  <w14:solidFill>
                    <w14:schemeClr w14:val="tx1"/>
                  </w14:solidFill>
                </w14:textFill>
              </w:rPr>
              <w:t>原</w:t>
            </w:r>
            <w:r>
              <w:rPr>
                <w:rFonts w:hint="default" w:ascii="Times New Roman" w:hAnsi="Times New Roman" w:eastAsia="宋体" w:cs="Times New Roman"/>
                <w:color w:val="000000" w:themeColor="text1"/>
                <w:kern w:val="2"/>
                <w:szCs w:val="24"/>
                <w:highlight w:val="none"/>
                <w:lang w:eastAsia="zh-CN"/>
                <w14:textFill>
                  <w14:solidFill>
                    <w14:schemeClr w14:val="tx1"/>
                  </w14:solidFill>
                </w14:textFill>
              </w:rPr>
              <w:t>环评批复文件；</w:t>
            </w:r>
          </w:p>
          <w:p>
            <w:pPr>
              <w:widowControl w:val="0"/>
              <w:adjustRightInd/>
              <w:snapToGrid/>
              <w:ind w:firstLine="720" w:firstLineChars="300"/>
              <w:rPr>
                <w:rFonts w:hint="eastAsia" w:ascii="Times New Roman" w:hAnsi="Times New Roman" w:cs="Times New Roman"/>
                <w:color w:val="000000" w:themeColor="text1"/>
                <w:kern w:val="2"/>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Cs w:val="24"/>
                <w:highlight w:val="none"/>
                <w14:textFill>
                  <w14:solidFill>
                    <w14:schemeClr w14:val="tx1"/>
                  </w14:solidFill>
                </w14:textFill>
              </w:rPr>
              <w:t>、</w:t>
            </w:r>
            <w:r>
              <w:rPr>
                <w:rFonts w:hint="eastAsia" w:ascii="Times New Roman" w:hAnsi="Times New Roman" w:cs="Times New Roman"/>
                <w:color w:val="000000" w:themeColor="text1"/>
                <w:kern w:val="2"/>
                <w:szCs w:val="24"/>
                <w:highlight w:val="none"/>
                <w:lang w:eastAsia="zh-CN"/>
                <w14:textFill>
                  <w14:solidFill>
                    <w14:schemeClr w14:val="tx1"/>
                  </w14:solidFill>
                </w14:textFill>
              </w:rPr>
              <w:t>原</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验收</w:t>
            </w:r>
            <w:r>
              <w:rPr>
                <w:rFonts w:hint="default" w:ascii="Times New Roman" w:hAnsi="Times New Roman" w:eastAsia="宋体" w:cs="Times New Roman"/>
                <w:color w:val="000000" w:themeColor="text1"/>
                <w:kern w:val="2"/>
                <w:szCs w:val="24"/>
                <w:highlight w:val="none"/>
                <w:lang w:eastAsia="zh-CN"/>
                <w14:textFill>
                  <w14:solidFill>
                    <w14:schemeClr w14:val="tx1"/>
                  </w14:solidFill>
                </w14:textFill>
              </w:rPr>
              <w:t>批复文件；</w:t>
            </w:r>
          </w:p>
          <w:p>
            <w:pPr>
              <w:widowControl w:val="0"/>
              <w:adjustRightInd/>
              <w:snapToGrid/>
              <w:ind w:firstLine="720" w:firstLineChars="300"/>
              <w:rPr>
                <w:rFonts w:hint="default" w:cs="Times New Roman"/>
                <w:color w:val="000000" w:themeColor="text1"/>
                <w:kern w:val="2"/>
                <w:szCs w:val="24"/>
                <w:highlight w:val="none"/>
                <w:lang w:val="en-US" w:eastAsia="zh-CN"/>
                <w14:textFill>
                  <w14:solidFill>
                    <w14:schemeClr w14:val="tx1"/>
                  </w14:solidFill>
                </w14:textFill>
              </w:rPr>
            </w:pPr>
            <w:r>
              <w:rPr>
                <w:rFonts w:hint="eastAsia" w:cs="Times New Roman"/>
                <w:color w:val="000000" w:themeColor="text1"/>
                <w:kern w:val="2"/>
                <w:szCs w:val="24"/>
                <w:highlight w:val="none"/>
                <w:lang w:val="en-US" w:eastAsia="zh-CN"/>
                <w14:textFill>
                  <w14:solidFill>
                    <w14:schemeClr w14:val="tx1"/>
                  </w14:solidFill>
                </w14:textFill>
              </w:rPr>
              <w:t>4、排污许可证</w:t>
            </w:r>
          </w:p>
          <w:p>
            <w:pPr>
              <w:widowControl w:val="0"/>
              <w:adjustRightInd/>
              <w:snapToGrid/>
              <w:ind w:firstLine="720" w:firstLineChars="300"/>
              <w:rPr>
                <w:rFonts w:hint="default" w:cs="Times New Roman"/>
                <w:color w:val="000000" w:themeColor="text1"/>
                <w:kern w:val="2"/>
                <w:szCs w:val="24"/>
                <w:highlight w:val="none"/>
                <w:lang w:val="en-US" w:eastAsia="zh-CN"/>
                <w14:textFill>
                  <w14:solidFill>
                    <w14:schemeClr w14:val="tx1"/>
                  </w14:solidFill>
                </w14:textFill>
              </w:rPr>
            </w:pPr>
            <w:r>
              <w:rPr>
                <w:rFonts w:hint="eastAsia" w:cs="Times New Roman"/>
                <w:color w:val="000000" w:themeColor="text1"/>
                <w:kern w:val="2"/>
                <w:szCs w:val="24"/>
                <w:highlight w:val="none"/>
                <w:lang w:val="en-US" w:eastAsia="zh-CN"/>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取水许可准予行政许可的决定</w:t>
            </w:r>
          </w:p>
          <w:p>
            <w:pPr>
              <w:widowControl w:val="0"/>
              <w:adjustRightInd/>
              <w:snapToGrid/>
              <w:ind w:firstLine="720" w:firstLineChars="300"/>
              <w:rPr>
                <w:rFonts w:hint="default" w:ascii="Times New Roman" w:hAnsi="Times New Roman" w:cs="Times New Roman"/>
                <w:color w:val="000000" w:themeColor="text1"/>
                <w:kern w:val="2"/>
                <w:szCs w:val="24"/>
                <w:highlight w:val="none"/>
                <w:lang w:val="en-US" w:eastAsia="zh-CN"/>
                <w14:textFill>
                  <w14:solidFill>
                    <w14:schemeClr w14:val="tx1"/>
                  </w14:solidFill>
                </w14:textFill>
              </w:rPr>
            </w:pPr>
            <w:r>
              <w:rPr>
                <w:rFonts w:hint="eastAsia" w:cs="Times New Roman"/>
                <w:color w:val="000000" w:themeColor="text1"/>
                <w:kern w:val="2"/>
                <w:szCs w:val="24"/>
                <w:highlight w:val="none"/>
                <w:lang w:val="en-US" w:eastAsia="zh-CN"/>
                <w14:textFill>
                  <w14:solidFill>
                    <w14:schemeClr w14:val="tx1"/>
                  </w14:solidFill>
                </w14:textFill>
              </w:rPr>
              <w:t>6</w:t>
            </w:r>
            <w:r>
              <w:rPr>
                <w:rFonts w:hint="default" w:ascii="Times New Roman" w:hAnsi="Times New Roman" w:cs="Times New Roman"/>
                <w:color w:val="000000" w:themeColor="text1"/>
                <w:kern w:val="2"/>
                <w:szCs w:val="24"/>
                <w:highlight w:val="none"/>
                <w:lang w:val="en-US" w:eastAsia="zh-CN"/>
                <w14:textFill>
                  <w14:solidFill>
                    <w14:schemeClr w14:val="tx1"/>
                  </w14:solidFill>
                </w14:textFill>
              </w:rPr>
              <w:t>、</w:t>
            </w:r>
            <w:r>
              <w:rPr>
                <w:rFonts w:hint="eastAsia" w:ascii="Times New Roman" w:hAnsi="Times New Roman" w:cs="Times New Roman"/>
                <w:color w:val="000000" w:themeColor="text1"/>
                <w:kern w:val="2"/>
                <w:szCs w:val="24"/>
                <w:highlight w:val="none"/>
                <w:lang w:val="en-US" w:eastAsia="zh-CN"/>
                <w14:textFill>
                  <w14:solidFill>
                    <w14:schemeClr w14:val="tx1"/>
                  </w14:solidFill>
                </w14:textFill>
              </w:rPr>
              <w:t>监测报告；</w:t>
            </w:r>
          </w:p>
          <w:p>
            <w:pPr>
              <w:widowControl w:val="0"/>
              <w:adjustRightInd/>
              <w:snapToGrid/>
              <w:ind w:firstLine="720" w:firstLineChars="300"/>
              <w:rPr>
                <w:rFonts w:hint="eastAsia"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eastAsia" w:cs="Times New Roman"/>
                <w:color w:val="000000" w:themeColor="text1"/>
                <w:kern w:val="2"/>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kern w:val="2"/>
                <w:szCs w:val="24"/>
                <w:highlight w:val="none"/>
                <w:lang w:val="en-US" w:eastAsia="zh-CN"/>
                <w14:textFill>
                  <w14:solidFill>
                    <w14:schemeClr w14:val="tx1"/>
                  </w14:solidFill>
                </w14:textFill>
              </w:rPr>
              <w:t>、专家审查意见</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附表：建设项目环评审批基础信息表。</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二、如果本报告表不能说明项目产生的污染及对环境造成的影响，应进行专项评价。根据建设项目的特点和当地环境特征，应选下列1-2项进行专项评价。</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1．大气环境影响专项评价</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2．水环境影响专项评价(包括地表水和地下水)</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3．生态影响专项评价</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4．声影响专项评价</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5．土壤影响专项评价</w:t>
            </w:r>
          </w:p>
          <w:p>
            <w:pPr>
              <w:widowControl w:val="0"/>
              <w:adjustRightInd/>
              <w:snapToGrid/>
              <w:ind w:firstLine="480"/>
              <w:rPr>
                <w:rFonts w:hint="default" w:ascii="Times New Roman" w:hAnsi="Times New Roman" w:eastAsia="宋体" w:cs="Times New Roman"/>
                <w:color w:val="000000" w:themeColor="text1"/>
                <w:kern w:val="2"/>
                <w:szCs w:val="24"/>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6．固体废弃物影响专项评价</w:t>
            </w:r>
          </w:p>
          <w:p>
            <w:pPr>
              <w:widowControl w:val="0"/>
              <w:adjustRightInd/>
              <w:snapToGrid/>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Cs w:val="24"/>
                <w:highlight w:val="none"/>
                <w14:textFill>
                  <w14:solidFill>
                    <w14:schemeClr w14:val="tx1"/>
                  </w14:solidFill>
                </w14:textFill>
              </w:rPr>
              <w:t>以上专项评价未包括的可另列专项，专项评价按照《环境影响评价技术导则》中的要求进行。</w:t>
            </w:r>
          </w:p>
        </w:tc>
      </w:tr>
    </w:tbl>
    <w:p>
      <w:pPr>
        <w:ind w:firstLine="0" w:firstLineChars="0"/>
        <w:jc w:val="center"/>
        <w:rPr>
          <w:rFonts w:hint="default" w:ascii="Times New Roman" w:hAnsi="Times New Roman" w:eastAsia="宋体" w:cs="Times New Roman"/>
          <w:color w:val="000000" w:themeColor="text1"/>
          <w:highlight w:val="none"/>
          <w14:textFill>
            <w14:solidFill>
              <w14:schemeClr w14:val="tx1"/>
            </w14:solidFill>
          </w14:textFill>
        </w:rPr>
        <w:sectPr>
          <w:footerReference r:id="rId6" w:type="default"/>
          <w:pgSz w:w="11907" w:h="16839"/>
          <w:pgMar w:top="1418" w:right="1418" w:bottom="1418" w:left="1418" w:header="851" w:footer="992" w:gutter="0"/>
          <w:pgBorders>
            <w:top w:val="none" w:sz="0" w:space="0"/>
            <w:left w:val="none" w:sz="0" w:space="0"/>
            <w:bottom w:val="none" w:sz="0" w:space="0"/>
            <w:right w:val="none" w:sz="0" w:space="0"/>
          </w:pgBorders>
          <w:cols w:space="425" w:num="1"/>
          <w:docGrid w:type="lines" w:linePitch="326" w:charSpace="0"/>
        </w:sectPr>
      </w:pPr>
    </w:p>
    <w:p>
      <w:pPr>
        <w:ind w:firstLine="0" w:firstLineChars="0"/>
        <w:rPr>
          <w:rFonts w:hint="default" w:ascii="Times New Roman" w:hAnsi="Times New Roman" w:eastAsia="宋体" w:cs="Times New Roman"/>
          <w:b/>
          <w:color w:val="000000" w:themeColor="text1"/>
          <w:highlight w:val="none"/>
          <w:lang w:val="en-US" w:eastAsia="zh-CN"/>
          <w14:textFill>
            <w14:solidFill>
              <w14:schemeClr w14:val="tx1"/>
            </w14:solidFill>
          </w14:textFill>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Plotter">
    <w:altName w:val="Arial"/>
    <w:panose1 w:val="00000000000000000000"/>
    <w:charset w:val="00"/>
    <w:family w:val="roman"/>
    <w:pitch w:val="default"/>
    <w:sig w:usb0="00000000" w:usb1="00000000" w:usb2="0000006E" w:usb3="00650000" w:csb0="00200077" w:csb1="006F0052"/>
  </w:font>
  <w:font w:name="..ì.+ 2">
    <w:altName w:val="宋体"/>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Microsoft Sans Serif">
    <w:panose1 w:val="020B0604020202020204"/>
    <w:charset w:val="00"/>
    <w:family w:val="swiss"/>
    <w:pitch w:val="default"/>
    <w:sig w:usb0="E1002AFF" w:usb1="C0000002" w:usb2="00000008" w:usb3="00000000" w:csb0="200101FF" w:csb1="20280000"/>
  </w:font>
  <w:font w:name="Constantia">
    <w:panose1 w:val="02030602050306030303"/>
    <w:charset w:val="00"/>
    <w:family w:val="roman"/>
    <w:pitch w:val="default"/>
    <w:sig w:usb0="A00002EF" w:usb1="4000204B"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altName w:val="宋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5749"/>
      <w:docPartObj>
        <w:docPartGallery w:val="autotext"/>
      </w:docPartObj>
    </w:sdtPr>
    <w:sdtContent>
      <w:p>
        <w:pPr>
          <w:pStyle w:val="20"/>
          <w:ind w:firstLine="360"/>
          <w:jc w:val="center"/>
        </w:pPr>
        <w:r>
          <w:fldChar w:fldCharType="begin"/>
        </w:r>
        <w:r>
          <w:instrText xml:space="preserve"> PAGE   \* MERGEFORMAT </w:instrText>
        </w:r>
        <w:r>
          <w:fldChar w:fldCharType="separate"/>
        </w:r>
        <w:r>
          <w:rPr>
            <w:lang w:val="zh-CN"/>
          </w:rPr>
          <w:t>38</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r>
      <w:fldChar w:fldCharType="begin"/>
    </w:r>
    <w:r>
      <w:instrText xml:space="preserve"> PAGE   \* MERGEFORMAT </w:instrText>
    </w:r>
    <w:r>
      <w:fldChar w:fldCharType="separate"/>
    </w:r>
    <w:r>
      <w:rPr>
        <w:lang w:val="zh-CN"/>
      </w:rPr>
      <w:t>44</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jc w:val="left"/>
      <w:rPr>
        <w:rFonts w:ascii="Calibri" w:hAnsi="Calibri"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3D196"/>
    <w:multiLevelType w:val="singleLevel"/>
    <w:tmpl w:val="82B3D196"/>
    <w:lvl w:ilvl="0" w:tentative="0">
      <w:start w:val="1"/>
      <w:numFmt w:val="decimal"/>
      <w:suff w:val="nothing"/>
      <w:lvlText w:val="%1）"/>
      <w:lvlJc w:val="left"/>
    </w:lvl>
  </w:abstractNum>
  <w:abstractNum w:abstractNumId="1">
    <w:nsid w:val="315EA8B7"/>
    <w:multiLevelType w:val="singleLevel"/>
    <w:tmpl w:val="315EA8B7"/>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C3F"/>
    <w:rsid w:val="00001426"/>
    <w:rsid w:val="000015D7"/>
    <w:rsid w:val="00002E60"/>
    <w:rsid w:val="00003249"/>
    <w:rsid w:val="000041E4"/>
    <w:rsid w:val="00004292"/>
    <w:rsid w:val="00006790"/>
    <w:rsid w:val="000079EA"/>
    <w:rsid w:val="00010605"/>
    <w:rsid w:val="000108CD"/>
    <w:rsid w:val="00010D94"/>
    <w:rsid w:val="00011E1B"/>
    <w:rsid w:val="00012237"/>
    <w:rsid w:val="00012285"/>
    <w:rsid w:val="000125C0"/>
    <w:rsid w:val="0001379E"/>
    <w:rsid w:val="00014843"/>
    <w:rsid w:val="000149D2"/>
    <w:rsid w:val="00014DED"/>
    <w:rsid w:val="0001527A"/>
    <w:rsid w:val="00017C3D"/>
    <w:rsid w:val="00017E1D"/>
    <w:rsid w:val="0002032F"/>
    <w:rsid w:val="0002103C"/>
    <w:rsid w:val="0002132D"/>
    <w:rsid w:val="0002138E"/>
    <w:rsid w:val="00021470"/>
    <w:rsid w:val="000220C6"/>
    <w:rsid w:val="00022634"/>
    <w:rsid w:val="00022F64"/>
    <w:rsid w:val="000244D7"/>
    <w:rsid w:val="00024668"/>
    <w:rsid w:val="000253F1"/>
    <w:rsid w:val="00025B20"/>
    <w:rsid w:val="00026120"/>
    <w:rsid w:val="00026524"/>
    <w:rsid w:val="00027B00"/>
    <w:rsid w:val="0003190C"/>
    <w:rsid w:val="000319EC"/>
    <w:rsid w:val="00031F77"/>
    <w:rsid w:val="000342D9"/>
    <w:rsid w:val="00035C5F"/>
    <w:rsid w:val="000376E3"/>
    <w:rsid w:val="000405D3"/>
    <w:rsid w:val="00041092"/>
    <w:rsid w:val="0004177C"/>
    <w:rsid w:val="000421D6"/>
    <w:rsid w:val="00042F59"/>
    <w:rsid w:val="0004348F"/>
    <w:rsid w:val="00043CCC"/>
    <w:rsid w:val="0004655E"/>
    <w:rsid w:val="00046A9D"/>
    <w:rsid w:val="00046EEC"/>
    <w:rsid w:val="00047A0A"/>
    <w:rsid w:val="00051154"/>
    <w:rsid w:val="0005181C"/>
    <w:rsid w:val="00052F6B"/>
    <w:rsid w:val="000536A2"/>
    <w:rsid w:val="0005595D"/>
    <w:rsid w:val="00055CCA"/>
    <w:rsid w:val="00056F05"/>
    <w:rsid w:val="00057E4E"/>
    <w:rsid w:val="000603AA"/>
    <w:rsid w:val="000605CD"/>
    <w:rsid w:val="00063AC9"/>
    <w:rsid w:val="0006411E"/>
    <w:rsid w:val="00064390"/>
    <w:rsid w:val="00064F59"/>
    <w:rsid w:val="0006560E"/>
    <w:rsid w:val="000674D2"/>
    <w:rsid w:val="0006780E"/>
    <w:rsid w:val="00070F0D"/>
    <w:rsid w:val="000723D5"/>
    <w:rsid w:val="000732A5"/>
    <w:rsid w:val="00073425"/>
    <w:rsid w:val="0007356D"/>
    <w:rsid w:val="0007395F"/>
    <w:rsid w:val="00073DCA"/>
    <w:rsid w:val="0007469F"/>
    <w:rsid w:val="00075F19"/>
    <w:rsid w:val="00076E68"/>
    <w:rsid w:val="000802CF"/>
    <w:rsid w:val="00080350"/>
    <w:rsid w:val="00080B06"/>
    <w:rsid w:val="000820E2"/>
    <w:rsid w:val="0008243B"/>
    <w:rsid w:val="00083AAB"/>
    <w:rsid w:val="00084075"/>
    <w:rsid w:val="0008407B"/>
    <w:rsid w:val="000842B4"/>
    <w:rsid w:val="000858B1"/>
    <w:rsid w:val="000877CB"/>
    <w:rsid w:val="000901F8"/>
    <w:rsid w:val="00090B46"/>
    <w:rsid w:val="00091EB8"/>
    <w:rsid w:val="00092F80"/>
    <w:rsid w:val="000933A0"/>
    <w:rsid w:val="00093553"/>
    <w:rsid w:val="00094156"/>
    <w:rsid w:val="000942E1"/>
    <w:rsid w:val="0009457E"/>
    <w:rsid w:val="000945FD"/>
    <w:rsid w:val="0009521F"/>
    <w:rsid w:val="0009599A"/>
    <w:rsid w:val="0009599B"/>
    <w:rsid w:val="00095C4B"/>
    <w:rsid w:val="000968D8"/>
    <w:rsid w:val="000A2763"/>
    <w:rsid w:val="000A28FC"/>
    <w:rsid w:val="000A296F"/>
    <w:rsid w:val="000A2A49"/>
    <w:rsid w:val="000A3AAB"/>
    <w:rsid w:val="000A40CD"/>
    <w:rsid w:val="000A45BB"/>
    <w:rsid w:val="000A50F7"/>
    <w:rsid w:val="000A5F7C"/>
    <w:rsid w:val="000A6F07"/>
    <w:rsid w:val="000A7151"/>
    <w:rsid w:val="000A7F51"/>
    <w:rsid w:val="000B00AA"/>
    <w:rsid w:val="000B03B6"/>
    <w:rsid w:val="000B05E0"/>
    <w:rsid w:val="000B0DC9"/>
    <w:rsid w:val="000B128D"/>
    <w:rsid w:val="000B38AA"/>
    <w:rsid w:val="000B4485"/>
    <w:rsid w:val="000B4B0A"/>
    <w:rsid w:val="000B5934"/>
    <w:rsid w:val="000B6269"/>
    <w:rsid w:val="000B64D6"/>
    <w:rsid w:val="000B6CE3"/>
    <w:rsid w:val="000B7433"/>
    <w:rsid w:val="000C1BE8"/>
    <w:rsid w:val="000C2302"/>
    <w:rsid w:val="000C2C1A"/>
    <w:rsid w:val="000C2C25"/>
    <w:rsid w:val="000C4550"/>
    <w:rsid w:val="000C540F"/>
    <w:rsid w:val="000C5FA8"/>
    <w:rsid w:val="000C6D2D"/>
    <w:rsid w:val="000C6EDB"/>
    <w:rsid w:val="000C6F45"/>
    <w:rsid w:val="000C7490"/>
    <w:rsid w:val="000C7620"/>
    <w:rsid w:val="000C7D0E"/>
    <w:rsid w:val="000D046D"/>
    <w:rsid w:val="000D0BC9"/>
    <w:rsid w:val="000D3062"/>
    <w:rsid w:val="000D3915"/>
    <w:rsid w:val="000D3F1B"/>
    <w:rsid w:val="000D4778"/>
    <w:rsid w:val="000D5530"/>
    <w:rsid w:val="000D60C4"/>
    <w:rsid w:val="000D6D47"/>
    <w:rsid w:val="000D6FC0"/>
    <w:rsid w:val="000D7A45"/>
    <w:rsid w:val="000D7D68"/>
    <w:rsid w:val="000E0B28"/>
    <w:rsid w:val="000E2C17"/>
    <w:rsid w:val="000E465B"/>
    <w:rsid w:val="000E4807"/>
    <w:rsid w:val="000E4AF5"/>
    <w:rsid w:val="000E54AF"/>
    <w:rsid w:val="000E6777"/>
    <w:rsid w:val="000E6964"/>
    <w:rsid w:val="000E6A27"/>
    <w:rsid w:val="000E7965"/>
    <w:rsid w:val="000F198D"/>
    <w:rsid w:val="000F1C58"/>
    <w:rsid w:val="000F2B1D"/>
    <w:rsid w:val="000F2F77"/>
    <w:rsid w:val="000F306C"/>
    <w:rsid w:val="000F3597"/>
    <w:rsid w:val="000F45F0"/>
    <w:rsid w:val="000F4951"/>
    <w:rsid w:val="000F535B"/>
    <w:rsid w:val="000F70DD"/>
    <w:rsid w:val="000F77D6"/>
    <w:rsid w:val="0010030C"/>
    <w:rsid w:val="00101340"/>
    <w:rsid w:val="0010211A"/>
    <w:rsid w:val="0010223C"/>
    <w:rsid w:val="00103015"/>
    <w:rsid w:val="001030BD"/>
    <w:rsid w:val="001066E2"/>
    <w:rsid w:val="00106DDC"/>
    <w:rsid w:val="001070CB"/>
    <w:rsid w:val="001112B5"/>
    <w:rsid w:val="0011211E"/>
    <w:rsid w:val="0011289E"/>
    <w:rsid w:val="001134C0"/>
    <w:rsid w:val="00113CDD"/>
    <w:rsid w:val="0011690B"/>
    <w:rsid w:val="00116B2A"/>
    <w:rsid w:val="0011733C"/>
    <w:rsid w:val="0011798B"/>
    <w:rsid w:val="00117CEE"/>
    <w:rsid w:val="00121B69"/>
    <w:rsid w:val="00122ADC"/>
    <w:rsid w:val="00122D99"/>
    <w:rsid w:val="001236A1"/>
    <w:rsid w:val="001239DD"/>
    <w:rsid w:val="00124489"/>
    <w:rsid w:val="0012468F"/>
    <w:rsid w:val="0012495D"/>
    <w:rsid w:val="001256D3"/>
    <w:rsid w:val="00126F08"/>
    <w:rsid w:val="00126FDD"/>
    <w:rsid w:val="001312EC"/>
    <w:rsid w:val="001325AB"/>
    <w:rsid w:val="001326CB"/>
    <w:rsid w:val="00133A56"/>
    <w:rsid w:val="00134637"/>
    <w:rsid w:val="00137079"/>
    <w:rsid w:val="00137F7E"/>
    <w:rsid w:val="00140CB3"/>
    <w:rsid w:val="00141628"/>
    <w:rsid w:val="00145831"/>
    <w:rsid w:val="00145EA5"/>
    <w:rsid w:val="0014622C"/>
    <w:rsid w:val="00150505"/>
    <w:rsid w:val="00152B7F"/>
    <w:rsid w:val="00153F6B"/>
    <w:rsid w:val="00154C0B"/>
    <w:rsid w:val="00155AB1"/>
    <w:rsid w:val="00156001"/>
    <w:rsid w:val="00156DF2"/>
    <w:rsid w:val="00157811"/>
    <w:rsid w:val="00160832"/>
    <w:rsid w:val="0016122A"/>
    <w:rsid w:val="00161F78"/>
    <w:rsid w:val="00162639"/>
    <w:rsid w:val="001628ED"/>
    <w:rsid w:val="00164A18"/>
    <w:rsid w:val="00166514"/>
    <w:rsid w:val="00166CE2"/>
    <w:rsid w:val="00166E96"/>
    <w:rsid w:val="00167772"/>
    <w:rsid w:val="00171AA1"/>
    <w:rsid w:val="0017252C"/>
    <w:rsid w:val="00172CE0"/>
    <w:rsid w:val="00173104"/>
    <w:rsid w:val="00173311"/>
    <w:rsid w:val="00173537"/>
    <w:rsid w:val="00173E8F"/>
    <w:rsid w:val="001741B6"/>
    <w:rsid w:val="0017645E"/>
    <w:rsid w:val="00176539"/>
    <w:rsid w:val="0018014E"/>
    <w:rsid w:val="0018092A"/>
    <w:rsid w:val="001818DF"/>
    <w:rsid w:val="00181A92"/>
    <w:rsid w:val="00181EB3"/>
    <w:rsid w:val="00182D76"/>
    <w:rsid w:val="0018364F"/>
    <w:rsid w:val="001837CE"/>
    <w:rsid w:val="0018716B"/>
    <w:rsid w:val="00187CF0"/>
    <w:rsid w:val="00190BD4"/>
    <w:rsid w:val="00191307"/>
    <w:rsid w:val="00192149"/>
    <w:rsid w:val="001925B4"/>
    <w:rsid w:val="0019279D"/>
    <w:rsid w:val="00192962"/>
    <w:rsid w:val="00193D29"/>
    <w:rsid w:val="00194334"/>
    <w:rsid w:val="00194583"/>
    <w:rsid w:val="00194FEA"/>
    <w:rsid w:val="00195E54"/>
    <w:rsid w:val="00197B17"/>
    <w:rsid w:val="001A02CE"/>
    <w:rsid w:val="001A123C"/>
    <w:rsid w:val="001A1B80"/>
    <w:rsid w:val="001A1C69"/>
    <w:rsid w:val="001A1D6F"/>
    <w:rsid w:val="001A321B"/>
    <w:rsid w:val="001A3AD8"/>
    <w:rsid w:val="001A4AC6"/>
    <w:rsid w:val="001A643A"/>
    <w:rsid w:val="001A7D8D"/>
    <w:rsid w:val="001B0B8E"/>
    <w:rsid w:val="001B146A"/>
    <w:rsid w:val="001B2978"/>
    <w:rsid w:val="001B2C8E"/>
    <w:rsid w:val="001B2DF2"/>
    <w:rsid w:val="001B327E"/>
    <w:rsid w:val="001B4447"/>
    <w:rsid w:val="001B4EAC"/>
    <w:rsid w:val="001B5D2B"/>
    <w:rsid w:val="001B69E2"/>
    <w:rsid w:val="001C057D"/>
    <w:rsid w:val="001C1952"/>
    <w:rsid w:val="001C27E0"/>
    <w:rsid w:val="001C4586"/>
    <w:rsid w:val="001C4E4D"/>
    <w:rsid w:val="001C5040"/>
    <w:rsid w:val="001C5063"/>
    <w:rsid w:val="001C6136"/>
    <w:rsid w:val="001C6578"/>
    <w:rsid w:val="001D0C28"/>
    <w:rsid w:val="001D11EF"/>
    <w:rsid w:val="001D3DA9"/>
    <w:rsid w:val="001D4AE9"/>
    <w:rsid w:val="001D5D7F"/>
    <w:rsid w:val="001D7456"/>
    <w:rsid w:val="001D79B6"/>
    <w:rsid w:val="001E0018"/>
    <w:rsid w:val="001E0A68"/>
    <w:rsid w:val="001E1118"/>
    <w:rsid w:val="001E1576"/>
    <w:rsid w:val="001E1F08"/>
    <w:rsid w:val="001E3835"/>
    <w:rsid w:val="001E3F89"/>
    <w:rsid w:val="001E4630"/>
    <w:rsid w:val="001E611E"/>
    <w:rsid w:val="001E66D3"/>
    <w:rsid w:val="001E6FD3"/>
    <w:rsid w:val="001F0D5F"/>
    <w:rsid w:val="001F2BA2"/>
    <w:rsid w:val="001F41FF"/>
    <w:rsid w:val="001F465A"/>
    <w:rsid w:val="001F57AE"/>
    <w:rsid w:val="001F5F9E"/>
    <w:rsid w:val="001F76D1"/>
    <w:rsid w:val="001F7E5B"/>
    <w:rsid w:val="00200034"/>
    <w:rsid w:val="00200E06"/>
    <w:rsid w:val="00201A41"/>
    <w:rsid w:val="00201BC0"/>
    <w:rsid w:val="00202685"/>
    <w:rsid w:val="00202EA0"/>
    <w:rsid w:val="002036D5"/>
    <w:rsid w:val="002054F0"/>
    <w:rsid w:val="002059C7"/>
    <w:rsid w:val="00205C22"/>
    <w:rsid w:val="0020766C"/>
    <w:rsid w:val="002103C8"/>
    <w:rsid w:val="002115E0"/>
    <w:rsid w:val="00211A3C"/>
    <w:rsid w:val="00214E5D"/>
    <w:rsid w:val="00215902"/>
    <w:rsid w:val="0021596B"/>
    <w:rsid w:val="00216DE6"/>
    <w:rsid w:val="002172EB"/>
    <w:rsid w:val="002179C2"/>
    <w:rsid w:val="00217A99"/>
    <w:rsid w:val="00220ACC"/>
    <w:rsid w:val="0022161F"/>
    <w:rsid w:val="00221662"/>
    <w:rsid w:val="002217F2"/>
    <w:rsid w:val="0022244C"/>
    <w:rsid w:val="00222AA3"/>
    <w:rsid w:val="00222B71"/>
    <w:rsid w:val="00223414"/>
    <w:rsid w:val="002234A4"/>
    <w:rsid w:val="00223835"/>
    <w:rsid w:val="0022489A"/>
    <w:rsid w:val="0022737E"/>
    <w:rsid w:val="0022742D"/>
    <w:rsid w:val="00230668"/>
    <w:rsid w:val="002317F7"/>
    <w:rsid w:val="00231E2D"/>
    <w:rsid w:val="0023212C"/>
    <w:rsid w:val="002321CB"/>
    <w:rsid w:val="002327F9"/>
    <w:rsid w:val="0023376A"/>
    <w:rsid w:val="002341EA"/>
    <w:rsid w:val="00237710"/>
    <w:rsid w:val="002438C4"/>
    <w:rsid w:val="00244615"/>
    <w:rsid w:val="00244E63"/>
    <w:rsid w:val="00245E0E"/>
    <w:rsid w:val="00246791"/>
    <w:rsid w:val="00246CEC"/>
    <w:rsid w:val="00246E4C"/>
    <w:rsid w:val="0025095B"/>
    <w:rsid w:val="002511DF"/>
    <w:rsid w:val="00251C56"/>
    <w:rsid w:val="00252B41"/>
    <w:rsid w:val="00253B82"/>
    <w:rsid w:val="002542C3"/>
    <w:rsid w:val="00254B74"/>
    <w:rsid w:val="00256559"/>
    <w:rsid w:val="0026009B"/>
    <w:rsid w:val="00260C84"/>
    <w:rsid w:val="0026185D"/>
    <w:rsid w:val="00261FC3"/>
    <w:rsid w:val="002621AA"/>
    <w:rsid w:val="00263146"/>
    <w:rsid w:val="00263F71"/>
    <w:rsid w:val="00264A8B"/>
    <w:rsid w:val="002655FF"/>
    <w:rsid w:val="00265D4A"/>
    <w:rsid w:val="00266553"/>
    <w:rsid w:val="00266EBD"/>
    <w:rsid w:val="00267309"/>
    <w:rsid w:val="00271A18"/>
    <w:rsid w:val="00271B98"/>
    <w:rsid w:val="00272DB7"/>
    <w:rsid w:val="002730CA"/>
    <w:rsid w:val="002752EC"/>
    <w:rsid w:val="00275813"/>
    <w:rsid w:val="00275CAA"/>
    <w:rsid w:val="00276849"/>
    <w:rsid w:val="00276AF0"/>
    <w:rsid w:val="00280438"/>
    <w:rsid w:val="00281A7D"/>
    <w:rsid w:val="0028219D"/>
    <w:rsid w:val="0028263F"/>
    <w:rsid w:val="002841E1"/>
    <w:rsid w:val="00286CA9"/>
    <w:rsid w:val="00287711"/>
    <w:rsid w:val="00290741"/>
    <w:rsid w:val="00293C05"/>
    <w:rsid w:val="002940F5"/>
    <w:rsid w:val="00294234"/>
    <w:rsid w:val="0029600A"/>
    <w:rsid w:val="00296731"/>
    <w:rsid w:val="002A077B"/>
    <w:rsid w:val="002A110C"/>
    <w:rsid w:val="002A1A4A"/>
    <w:rsid w:val="002A203F"/>
    <w:rsid w:val="002A2127"/>
    <w:rsid w:val="002A2C9C"/>
    <w:rsid w:val="002A3F76"/>
    <w:rsid w:val="002A442E"/>
    <w:rsid w:val="002A4D13"/>
    <w:rsid w:val="002A580A"/>
    <w:rsid w:val="002A58F3"/>
    <w:rsid w:val="002A7031"/>
    <w:rsid w:val="002A7F7B"/>
    <w:rsid w:val="002B16A1"/>
    <w:rsid w:val="002B284D"/>
    <w:rsid w:val="002B29B6"/>
    <w:rsid w:val="002B4339"/>
    <w:rsid w:val="002B4739"/>
    <w:rsid w:val="002B56AC"/>
    <w:rsid w:val="002B56CE"/>
    <w:rsid w:val="002B6B20"/>
    <w:rsid w:val="002C1EB7"/>
    <w:rsid w:val="002C242D"/>
    <w:rsid w:val="002C284E"/>
    <w:rsid w:val="002C2C75"/>
    <w:rsid w:val="002C413E"/>
    <w:rsid w:val="002C5D38"/>
    <w:rsid w:val="002C7B52"/>
    <w:rsid w:val="002D00EF"/>
    <w:rsid w:val="002D031A"/>
    <w:rsid w:val="002D44A4"/>
    <w:rsid w:val="002D6231"/>
    <w:rsid w:val="002D62F6"/>
    <w:rsid w:val="002E0789"/>
    <w:rsid w:val="002E0C35"/>
    <w:rsid w:val="002E1A78"/>
    <w:rsid w:val="002E1F72"/>
    <w:rsid w:val="002E281F"/>
    <w:rsid w:val="002E2920"/>
    <w:rsid w:val="002E2CFD"/>
    <w:rsid w:val="002E3AF5"/>
    <w:rsid w:val="002E41BF"/>
    <w:rsid w:val="002E42A4"/>
    <w:rsid w:val="002E4C9B"/>
    <w:rsid w:val="002E502A"/>
    <w:rsid w:val="002E7BDB"/>
    <w:rsid w:val="002F1527"/>
    <w:rsid w:val="002F1957"/>
    <w:rsid w:val="002F1A5E"/>
    <w:rsid w:val="002F2651"/>
    <w:rsid w:val="002F290E"/>
    <w:rsid w:val="002F29D4"/>
    <w:rsid w:val="002F56BA"/>
    <w:rsid w:val="002F5F96"/>
    <w:rsid w:val="002F6397"/>
    <w:rsid w:val="002F76EA"/>
    <w:rsid w:val="002F7861"/>
    <w:rsid w:val="002F7F25"/>
    <w:rsid w:val="0030094C"/>
    <w:rsid w:val="00302C4F"/>
    <w:rsid w:val="003036D4"/>
    <w:rsid w:val="003047BC"/>
    <w:rsid w:val="00305015"/>
    <w:rsid w:val="00305026"/>
    <w:rsid w:val="00305D63"/>
    <w:rsid w:val="00306B3E"/>
    <w:rsid w:val="00307C46"/>
    <w:rsid w:val="00307FEB"/>
    <w:rsid w:val="00307FED"/>
    <w:rsid w:val="0031125B"/>
    <w:rsid w:val="00311D39"/>
    <w:rsid w:val="00311F04"/>
    <w:rsid w:val="00312C01"/>
    <w:rsid w:val="00313A5D"/>
    <w:rsid w:val="00313CD4"/>
    <w:rsid w:val="0031451D"/>
    <w:rsid w:val="00315D19"/>
    <w:rsid w:val="00320115"/>
    <w:rsid w:val="003207BA"/>
    <w:rsid w:val="00320F4E"/>
    <w:rsid w:val="00321201"/>
    <w:rsid w:val="0032206B"/>
    <w:rsid w:val="0032235A"/>
    <w:rsid w:val="0032247C"/>
    <w:rsid w:val="00322695"/>
    <w:rsid w:val="0032274B"/>
    <w:rsid w:val="00322B79"/>
    <w:rsid w:val="00323BD3"/>
    <w:rsid w:val="00324787"/>
    <w:rsid w:val="00326C4B"/>
    <w:rsid w:val="00330981"/>
    <w:rsid w:val="00330EB4"/>
    <w:rsid w:val="00331A41"/>
    <w:rsid w:val="00333842"/>
    <w:rsid w:val="00335864"/>
    <w:rsid w:val="003364AA"/>
    <w:rsid w:val="003368D1"/>
    <w:rsid w:val="003373B7"/>
    <w:rsid w:val="00337A8F"/>
    <w:rsid w:val="00337EEB"/>
    <w:rsid w:val="00340C04"/>
    <w:rsid w:val="00341200"/>
    <w:rsid w:val="0034124F"/>
    <w:rsid w:val="00341D70"/>
    <w:rsid w:val="00341DF2"/>
    <w:rsid w:val="00342874"/>
    <w:rsid w:val="00342D1C"/>
    <w:rsid w:val="0034337D"/>
    <w:rsid w:val="00343408"/>
    <w:rsid w:val="00344340"/>
    <w:rsid w:val="00344FA1"/>
    <w:rsid w:val="00350EF7"/>
    <w:rsid w:val="003511B7"/>
    <w:rsid w:val="00351298"/>
    <w:rsid w:val="00351FE2"/>
    <w:rsid w:val="003524AF"/>
    <w:rsid w:val="00352AC5"/>
    <w:rsid w:val="00353471"/>
    <w:rsid w:val="00354829"/>
    <w:rsid w:val="00355952"/>
    <w:rsid w:val="00357307"/>
    <w:rsid w:val="00360A26"/>
    <w:rsid w:val="00360AED"/>
    <w:rsid w:val="00360DF1"/>
    <w:rsid w:val="003618D5"/>
    <w:rsid w:val="00361F6A"/>
    <w:rsid w:val="0036281C"/>
    <w:rsid w:val="00364230"/>
    <w:rsid w:val="00366D43"/>
    <w:rsid w:val="00370043"/>
    <w:rsid w:val="003717A7"/>
    <w:rsid w:val="00371B65"/>
    <w:rsid w:val="00372AA1"/>
    <w:rsid w:val="00372CB0"/>
    <w:rsid w:val="00374ED8"/>
    <w:rsid w:val="003757F4"/>
    <w:rsid w:val="00375ABB"/>
    <w:rsid w:val="00375FFA"/>
    <w:rsid w:val="003770CC"/>
    <w:rsid w:val="0037737C"/>
    <w:rsid w:val="003773E4"/>
    <w:rsid w:val="0038071B"/>
    <w:rsid w:val="00381F59"/>
    <w:rsid w:val="003821FF"/>
    <w:rsid w:val="00382EC4"/>
    <w:rsid w:val="00383769"/>
    <w:rsid w:val="00385061"/>
    <w:rsid w:val="00385958"/>
    <w:rsid w:val="00385C42"/>
    <w:rsid w:val="003875CE"/>
    <w:rsid w:val="00390864"/>
    <w:rsid w:val="00393592"/>
    <w:rsid w:val="0039513B"/>
    <w:rsid w:val="003961AE"/>
    <w:rsid w:val="0039661E"/>
    <w:rsid w:val="003A008A"/>
    <w:rsid w:val="003A1874"/>
    <w:rsid w:val="003A2231"/>
    <w:rsid w:val="003A4478"/>
    <w:rsid w:val="003A4947"/>
    <w:rsid w:val="003A5F3D"/>
    <w:rsid w:val="003A609E"/>
    <w:rsid w:val="003A6334"/>
    <w:rsid w:val="003A7B47"/>
    <w:rsid w:val="003A7D2F"/>
    <w:rsid w:val="003A7E0B"/>
    <w:rsid w:val="003B05A2"/>
    <w:rsid w:val="003B1ED3"/>
    <w:rsid w:val="003B2414"/>
    <w:rsid w:val="003B3813"/>
    <w:rsid w:val="003B5452"/>
    <w:rsid w:val="003B5AD7"/>
    <w:rsid w:val="003B5E64"/>
    <w:rsid w:val="003B6C85"/>
    <w:rsid w:val="003B7A08"/>
    <w:rsid w:val="003C0164"/>
    <w:rsid w:val="003C0187"/>
    <w:rsid w:val="003C1833"/>
    <w:rsid w:val="003C53E9"/>
    <w:rsid w:val="003C5979"/>
    <w:rsid w:val="003C5B97"/>
    <w:rsid w:val="003C5D90"/>
    <w:rsid w:val="003C7401"/>
    <w:rsid w:val="003C77BE"/>
    <w:rsid w:val="003D0C68"/>
    <w:rsid w:val="003D0E3E"/>
    <w:rsid w:val="003D2D7B"/>
    <w:rsid w:val="003D2F70"/>
    <w:rsid w:val="003D4529"/>
    <w:rsid w:val="003D50B5"/>
    <w:rsid w:val="003D5122"/>
    <w:rsid w:val="003D53BF"/>
    <w:rsid w:val="003D5A80"/>
    <w:rsid w:val="003D6F80"/>
    <w:rsid w:val="003E046C"/>
    <w:rsid w:val="003E11FC"/>
    <w:rsid w:val="003E1CF8"/>
    <w:rsid w:val="003E1E04"/>
    <w:rsid w:val="003E21D6"/>
    <w:rsid w:val="003E5D40"/>
    <w:rsid w:val="003E6549"/>
    <w:rsid w:val="003E71BE"/>
    <w:rsid w:val="003E7FDC"/>
    <w:rsid w:val="003E7FE6"/>
    <w:rsid w:val="003F09CE"/>
    <w:rsid w:val="003F1A25"/>
    <w:rsid w:val="003F2AAC"/>
    <w:rsid w:val="003F3FAE"/>
    <w:rsid w:val="003F49DD"/>
    <w:rsid w:val="003F5564"/>
    <w:rsid w:val="003F6060"/>
    <w:rsid w:val="003F6153"/>
    <w:rsid w:val="003F694C"/>
    <w:rsid w:val="003F6B29"/>
    <w:rsid w:val="003F6EB7"/>
    <w:rsid w:val="003F6EC2"/>
    <w:rsid w:val="003F7368"/>
    <w:rsid w:val="003F7F1B"/>
    <w:rsid w:val="0040041B"/>
    <w:rsid w:val="004004CD"/>
    <w:rsid w:val="00401506"/>
    <w:rsid w:val="00404C40"/>
    <w:rsid w:val="00404DBE"/>
    <w:rsid w:val="004057B1"/>
    <w:rsid w:val="00406D95"/>
    <w:rsid w:val="00407D70"/>
    <w:rsid w:val="004102E0"/>
    <w:rsid w:val="00410E0B"/>
    <w:rsid w:val="00412832"/>
    <w:rsid w:val="00414129"/>
    <w:rsid w:val="0041482E"/>
    <w:rsid w:val="00415891"/>
    <w:rsid w:val="00416716"/>
    <w:rsid w:val="0041783A"/>
    <w:rsid w:val="00420172"/>
    <w:rsid w:val="00420647"/>
    <w:rsid w:val="00421C14"/>
    <w:rsid w:val="00421E55"/>
    <w:rsid w:val="0042278A"/>
    <w:rsid w:val="004234B9"/>
    <w:rsid w:val="00423E2F"/>
    <w:rsid w:val="004257E0"/>
    <w:rsid w:val="004274BD"/>
    <w:rsid w:val="00431021"/>
    <w:rsid w:val="00431C4F"/>
    <w:rsid w:val="00431D55"/>
    <w:rsid w:val="004324E3"/>
    <w:rsid w:val="004334DC"/>
    <w:rsid w:val="00433AC4"/>
    <w:rsid w:val="00440730"/>
    <w:rsid w:val="004423AF"/>
    <w:rsid w:val="00442CCD"/>
    <w:rsid w:val="00442D44"/>
    <w:rsid w:val="00443570"/>
    <w:rsid w:val="00443D20"/>
    <w:rsid w:val="004446EA"/>
    <w:rsid w:val="00445AD4"/>
    <w:rsid w:val="00446583"/>
    <w:rsid w:val="004503E6"/>
    <w:rsid w:val="004504C7"/>
    <w:rsid w:val="004506EE"/>
    <w:rsid w:val="00450738"/>
    <w:rsid w:val="00450BAE"/>
    <w:rsid w:val="004512DB"/>
    <w:rsid w:val="00453C3F"/>
    <w:rsid w:val="00453D75"/>
    <w:rsid w:val="00454237"/>
    <w:rsid w:val="0045428F"/>
    <w:rsid w:val="00454CB5"/>
    <w:rsid w:val="00454FF2"/>
    <w:rsid w:val="00456F83"/>
    <w:rsid w:val="0045714C"/>
    <w:rsid w:val="0046019B"/>
    <w:rsid w:val="0046060E"/>
    <w:rsid w:val="00461664"/>
    <w:rsid w:val="00462327"/>
    <w:rsid w:val="0046279C"/>
    <w:rsid w:val="00463F6A"/>
    <w:rsid w:val="00465977"/>
    <w:rsid w:val="0046630D"/>
    <w:rsid w:val="004704D4"/>
    <w:rsid w:val="00470DD9"/>
    <w:rsid w:val="004710C4"/>
    <w:rsid w:val="004712A3"/>
    <w:rsid w:val="00472C12"/>
    <w:rsid w:val="00472F1C"/>
    <w:rsid w:val="00474366"/>
    <w:rsid w:val="004750E8"/>
    <w:rsid w:val="00475131"/>
    <w:rsid w:val="00475BD2"/>
    <w:rsid w:val="00475E9B"/>
    <w:rsid w:val="00477727"/>
    <w:rsid w:val="004809F5"/>
    <w:rsid w:val="00480D94"/>
    <w:rsid w:val="004810AA"/>
    <w:rsid w:val="004817D7"/>
    <w:rsid w:val="00481AFA"/>
    <w:rsid w:val="0048223F"/>
    <w:rsid w:val="0048372A"/>
    <w:rsid w:val="00483E6F"/>
    <w:rsid w:val="00484ACA"/>
    <w:rsid w:val="004853AA"/>
    <w:rsid w:val="00485728"/>
    <w:rsid w:val="00487CBF"/>
    <w:rsid w:val="00490482"/>
    <w:rsid w:val="004906DF"/>
    <w:rsid w:val="00490A14"/>
    <w:rsid w:val="00491385"/>
    <w:rsid w:val="00492682"/>
    <w:rsid w:val="004926A7"/>
    <w:rsid w:val="004927A5"/>
    <w:rsid w:val="0049291C"/>
    <w:rsid w:val="00492FA0"/>
    <w:rsid w:val="00494043"/>
    <w:rsid w:val="0049490E"/>
    <w:rsid w:val="00496C3B"/>
    <w:rsid w:val="004A063A"/>
    <w:rsid w:val="004A2766"/>
    <w:rsid w:val="004A498C"/>
    <w:rsid w:val="004A6E30"/>
    <w:rsid w:val="004A7D68"/>
    <w:rsid w:val="004B02C8"/>
    <w:rsid w:val="004B1084"/>
    <w:rsid w:val="004B16F2"/>
    <w:rsid w:val="004B219E"/>
    <w:rsid w:val="004B2D8C"/>
    <w:rsid w:val="004B37B5"/>
    <w:rsid w:val="004B39BA"/>
    <w:rsid w:val="004B3DBC"/>
    <w:rsid w:val="004B3DEB"/>
    <w:rsid w:val="004B52CD"/>
    <w:rsid w:val="004B5840"/>
    <w:rsid w:val="004B619C"/>
    <w:rsid w:val="004B69F8"/>
    <w:rsid w:val="004B72F8"/>
    <w:rsid w:val="004B7A58"/>
    <w:rsid w:val="004B7A75"/>
    <w:rsid w:val="004B7C9B"/>
    <w:rsid w:val="004B7F10"/>
    <w:rsid w:val="004C1042"/>
    <w:rsid w:val="004C10AB"/>
    <w:rsid w:val="004C1644"/>
    <w:rsid w:val="004C1B21"/>
    <w:rsid w:val="004C230B"/>
    <w:rsid w:val="004C3736"/>
    <w:rsid w:val="004C479A"/>
    <w:rsid w:val="004C4ED3"/>
    <w:rsid w:val="004C7214"/>
    <w:rsid w:val="004D02AF"/>
    <w:rsid w:val="004D05C4"/>
    <w:rsid w:val="004D2A8C"/>
    <w:rsid w:val="004D37A2"/>
    <w:rsid w:val="004D4369"/>
    <w:rsid w:val="004D46B6"/>
    <w:rsid w:val="004D4DE1"/>
    <w:rsid w:val="004D5D2F"/>
    <w:rsid w:val="004D5DE6"/>
    <w:rsid w:val="004D73CF"/>
    <w:rsid w:val="004D7551"/>
    <w:rsid w:val="004D7F3B"/>
    <w:rsid w:val="004E0378"/>
    <w:rsid w:val="004E1EA9"/>
    <w:rsid w:val="004E1FB9"/>
    <w:rsid w:val="004E2938"/>
    <w:rsid w:val="004E3DB1"/>
    <w:rsid w:val="004E42E5"/>
    <w:rsid w:val="004E4C49"/>
    <w:rsid w:val="004E4F63"/>
    <w:rsid w:val="004E6995"/>
    <w:rsid w:val="004E6BD4"/>
    <w:rsid w:val="004E7900"/>
    <w:rsid w:val="004E7BC4"/>
    <w:rsid w:val="004F03D8"/>
    <w:rsid w:val="004F2978"/>
    <w:rsid w:val="004F2E36"/>
    <w:rsid w:val="004F301A"/>
    <w:rsid w:val="004F46CB"/>
    <w:rsid w:val="004F508D"/>
    <w:rsid w:val="004F5169"/>
    <w:rsid w:val="004F556A"/>
    <w:rsid w:val="004F73EE"/>
    <w:rsid w:val="004F7E41"/>
    <w:rsid w:val="00502721"/>
    <w:rsid w:val="005047B1"/>
    <w:rsid w:val="005050CF"/>
    <w:rsid w:val="00505808"/>
    <w:rsid w:val="00506265"/>
    <w:rsid w:val="005065BA"/>
    <w:rsid w:val="005079FA"/>
    <w:rsid w:val="005102BA"/>
    <w:rsid w:val="0051065D"/>
    <w:rsid w:val="00510B80"/>
    <w:rsid w:val="0051147B"/>
    <w:rsid w:val="00511AC0"/>
    <w:rsid w:val="005120A0"/>
    <w:rsid w:val="00512163"/>
    <w:rsid w:val="00512BA2"/>
    <w:rsid w:val="0051305D"/>
    <w:rsid w:val="0051374F"/>
    <w:rsid w:val="005137D4"/>
    <w:rsid w:val="00513B51"/>
    <w:rsid w:val="00514D14"/>
    <w:rsid w:val="00515BAA"/>
    <w:rsid w:val="00516B48"/>
    <w:rsid w:val="00516C2A"/>
    <w:rsid w:val="00517BD1"/>
    <w:rsid w:val="00517EC1"/>
    <w:rsid w:val="005200D6"/>
    <w:rsid w:val="00520246"/>
    <w:rsid w:val="00521905"/>
    <w:rsid w:val="00521B2A"/>
    <w:rsid w:val="00522127"/>
    <w:rsid w:val="00524CC0"/>
    <w:rsid w:val="0052503B"/>
    <w:rsid w:val="00525638"/>
    <w:rsid w:val="0052602B"/>
    <w:rsid w:val="00527364"/>
    <w:rsid w:val="00527D30"/>
    <w:rsid w:val="00530D93"/>
    <w:rsid w:val="00530E6E"/>
    <w:rsid w:val="00531A40"/>
    <w:rsid w:val="00531D0E"/>
    <w:rsid w:val="00532127"/>
    <w:rsid w:val="00532E1D"/>
    <w:rsid w:val="005335A8"/>
    <w:rsid w:val="005337F7"/>
    <w:rsid w:val="0053422F"/>
    <w:rsid w:val="00535B3F"/>
    <w:rsid w:val="0053700F"/>
    <w:rsid w:val="005378E0"/>
    <w:rsid w:val="00540036"/>
    <w:rsid w:val="005400D8"/>
    <w:rsid w:val="00540D85"/>
    <w:rsid w:val="0054135A"/>
    <w:rsid w:val="005414F5"/>
    <w:rsid w:val="00542050"/>
    <w:rsid w:val="0054225B"/>
    <w:rsid w:val="00542279"/>
    <w:rsid w:val="00542A17"/>
    <w:rsid w:val="00544D09"/>
    <w:rsid w:val="00545583"/>
    <w:rsid w:val="00545843"/>
    <w:rsid w:val="00545A77"/>
    <w:rsid w:val="00545BBB"/>
    <w:rsid w:val="005468EB"/>
    <w:rsid w:val="00546D90"/>
    <w:rsid w:val="00547121"/>
    <w:rsid w:val="00550204"/>
    <w:rsid w:val="00550520"/>
    <w:rsid w:val="00551281"/>
    <w:rsid w:val="00551889"/>
    <w:rsid w:val="005520E0"/>
    <w:rsid w:val="00552416"/>
    <w:rsid w:val="005548D2"/>
    <w:rsid w:val="005550B2"/>
    <w:rsid w:val="005576EB"/>
    <w:rsid w:val="005605AA"/>
    <w:rsid w:val="00560B1F"/>
    <w:rsid w:val="00562B7A"/>
    <w:rsid w:val="00562C45"/>
    <w:rsid w:val="005639CA"/>
    <w:rsid w:val="00563BB0"/>
    <w:rsid w:val="0056425D"/>
    <w:rsid w:val="005643E3"/>
    <w:rsid w:val="00564CDE"/>
    <w:rsid w:val="005651CB"/>
    <w:rsid w:val="00565363"/>
    <w:rsid w:val="0056642C"/>
    <w:rsid w:val="005667B7"/>
    <w:rsid w:val="005669FB"/>
    <w:rsid w:val="005678FB"/>
    <w:rsid w:val="00570982"/>
    <w:rsid w:val="0057164C"/>
    <w:rsid w:val="00571C3C"/>
    <w:rsid w:val="00572012"/>
    <w:rsid w:val="00572EEB"/>
    <w:rsid w:val="00573398"/>
    <w:rsid w:val="00573570"/>
    <w:rsid w:val="005742A5"/>
    <w:rsid w:val="005743A3"/>
    <w:rsid w:val="00576747"/>
    <w:rsid w:val="00576C9A"/>
    <w:rsid w:val="00577700"/>
    <w:rsid w:val="00577A18"/>
    <w:rsid w:val="00577D4A"/>
    <w:rsid w:val="00580821"/>
    <w:rsid w:val="005810CE"/>
    <w:rsid w:val="00582033"/>
    <w:rsid w:val="005824A0"/>
    <w:rsid w:val="0058252B"/>
    <w:rsid w:val="005845C0"/>
    <w:rsid w:val="00585529"/>
    <w:rsid w:val="00585E7B"/>
    <w:rsid w:val="005864AC"/>
    <w:rsid w:val="005864C7"/>
    <w:rsid w:val="005875DC"/>
    <w:rsid w:val="00592ECD"/>
    <w:rsid w:val="00593EF7"/>
    <w:rsid w:val="00594371"/>
    <w:rsid w:val="0059654D"/>
    <w:rsid w:val="005967CD"/>
    <w:rsid w:val="005A0A28"/>
    <w:rsid w:val="005A1059"/>
    <w:rsid w:val="005A1E2D"/>
    <w:rsid w:val="005A4A0A"/>
    <w:rsid w:val="005A4B90"/>
    <w:rsid w:val="005A5525"/>
    <w:rsid w:val="005A6AFA"/>
    <w:rsid w:val="005A759D"/>
    <w:rsid w:val="005A76F1"/>
    <w:rsid w:val="005A7CB8"/>
    <w:rsid w:val="005B173B"/>
    <w:rsid w:val="005B21F2"/>
    <w:rsid w:val="005B2D74"/>
    <w:rsid w:val="005B3465"/>
    <w:rsid w:val="005B489E"/>
    <w:rsid w:val="005B4B71"/>
    <w:rsid w:val="005B537B"/>
    <w:rsid w:val="005B5984"/>
    <w:rsid w:val="005B62E1"/>
    <w:rsid w:val="005B6941"/>
    <w:rsid w:val="005B7DBA"/>
    <w:rsid w:val="005C0BF6"/>
    <w:rsid w:val="005C22AE"/>
    <w:rsid w:val="005C2E1D"/>
    <w:rsid w:val="005C3988"/>
    <w:rsid w:val="005C3D73"/>
    <w:rsid w:val="005C6265"/>
    <w:rsid w:val="005C6293"/>
    <w:rsid w:val="005C7D4D"/>
    <w:rsid w:val="005D03D0"/>
    <w:rsid w:val="005D05CD"/>
    <w:rsid w:val="005D0E6E"/>
    <w:rsid w:val="005D25B5"/>
    <w:rsid w:val="005D596B"/>
    <w:rsid w:val="005D6DCC"/>
    <w:rsid w:val="005D7A41"/>
    <w:rsid w:val="005E21D2"/>
    <w:rsid w:val="005E2AF6"/>
    <w:rsid w:val="005E31FF"/>
    <w:rsid w:val="005E41FB"/>
    <w:rsid w:val="005E4663"/>
    <w:rsid w:val="005E4E99"/>
    <w:rsid w:val="005E5406"/>
    <w:rsid w:val="005E5F1D"/>
    <w:rsid w:val="005E6324"/>
    <w:rsid w:val="005E6592"/>
    <w:rsid w:val="005E69CF"/>
    <w:rsid w:val="005E6A5D"/>
    <w:rsid w:val="005E7768"/>
    <w:rsid w:val="005F02FC"/>
    <w:rsid w:val="005F0572"/>
    <w:rsid w:val="005F1D3C"/>
    <w:rsid w:val="005F1D62"/>
    <w:rsid w:val="005F23E5"/>
    <w:rsid w:val="005F3937"/>
    <w:rsid w:val="005F3C99"/>
    <w:rsid w:val="005F4F63"/>
    <w:rsid w:val="005F5692"/>
    <w:rsid w:val="005F686F"/>
    <w:rsid w:val="005F6E5A"/>
    <w:rsid w:val="005F6F5C"/>
    <w:rsid w:val="005F7881"/>
    <w:rsid w:val="006019DA"/>
    <w:rsid w:val="00601D70"/>
    <w:rsid w:val="00604E6D"/>
    <w:rsid w:val="00605135"/>
    <w:rsid w:val="00605C4E"/>
    <w:rsid w:val="00605D0B"/>
    <w:rsid w:val="00606272"/>
    <w:rsid w:val="006064F8"/>
    <w:rsid w:val="00607293"/>
    <w:rsid w:val="006077FF"/>
    <w:rsid w:val="0061012A"/>
    <w:rsid w:val="00610F85"/>
    <w:rsid w:val="00613A2B"/>
    <w:rsid w:val="006163FB"/>
    <w:rsid w:val="0061671A"/>
    <w:rsid w:val="006213E7"/>
    <w:rsid w:val="00623284"/>
    <w:rsid w:val="006232FE"/>
    <w:rsid w:val="00623E6D"/>
    <w:rsid w:val="006243D6"/>
    <w:rsid w:val="006247FA"/>
    <w:rsid w:val="00625776"/>
    <w:rsid w:val="006276FD"/>
    <w:rsid w:val="00627D64"/>
    <w:rsid w:val="0063008F"/>
    <w:rsid w:val="00634C77"/>
    <w:rsid w:val="006353FB"/>
    <w:rsid w:val="00635836"/>
    <w:rsid w:val="00635856"/>
    <w:rsid w:val="00636660"/>
    <w:rsid w:val="0063690F"/>
    <w:rsid w:val="00637912"/>
    <w:rsid w:val="006405DB"/>
    <w:rsid w:val="0064090C"/>
    <w:rsid w:val="006412FC"/>
    <w:rsid w:val="00644874"/>
    <w:rsid w:val="00646F76"/>
    <w:rsid w:val="006473BD"/>
    <w:rsid w:val="006500EB"/>
    <w:rsid w:val="00650405"/>
    <w:rsid w:val="00651AC0"/>
    <w:rsid w:val="006535ED"/>
    <w:rsid w:val="00653822"/>
    <w:rsid w:val="006545B5"/>
    <w:rsid w:val="00654DC1"/>
    <w:rsid w:val="00656B38"/>
    <w:rsid w:val="00657D27"/>
    <w:rsid w:val="00657E82"/>
    <w:rsid w:val="00661CDF"/>
    <w:rsid w:val="006620CA"/>
    <w:rsid w:val="00663A47"/>
    <w:rsid w:val="0066430A"/>
    <w:rsid w:val="0066569E"/>
    <w:rsid w:val="006679F8"/>
    <w:rsid w:val="00671713"/>
    <w:rsid w:val="006718AD"/>
    <w:rsid w:val="0067251A"/>
    <w:rsid w:val="006730EB"/>
    <w:rsid w:val="00674C4F"/>
    <w:rsid w:val="00674D54"/>
    <w:rsid w:val="0067530A"/>
    <w:rsid w:val="006756A9"/>
    <w:rsid w:val="006806C6"/>
    <w:rsid w:val="00681CF2"/>
    <w:rsid w:val="00681E43"/>
    <w:rsid w:val="00681E48"/>
    <w:rsid w:val="0068276D"/>
    <w:rsid w:val="0068443B"/>
    <w:rsid w:val="00685106"/>
    <w:rsid w:val="00685469"/>
    <w:rsid w:val="006902B5"/>
    <w:rsid w:val="00690C01"/>
    <w:rsid w:val="006910D2"/>
    <w:rsid w:val="00693F13"/>
    <w:rsid w:val="006951E5"/>
    <w:rsid w:val="00696A84"/>
    <w:rsid w:val="006978A1"/>
    <w:rsid w:val="006A0D96"/>
    <w:rsid w:val="006A1684"/>
    <w:rsid w:val="006A19A4"/>
    <w:rsid w:val="006A1C9A"/>
    <w:rsid w:val="006A218D"/>
    <w:rsid w:val="006A2F55"/>
    <w:rsid w:val="006A33D0"/>
    <w:rsid w:val="006A39B0"/>
    <w:rsid w:val="006A4D4B"/>
    <w:rsid w:val="006A5FBE"/>
    <w:rsid w:val="006A685B"/>
    <w:rsid w:val="006A6C9E"/>
    <w:rsid w:val="006A7170"/>
    <w:rsid w:val="006B3654"/>
    <w:rsid w:val="006B41D8"/>
    <w:rsid w:val="006B4A4C"/>
    <w:rsid w:val="006B4B8A"/>
    <w:rsid w:val="006B4BBB"/>
    <w:rsid w:val="006B5080"/>
    <w:rsid w:val="006B605F"/>
    <w:rsid w:val="006B659A"/>
    <w:rsid w:val="006B6E02"/>
    <w:rsid w:val="006B72AE"/>
    <w:rsid w:val="006B7B97"/>
    <w:rsid w:val="006C0A97"/>
    <w:rsid w:val="006C0C53"/>
    <w:rsid w:val="006C114C"/>
    <w:rsid w:val="006C1756"/>
    <w:rsid w:val="006C26D5"/>
    <w:rsid w:val="006C27D7"/>
    <w:rsid w:val="006C2B16"/>
    <w:rsid w:val="006C3719"/>
    <w:rsid w:val="006C397F"/>
    <w:rsid w:val="006C4591"/>
    <w:rsid w:val="006C5C4E"/>
    <w:rsid w:val="006C7ACE"/>
    <w:rsid w:val="006C7E9F"/>
    <w:rsid w:val="006D1061"/>
    <w:rsid w:val="006D21C2"/>
    <w:rsid w:val="006D2476"/>
    <w:rsid w:val="006D2A80"/>
    <w:rsid w:val="006D3D3D"/>
    <w:rsid w:val="006D468F"/>
    <w:rsid w:val="006D4D75"/>
    <w:rsid w:val="006D6A90"/>
    <w:rsid w:val="006D759B"/>
    <w:rsid w:val="006E00B7"/>
    <w:rsid w:val="006E0833"/>
    <w:rsid w:val="006E2EE3"/>
    <w:rsid w:val="006E3A2C"/>
    <w:rsid w:val="006E4176"/>
    <w:rsid w:val="006E420E"/>
    <w:rsid w:val="006E4424"/>
    <w:rsid w:val="006E46B6"/>
    <w:rsid w:val="006E6B4D"/>
    <w:rsid w:val="006E6C73"/>
    <w:rsid w:val="006E7E4E"/>
    <w:rsid w:val="006F136E"/>
    <w:rsid w:val="006F1FF7"/>
    <w:rsid w:val="006F2EC4"/>
    <w:rsid w:val="006F3755"/>
    <w:rsid w:val="006F4887"/>
    <w:rsid w:val="006F49B8"/>
    <w:rsid w:val="00700A95"/>
    <w:rsid w:val="00701687"/>
    <w:rsid w:val="007027A3"/>
    <w:rsid w:val="00702E4C"/>
    <w:rsid w:val="007030B8"/>
    <w:rsid w:val="00704681"/>
    <w:rsid w:val="00705B0D"/>
    <w:rsid w:val="00705B7D"/>
    <w:rsid w:val="00705C54"/>
    <w:rsid w:val="007064F8"/>
    <w:rsid w:val="007067C1"/>
    <w:rsid w:val="00706F59"/>
    <w:rsid w:val="007071B2"/>
    <w:rsid w:val="007077B9"/>
    <w:rsid w:val="0070792F"/>
    <w:rsid w:val="00707DF0"/>
    <w:rsid w:val="00711B0F"/>
    <w:rsid w:val="00712586"/>
    <w:rsid w:val="0071279C"/>
    <w:rsid w:val="007133A5"/>
    <w:rsid w:val="007142ED"/>
    <w:rsid w:val="00714C47"/>
    <w:rsid w:val="007150BD"/>
    <w:rsid w:val="00716776"/>
    <w:rsid w:val="007219A5"/>
    <w:rsid w:val="00721FE7"/>
    <w:rsid w:val="00722F7E"/>
    <w:rsid w:val="00723078"/>
    <w:rsid w:val="007237E8"/>
    <w:rsid w:val="00723E71"/>
    <w:rsid w:val="00724DF3"/>
    <w:rsid w:val="0072555B"/>
    <w:rsid w:val="00727C7C"/>
    <w:rsid w:val="00730733"/>
    <w:rsid w:val="00732863"/>
    <w:rsid w:val="0073289B"/>
    <w:rsid w:val="00732AF6"/>
    <w:rsid w:val="00732F66"/>
    <w:rsid w:val="00733493"/>
    <w:rsid w:val="00734C6A"/>
    <w:rsid w:val="00734E59"/>
    <w:rsid w:val="007360D4"/>
    <w:rsid w:val="007367C7"/>
    <w:rsid w:val="00740602"/>
    <w:rsid w:val="0074090B"/>
    <w:rsid w:val="00740C05"/>
    <w:rsid w:val="00740C0F"/>
    <w:rsid w:val="00741D62"/>
    <w:rsid w:val="00741DF4"/>
    <w:rsid w:val="00742A32"/>
    <w:rsid w:val="00742CE7"/>
    <w:rsid w:val="00742EC3"/>
    <w:rsid w:val="007435BE"/>
    <w:rsid w:val="00743AE1"/>
    <w:rsid w:val="00745228"/>
    <w:rsid w:val="00745CAB"/>
    <w:rsid w:val="00745DBB"/>
    <w:rsid w:val="007472F0"/>
    <w:rsid w:val="00747816"/>
    <w:rsid w:val="0074782B"/>
    <w:rsid w:val="0075107D"/>
    <w:rsid w:val="0075144F"/>
    <w:rsid w:val="00752E65"/>
    <w:rsid w:val="00753632"/>
    <w:rsid w:val="00753DB7"/>
    <w:rsid w:val="007550F0"/>
    <w:rsid w:val="007554FF"/>
    <w:rsid w:val="00755B16"/>
    <w:rsid w:val="007567FA"/>
    <w:rsid w:val="007600C3"/>
    <w:rsid w:val="007603FE"/>
    <w:rsid w:val="0076058C"/>
    <w:rsid w:val="00760DFC"/>
    <w:rsid w:val="007612FB"/>
    <w:rsid w:val="007613A2"/>
    <w:rsid w:val="00761DB5"/>
    <w:rsid w:val="0076245F"/>
    <w:rsid w:val="0076546F"/>
    <w:rsid w:val="00767339"/>
    <w:rsid w:val="00770A05"/>
    <w:rsid w:val="00770CFD"/>
    <w:rsid w:val="00771618"/>
    <w:rsid w:val="00772328"/>
    <w:rsid w:val="00772440"/>
    <w:rsid w:val="00773C91"/>
    <w:rsid w:val="00773E46"/>
    <w:rsid w:val="00775EE7"/>
    <w:rsid w:val="00777CA8"/>
    <w:rsid w:val="00782C68"/>
    <w:rsid w:val="00783CF4"/>
    <w:rsid w:val="0078497E"/>
    <w:rsid w:val="00786532"/>
    <w:rsid w:val="00786B57"/>
    <w:rsid w:val="00786C5B"/>
    <w:rsid w:val="00787546"/>
    <w:rsid w:val="00787A22"/>
    <w:rsid w:val="00787A26"/>
    <w:rsid w:val="007907DF"/>
    <w:rsid w:val="00790AC1"/>
    <w:rsid w:val="00790EB3"/>
    <w:rsid w:val="00790F14"/>
    <w:rsid w:val="00791167"/>
    <w:rsid w:val="00791986"/>
    <w:rsid w:val="00791CE7"/>
    <w:rsid w:val="00792B7D"/>
    <w:rsid w:val="00793D74"/>
    <w:rsid w:val="00793E48"/>
    <w:rsid w:val="00794524"/>
    <w:rsid w:val="00794C86"/>
    <w:rsid w:val="00795A02"/>
    <w:rsid w:val="00795C9D"/>
    <w:rsid w:val="00796DBC"/>
    <w:rsid w:val="0079795E"/>
    <w:rsid w:val="007A056F"/>
    <w:rsid w:val="007A0DAE"/>
    <w:rsid w:val="007A24A7"/>
    <w:rsid w:val="007A3F66"/>
    <w:rsid w:val="007A41C8"/>
    <w:rsid w:val="007A4971"/>
    <w:rsid w:val="007A5942"/>
    <w:rsid w:val="007A5DA9"/>
    <w:rsid w:val="007A6E15"/>
    <w:rsid w:val="007B09A2"/>
    <w:rsid w:val="007B1399"/>
    <w:rsid w:val="007B1403"/>
    <w:rsid w:val="007B1445"/>
    <w:rsid w:val="007B1593"/>
    <w:rsid w:val="007B1EC4"/>
    <w:rsid w:val="007B3EA6"/>
    <w:rsid w:val="007B538B"/>
    <w:rsid w:val="007B6657"/>
    <w:rsid w:val="007C0668"/>
    <w:rsid w:val="007C0E17"/>
    <w:rsid w:val="007C136A"/>
    <w:rsid w:val="007C34CC"/>
    <w:rsid w:val="007C40D2"/>
    <w:rsid w:val="007C48AF"/>
    <w:rsid w:val="007C5179"/>
    <w:rsid w:val="007C58CB"/>
    <w:rsid w:val="007C757F"/>
    <w:rsid w:val="007C7E24"/>
    <w:rsid w:val="007D1468"/>
    <w:rsid w:val="007D2422"/>
    <w:rsid w:val="007D2607"/>
    <w:rsid w:val="007D26BF"/>
    <w:rsid w:val="007D2A3A"/>
    <w:rsid w:val="007D3225"/>
    <w:rsid w:val="007D43DD"/>
    <w:rsid w:val="007D4EA5"/>
    <w:rsid w:val="007D6210"/>
    <w:rsid w:val="007D7167"/>
    <w:rsid w:val="007D773B"/>
    <w:rsid w:val="007E1001"/>
    <w:rsid w:val="007E1091"/>
    <w:rsid w:val="007E15B9"/>
    <w:rsid w:val="007E16DC"/>
    <w:rsid w:val="007E17F1"/>
    <w:rsid w:val="007E211C"/>
    <w:rsid w:val="007E2183"/>
    <w:rsid w:val="007E37DD"/>
    <w:rsid w:val="007E44CA"/>
    <w:rsid w:val="007E59D7"/>
    <w:rsid w:val="007E7525"/>
    <w:rsid w:val="007E7D60"/>
    <w:rsid w:val="007F170F"/>
    <w:rsid w:val="007F1D2B"/>
    <w:rsid w:val="007F2842"/>
    <w:rsid w:val="007F53E8"/>
    <w:rsid w:val="007F5B0F"/>
    <w:rsid w:val="007F6535"/>
    <w:rsid w:val="007F6BB8"/>
    <w:rsid w:val="007F72D5"/>
    <w:rsid w:val="007F732D"/>
    <w:rsid w:val="007F7942"/>
    <w:rsid w:val="007F7C2B"/>
    <w:rsid w:val="00800531"/>
    <w:rsid w:val="0080209A"/>
    <w:rsid w:val="008024FB"/>
    <w:rsid w:val="00803036"/>
    <w:rsid w:val="00803222"/>
    <w:rsid w:val="00803929"/>
    <w:rsid w:val="00803AEB"/>
    <w:rsid w:val="0080419B"/>
    <w:rsid w:val="008045FA"/>
    <w:rsid w:val="00804754"/>
    <w:rsid w:val="00804858"/>
    <w:rsid w:val="0080493F"/>
    <w:rsid w:val="00804C64"/>
    <w:rsid w:val="0080696A"/>
    <w:rsid w:val="00810174"/>
    <w:rsid w:val="0081148C"/>
    <w:rsid w:val="00811869"/>
    <w:rsid w:val="0081310E"/>
    <w:rsid w:val="00813291"/>
    <w:rsid w:val="008137D3"/>
    <w:rsid w:val="0081416B"/>
    <w:rsid w:val="0081587B"/>
    <w:rsid w:val="00815982"/>
    <w:rsid w:val="00815AC9"/>
    <w:rsid w:val="00816E82"/>
    <w:rsid w:val="00821113"/>
    <w:rsid w:val="00823B01"/>
    <w:rsid w:val="0082440A"/>
    <w:rsid w:val="00825505"/>
    <w:rsid w:val="0082635F"/>
    <w:rsid w:val="0082701A"/>
    <w:rsid w:val="0083051E"/>
    <w:rsid w:val="00830E7E"/>
    <w:rsid w:val="00833088"/>
    <w:rsid w:val="00833106"/>
    <w:rsid w:val="008339C3"/>
    <w:rsid w:val="00834210"/>
    <w:rsid w:val="0083496D"/>
    <w:rsid w:val="00835161"/>
    <w:rsid w:val="00835798"/>
    <w:rsid w:val="008363DC"/>
    <w:rsid w:val="00836E7B"/>
    <w:rsid w:val="008379BD"/>
    <w:rsid w:val="008401B1"/>
    <w:rsid w:val="00840975"/>
    <w:rsid w:val="00844F59"/>
    <w:rsid w:val="00846B6B"/>
    <w:rsid w:val="0085374C"/>
    <w:rsid w:val="0085479C"/>
    <w:rsid w:val="00854A0B"/>
    <w:rsid w:val="00854D61"/>
    <w:rsid w:val="0085568E"/>
    <w:rsid w:val="0085661A"/>
    <w:rsid w:val="00856A04"/>
    <w:rsid w:val="008578D3"/>
    <w:rsid w:val="008621CD"/>
    <w:rsid w:val="008627E3"/>
    <w:rsid w:val="008633DF"/>
    <w:rsid w:val="0086460D"/>
    <w:rsid w:val="0086476A"/>
    <w:rsid w:val="00865D36"/>
    <w:rsid w:val="00866127"/>
    <w:rsid w:val="00867EEF"/>
    <w:rsid w:val="00871938"/>
    <w:rsid w:val="00871C65"/>
    <w:rsid w:val="008730B8"/>
    <w:rsid w:val="00873848"/>
    <w:rsid w:val="008746B0"/>
    <w:rsid w:val="008820F8"/>
    <w:rsid w:val="00883F82"/>
    <w:rsid w:val="00883FE2"/>
    <w:rsid w:val="00887174"/>
    <w:rsid w:val="00887496"/>
    <w:rsid w:val="008876C1"/>
    <w:rsid w:val="00887F3F"/>
    <w:rsid w:val="008923B8"/>
    <w:rsid w:val="0089288F"/>
    <w:rsid w:val="008943EA"/>
    <w:rsid w:val="0089487C"/>
    <w:rsid w:val="00894A46"/>
    <w:rsid w:val="00895351"/>
    <w:rsid w:val="008960CE"/>
    <w:rsid w:val="008962D2"/>
    <w:rsid w:val="00896480"/>
    <w:rsid w:val="008971F7"/>
    <w:rsid w:val="0089756C"/>
    <w:rsid w:val="008A13C3"/>
    <w:rsid w:val="008A170E"/>
    <w:rsid w:val="008A2159"/>
    <w:rsid w:val="008A2C63"/>
    <w:rsid w:val="008A52C9"/>
    <w:rsid w:val="008A5579"/>
    <w:rsid w:val="008A5838"/>
    <w:rsid w:val="008A5CB3"/>
    <w:rsid w:val="008A6BBF"/>
    <w:rsid w:val="008A717F"/>
    <w:rsid w:val="008B19D3"/>
    <w:rsid w:val="008B2A62"/>
    <w:rsid w:val="008B2AC4"/>
    <w:rsid w:val="008B2FFA"/>
    <w:rsid w:val="008B3D49"/>
    <w:rsid w:val="008B3F1B"/>
    <w:rsid w:val="008B4218"/>
    <w:rsid w:val="008B4EAE"/>
    <w:rsid w:val="008B55AE"/>
    <w:rsid w:val="008B5FCA"/>
    <w:rsid w:val="008B665C"/>
    <w:rsid w:val="008B7535"/>
    <w:rsid w:val="008B7701"/>
    <w:rsid w:val="008C0A88"/>
    <w:rsid w:val="008C0EF1"/>
    <w:rsid w:val="008C1176"/>
    <w:rsid w:val="008C1527"/>
    <w:rsid w:val="008C4D3B"/>
    <w:rsid w:val="008C50A6"/>
    <w:rsid w:val="008C5598"/>
    <w:rsid w:val="008C668D"/>
    <w:rsid w:val="008C6F8E"/>
    <w:rsid w:val="008C7261"/>
    <w:rsid w:val="008C7CF4"/>
    <w:rsid w:val="008D002D"/>
    <w:rsid w:val="008D1EE4"/>
    <w:rsid w:val="008D2168"/>
    <w:rsid w:val="008D2C9F"/>
    <w:rsid w:val="008D39EC"/>
    <w:rsid w:val="008D41BC"/>
    <w:rsid w:val="008D454F"/>
    <w:rsid w:val="008D5ACB"/>
    <w:rsid w:val="008D6C00"/>
    <w:rsid w:val="008D7B8A"/>
    <w:rsid w:val="008D7DC3"/>
    <w:rsid w:val="008D7F6D"/>
    <w:rsid w:val="008E02AA"/>
    <w:rsid w:val="008E162D"/>
    <w:rsid w:val="008E3DB8"/>
    <w:rsid w:val="008E3E37"/>
    <w:rsid w:val="008E48C5"/>
    <w:rsid w:val="008E4CAA"/>
    <w:rsid w:val="008E54D7"/>
    <w:rsid w:val="008E5AA7"/>
    <w:rsid w:val="008E6179"/>
    <w:rsid w:val="008E68B5"/>
    <w:rsid w:val="008E7037"/>
    <w:rsid w:val="008E70B4"/>
    <w:rsid w:val="008E77F9"/>
    <w:rsid w:val="008F04B3"/>
    <w:rsid w:val="008F08BA"/>
    <w:rsid w:val="008F0922"/>
    <w:rsid w:val="008F2661"/>
    <w:rsid w:val="008F29C2"/>
    <w:rsid w:val="008F393A"/>
    <w:rsid w:val="008F3D30"/>
    <w:rsid w:val="008F473B"/>
    <w:rsid w:val="008F714B"/>
    <w:rsid w:val="008F7EFC"/>
    <w:rsid w:val="00900598"/>
    <w:rsid w:val="0090088F"/>
    <w:rsid w:val="00901338"/>
    <w:rsid w:val="00902D09"/>
    <w:rsid w:val="009048C2"/>
    <w:rsid w:val="009052E6"/>
    <w:rsid w:val="009068BF"/>
    <w:rsid w:val="009072E5"/>
    <w:rsid w:val="009100B8"/>
    <w:rsid w:val="00910235"/>
    <w:rsid w:val="009102A7"/>
    <w:rsid w:val="009109DF"/>
    <w:rsid w:val="00910FC4"/>
    <w:rsid w:val="00911474"/>
    <w:rsid w:val="009123BE"/>
    <w:rsid w:val="009138F1"/>
    <w:rsid w:val="00913C23"/>
    <w:rsid w:val="0091470B"/>
    <w:rsid w:val="00915D8E"/>
    <w:rsid w:val="009171E1"/>
    <w:rsid w:val="009211E8"/>
    <w:rsid w:val="009213F9"/>
    <w:rsid w:val="009225BE"/>
    <w:rsid w:val="0092379A"/>
    <w:rsid w:val="00925C36"/>
    <w:rsid w:val="00927962"/>
    <w:rsid w:val="00931515"/>
    <w:rsid w:val="009315F0"/>
    <w:rsid w:val="009317F7"/>
    <w:rsid w:val="0093423E"/>
    <w:rsid w:val="009347F3"/>
    <w:rsid w:val="00935DB9"/>
    <w:rsid w:val="009375E8"/>
    <w:rsid w:val="00941E31"/>
    <w:rsid w:val="00943CF2"/>
    <w:rsid w:val="00946672"/>
    <w:rsid w:val="00946762"/>
    <w:rsid w:val="009470F4"/>
    <w:rsid w:val="0094740E"/>
    <w:rsid w:val="00947626"/>
    <w:rsid w:val="009501E5"/>
    <w:rsid w:val="009503B6"/>
    <w:rsid w:val="00950665"/>
    <w:rsid w:val="00951749"/>
    <w:rsid w:val="009526E4"/>
    <w:rsid w:val="00952925"/>
    <w:rsid w:val="00952FFD"/>
    <w:rsid w:val="00953B31"/>
    <w:rsid w:val="00955D52"/>
    <w:rsid w:val="00955F39"/>
    <w:rsid w:val="00957439"/>
    <w:rsid w:val="0095779A"/>
    <w:rsid w:val="00957E67"/>
    <w:rsid w:val="00960750"/>
    <w:rsid w:val="00960ACD"/>
    <w:rsid w:val="00961CD8"/>
    <w:rsid w:val="00962098"/>
    <w:rsid w:val="009620F9"/>
    <w:rsid w:val="0096260D"/>
    <w:rsid w:val="00962E32"/>
    <w:rsid w:val="009657DE"/>
    <w:rsid w:val="00965AA1"/>
    <w:rsid w:val="00966081"/>
    <w:rsid w:val="00966E4E"/>
    <w:rsid w:val="00971115"/>
    <w:rsid w:val="009716EF"/>
    <w:rsid w:val="00972DAF"/>
    <w:rsid w:val="00973489"/>
    <w:rsid w:val="00973BE8"/>
    <w:rsid w:val="00974053"/>
    <w:rsid w:val="009749E1"/>
    <w:rsid w:val="00976775"/>
    <w:rsid w:val="00976D17"/>
    <w:rsid w:val="0097736A"/>
    <w:rsid w:val="00977FF7"/>
    <w:rsid w:val="0098009D"/>
    <w:rsid w:val="00980CAF"/>
    <w:rsid w:val="00980F1D"/>
    <w:rsid w:val="009811C9"/>
    <w:rsid w:val="009827D5"/>
    <w:rsid w:val="0098292C"/>
    <w:rsid w:val="00983DAE"/>
    <w:rsid w:val="009848FD"/>
    <w:rsid w:val="00985E2F"/>
    <w:rsid w:val="00985FD3"/>
    <w:rsid w:val="00987ACA"/>
    <w:rsid w:val="00990A64"/>
    <w:rsid w:val="009912BC"/>
    <w:rsid w:val="00992BF8"/>
    <w:rsid w:val="00993A76"/>
    <w:rsid w:val="00994E2E"/>
    <w:rsid w:val="00994E93"/>
    <w:rsid w:val="0099624E"/>
    <w:rsid w:val="009976B2"/>
    <w:rsid w:val="009A27FF"/>
    <w:rsid w:val="009A2E46"/>
    <w:rsid w:val="009A30C1"/>
    <w:rsid w:val="009A465B"/>
    <w:rsid w:val="009A504A"/>
    <w:rsid w:val="009A5233"/>
    <w:rsid w:val="009A5D07"/>
    <w:rsid w:val="009A640B"/>
    <w:rsid w:val="009A7672"/>
    <w:rsid w:val="009B1710"/>
    <w:rsid w:val="009B1862"/>
    <w:rsid w:val="009B2631"/>
    <w:rsid w:val="009B29FD"/>
    <w:rsid w:val="009B3A2E"/>
    <w:rsid w:val="009B562F"/>
    <w:rsid w:val="009B59C4"/>
    <w:rsid w:val="009B670E"/>
    <w:rsid w:val="009B7E0E"/>
    <w:rsid w:val="009C01EF"/>
    <w:rsid w:val="009C0B24"/>
    <w:rsid w:val="009C2C35"/>
    <w:rsid w:val="009C3C10"/>
    <w:rsid w:val="009C43B0"/>
    <w:rsid w:val="009C56C0"/>
    <w:rsid w:val="009C5F47"/>
    <w:rsid w:val="009C6A98"/>
    <w:rsid w:val="009C6EA6"/>
    <w:rsid w:val="009C7DF3"/>
    <w:rsid w:val="009D02B4"/>
    <w:rsid w:val="009D044D"/>
    <w:rsid w:val="009D10EB"/>
    <w:rsid w:val="009D2C8F"/>
    <w:rsid w:val="009D2DA2"/>
    <w:rsid w:val="009D5C42"/>
    <w:rsid w:val="009D67F3"/>
    <w:rsid w:val="009D7C84"/>
    <w:rsid w:val="009E0E3A"/>
    <w:rsid w:val="009E10CF"/>
    <w:rsid w:val="009E5F64"/>
    <w:rsid w:val="009E7229"/>
    <w:rsid w:val="009E72E4"/>
    <w:rsid w:val="009E753D"/>
    <w:rsid w:val="009E7B70"/>
    <w:rsid w:val="009F0B72"/>
    <w:rsid w:val="009F0CA1"/>
    <w:rsid w:val="009F0E16"/>
    <w:rsid w:val="009F3992"/>
    <w:rsid w:val="009F44F6"/>
    <w:rsid w:val="009F4915"/>
    <w:rsid w:val="009F4A92"/>
    <w:rsid w:val="009F5475"/>
    <w:rsid w:val="009F5F1A"/>
    <w:rsid w:val="009F6DE5"/>
    <w:rsid w:val="009F73C7"/>
    <w:rsid w:val="00A00196"/>
    <w:rsid w:val="00A00252"/>
    <w:rsid w:val="00A03C91"/>
    <w:rsid w:val="00A03DB9"/>
    <w:rsid w:val="00A03FCC"/>
    <w:rsid w:val="00A04BAC"/>
    <w:rsid w:val="00A04E8E"/>
    <w:rsid w:val="00A07E49"/>
    <w:rsid w:val="00A11D34"/>
    <w:rsid w:val="00A12C6A"/>
    <w:rsid w:val="00A13A39"/>
    <w:rsid w:val="00A140E1"/>
    <w:rsid w:val="00A150E1"/>
    <w:rsid w:val="00A1540B"/>
    <w:rsid w:val="00A15E6F"/>
    <w:rsid w:val="00A1608F"/>
    <w:rsid w:val="00A162AB"/>
    <w:rsid w:val="00A20AC3"/>
    <w:rsid w:val="00A2172A"/>
    <w:rsid w:val="00A21969"/>
    <w:rsid w:val="00A2277D"/>
    <w:rsid w:val="00A22D5F"/>
    <w:rsid w:val="00A232E3"/>
    <w:rsid w:val="00A24994"/>
    <w:rsid w:val="00A25951"/>
    <w:rsid w:val="00A30BBF"/>
    <w:rsid w:val="00A311D9"/>
    <w:rsid w:val="00A32948"/>
    <w:rsid w:val="00A32ADB"/>
    <w:rsid w:val="00A33188"/>
    <w:rsid w:val="00A33958"/>
    <w:rsid w:val="00A34983"/>
    <w:rsid w:val="00A35E12"/>
    <w:rsid w:val="00A3666A"/>
    <w:rsid w:val="00A37033"/>
    <w:rsid w:val="00A372C6"/>
    <w:rsid w:val="00A377FF"/>
    <w:rsid w:val="00A37A80"/>
    <w:rsid w:val="00A40B0B"/>
    <w:rsid w:val="00A41702"/>
    <w:rsid w:val="00A41BB6"/>
    <w:rsid w:val="00A4285C"/>
    <w:rsid w:val="00A43364"/>
    <w:rsid w:val="00A44509"/>
    <w:rsid w:val="00A45D89"/>
    <w:rsid w:val="00A45E54"/>
    <w:rsid w:val="00A50B33"/>
    <w:rsid w:val="00A514A2"/>
    <w:rsid w:val="00A51680"/>
    <w:rsid w:val="00A53BA4"/>
    <w:rsid w:val="00A5451B"/>
    <w:rsid w:val="00A55502"/>
    <w:rsid w:val="00A55EA4"/>
    <w:rsid w:val="00A56126"/>
    <w:rsid w:val="00A576D9"/>
    <w:rsid w:val="00A603DB"/>
    <w:rsid w:val="00A609C1"/>
    <w:rsid w:val="00A61400"/>
    <w:rsid w:val="00A61A05"/>
    <w:rsid w:val="00A62B1F"/>
    <w:rsid w:val="00A639B2"/>
    <w:rsid w:val="00A63AA4"/>
    <w:rsid w:val="00A63ED3"/>
    <w:rsid w:val="00A63FDE"/>
    <w:rsid w:val="00A65897"/>
    <w:rsid w:val="00A65F7B"/>
    <w:rsid w:val="00A70507"/>
    <w:rsid w:val="00A70B44"/>
    <w:rsid w:val="00A71229"/>
    <w:rsid w:val="00A714B1"/>
    <w:rsid w:val="00A72661"/>
    <w:rsid w:val="00A73CE1"/>
    <w:rsid w:val="00A73F97"/>
    <w:rsid w:val="00A76028"/>
    <w:rsid w:val="00A76439"/>
    <w:rsid w:val="00A76925"/>
    <w:rsid w:val="00A806AB"/>
    <w:rsid w:val="00A80AB5"/>
    <w:rsid w:val="00A80CBE"/>
    <w:rsid w:val="00A821BA"/>
    <w:rsid w:val="00A83E9D"/>
    <w:rsid w:val="00A852A2"/>
    <w:rsid w:val="00A856BF"/>
    <w:rsid w:val="00A86147"/>
    <w:rsid w:val="00A87FC2"/>
    <w:rsid w:val="00A9174E"/>
    <w:rsid w:val="00A91B05"/>
    <w:rsid w:val="00A92E2F"/>
    <w:rsid w:val="00A9316C"/>
    <w:rsid w:val="00A93AF2"/>
    <w:rsid w:val="00A93D6F"/>
    <w:rsid w:val="00A93E7F"/>
    <w:rsid w:val="00A943D9"/>
    <w:rsid w:val="00A94C90"/>
    <w:rsid w:val="00A963FC"/>
    <w:rsid w:val="00A97885"/>
    <w:rsid w:val="00A97BFA"/>
    <w:rsid w:val="00A97E28"/>
    <w:rsid w:val="00AA1C54"/>
    <w:rsid w:val="00AA2844"/>
    <w:rsid w:val="00AA30E8"/>
    <w:rsid w:val="00AA3174"/>
    <w:rsid w:val="00AA3687"/>
    <w:rsid w:val="00AA4145"/>
    <w:rsid w:val="00AA6CE4"/>
    <w:rsid w:val="00AB0269"/>
    <w:rsid w:val="00AB0F41"/>
    <w:rsid w:val="00AB12F3"/>
    <w:rsid w:val="00AB2B35"/>
    <w:rsid w:val="00AB3098"/>
    <w:rsid w:val="00AB3F7D"/>
    <w:rsid w:val="00AB42A0"/>
    <w:rsid w:val="00AC1E65"/>
    <w:rsid w:val="00AC32BB"/>
    <w:rsid w:val="00AC45F6"/>
    <w:rsid w:val="00AC53B0"/>
    <w:rsid w:val="00AC6830"/>
    <w:rsid w:val="00AC6E8C"/>
    <w:rsid w:val="00AC6FD6"/>
    <w:rsid w:val="00AC7739"/>
    <w:rsid w:val="00AD1479"/>
    <w:rsid w:val="00AD1896"/>
    <w:rsid w:val="00AD28FA"/>
    <w:rsid w:val="00AD2A2A"/>
    <w:rsid w:val="00AD363A"/>
    <w:rsid w:val="00AD39E3"/>
    <w:rsid w:val="00AD3E3A"/>
    <w:rsid w:val="00AD4365"/>
    <w:rsid w:val="00AD63E1"/>
    <w:rsid w:val="00AD6906"/>
    <w:rsid w:val="00AD6FB9"/>
    <w:rsid w:val="00AD703C"/>
    <w:rsid w:val="00AD7563"/>
    <w:rsid w:val="00AD7E54"/>
    <w:rsid w:val="00AE253F"/>
    <w:rsid w:val="00AE2A13"/>
    <w:rsid w:val="00AE3B4B"/>
    <w:rsid w:val="00AE493E"/>
    <w:rsid w:val="00AE51AF"/>
    <w:rsid w:val="00AE739C"/>
    <w:rsid w:val="00AE77CA"/>
    <w:rsid w:val="00AF031E"/>
    <w:rsid w:val="00AF1674"/>
    <w:rsid w:val="00AF2161"/>
    <w:rsid w:val="00AF33B1"/>
    <w:rsid w:val="00AF3F31"/>
    <w:rsid w:val="00AF5206"/>
    <w:rsid w:val="00AF59F9"/>
    <w:rsid w:val="00AF5F96"/>
    <w:rsid w:val="00B01674"/>
    <w:rsid w:val="00B020A4"/>
    <w:rsid w:val="00B02206"/>
    <w:rsid w:val="00B028BD"/>
    <w:rsid w:val="00B02F2B"/>
    <w:rsid w:val="00B02F39"/>
    <w:rsid w:val="00B032BF"/>
    <w:rsid w:val="00B0510B"/>
    <w:rsid w:val="00B07110"/>
    <w:rsid w:val="00B07453"/>
    <w:rsid w:val="00B07AF7"/>
    <w:rsid w:val="00B10814"/>
    <w:rsid w:val="00B11281"/>
    <w:rsid w:val="00B118AA"/>
    <w:rsid w:val="00B12323"/>
    <w:rsid w:val="00B12B26"/>
    <w:rsid w:val="00B136CF"/>
    <w:rsid w:val="00B1409D"/>
    <w:rsid w:val="00B142EF"/>
    <w:rsid w:val="00B16376"/>
    <w:rsid w:val="00B16618"/>
    <w:rsid w:val="00B16D59"/>
    <w:rsid w:val="00B17A77"/>
    <w:rsid w:val="00B205F2"/>
    <w:rsid w:val="00B20CD6"/>
    <w:rsid w:val="00B2210C"/>
    <w:rsid w:val="00B230B7"/>
    <w:rsid w:val="00B234B1"/>
    <w:rsid w:val="00B235A2"/>
    <w:rsid w:val="00B23A60"/>
    <w:rsid w:val="00B23ECE"/>
    <w:rsid w:val="00B27AAF"/>
    <w:rsid w:val="00B323E6"/>
    <w:rsid w:val="00B328C4"/>
    <w:rsid w:val="00B32C71"/>
    <w:rsid w:val="00B330CC"/>
    <w:rsid w:val="00B33E8D"/>
    <w:rsid w:val="00B3627A"/>
    <w:rsid w:val="00B36680"/>
    <w:rsid w:val="00B36C2D"/>
    <w:rsid w:val="00B40678"/>
    <w:rsid w:val="00B42085"/>
    <w:rsid w:val="00B42AAE"/>
    <w:rsid w:val="00B42BB4"/>
    <w:rsid w:val="00B43710"/>
    <w:rsid w:val="00B44AAE"/>
    <w:rsid w:val="00B45793"/>
    <w:rsid w:val="00B46B5F"/>
    <w:rsid w:val="00B478A0"/>
    <w:rsid w:val="00B478B8"/>
    <w:rsid w:val="00B516FC"/>
    <w:rsid w:val="00B5181B"/>
    <w:rsid w:val="00B518BB"/>
    <w:rsid w:val="00B529AC"/>
    <w:rsid w:val="00B530B1"/>
    <w:rsid w:val="00B53FD8"/>
    <w:rsid w:val="00B5554B"/>
    <w:rsid w:val="00B555E0"/>
    <w:rsid w:val="00B55A98"/>
    <w:rsid w:val="00B5726B"/>
    <w:rsid w:val="00B6025E"/>
    <w:rsid w:val="00B62211"/>
    <w:rsid w:val="00B62423"/>
    <w:rsid w:val="00B65583"/>
    <w:rsid w:val="00B65D64"/>
    <w:rsid w:val="00B66161"/>
    <w:rsid w:val="00B6781C"/>
    <w:rsid w:val="00B67ECF"/>
    <w:rsid w:val="00B7001D"/>
    <w:rsid w:val="00B709C2"/>
    <w:rsid w:val="00B714B7"/>
    <w:rsid w:val="00B71C4D"/>
    <w:rsid w:val="00B71E56"/>
    <w:rsid w:val="00B73122"/>
    <w:rsid w:val="00B76FD1"/>
    <w:rsid w:val="00B77437"/>
    <w:rsid w:val="00B77872"/>
    <w:rsid w:val="00B77FD2"/>
    <w:rsid w:val="00B800A8"/>
    <w:rsid w:val="00B80986"/>
    <w:rsid w:val="00B8098E"/>
    <w:rsid w:val="00B80A51"/>
    <w:rsid w:val="00B80C06"/>
    <w:rsid w:val="00B81FD6"/>
    <w:rsid w:val="00B8488D"/>
    <w:rsid w:val="00B84E51"/>
    <w:rsid w:val="00B85901"/>
    <w:rsid w:val="00B90778"/>
    <w:rsid w:val="00B9093C"/>
    <w:rsid w:val="00B9186C"/>
    <w:rsid w:val="00B9236F"/>
    <w:rsid w:val="00B92601"/>
    <w:rsid w:val="00B92865"/>
    <w:rsid w:val="00B93476"/>
    <w:rsid w:val="00B9365A"/>
    <w:rsid w:val="00B937FB"/>
    <w:rsid w:val="00B95AFD"/>
    <w:rsid w:val="00B96041"/>
    <w:rsid w:val="00B961FA"/>
    <w:rsid w:val="00B96794"/>
    <w:rsid w:val="00B96AD0"/>
    <w:rsid w:val="00B97D5F"/>
    <w:rsid w:val="00B97F82"/>
    <w:rsid w:val="00BA25FA"/>
    <w:rsid w:val="00BA2896"/>
    <w:rsid w:val="00BA3B3F"/>
    <w:rsid w:val="00BA415F"/>
    <w:rsid w:val="00BA4811"/>
    <w:rsid w:val="00BA7A46"/>
    <w:rsid w:val="00BB010B"/>
    <w:rsid w:val="00BB0129"/>
    <w:rsid w:val="00BB1693"/>
    <w:rsid w:val="00BB3CF8"/>
    <w:rsid w:val="00BB42CB"/>
    <w:rsid w:val="00BB461C"/>
    <w:rsid w:val="00BB4FD2"/>
    <w:rsid w:val="00BB5404"/>
    <w:rsid w:val="00BB5CD5"/>
    <w:rsid w:val="00BB69AF"/>
    <w:rsid w:val="00BB7425"/>
    <w:rsid w:val="00BB7A3A"/>
    <w:rsid w:val="00BB7DB0"/>
    <w:rsid w:val="00BC0A9D"/>
    <w:rsid w:val="00BC2430"/>
    <w:rsid w:val="00BC2566"/>
    <w:rsid w:val="00BC2CBB"/>
    <w:rsid w:val="00BC3CD4"/>
    <w:rsid w:val="00BC3E6C"/>
    <w:rsid w:val="00BC44CD"/>
    <w:rsid w:val="00BC493D"/>
    <w:rsid w:val="00BC4DAA"/>
    <w:rsid w:val="00BC52EF"/>
    <w:rsid w:val="00BC5EF3"/>
    <w:rsid w:val="00BC5F19"/>
    <w:rsid w:val="00BC7697"/>
    <w:rsid w:val="00BD2112"/>
    <w:rsid w:val="00BD2259"/>
    <w:rsid w:val="00BD22B1"/>
    <w:rsid w:val="00BD38EF"/>
    <w:rsid w:val="00BD442A"/>
    <w:rsid w:val="00BD4F00"/>
    <w:rsid w:val="00BD59D3"/>
    <w:rsid w:val="00BD5AFB"/>
    <w:rsid w:val="00BD6EF6"/>
    <w:rsid w:val="00BD70B2"/>
    <w:rsid w:val="00BE067F"/>
    <w:rsid w:val="00BE14BF"/>
    <w:rsid w:val="00BE2A27"/>
    <w:rsid w:val="00BE2C69"/>
    <w:rsid w:val="00BE2C71"/>
    <w:rsid w:val="00BE2D4A"/>
    <w:rsid w:val="00BE39FA"/>
    <w:rsid w:val="00BE3B3D"/>
    <w:rsid w:val="00BE3C59"/>
    <w:rsid w:val="00BE57AC"/>
    <w:rsid w:val="00BE6170"/>
    <w:rsid w:val="00BF0B9D"/>
    <w:rsid w:val="00BF1A7D"/>
    <w:rsid w:val="00BF249E"/>
    <w:rsid w:val="00BF2B6C"/>
    <w:rsid w:val="00BF3D54"/>
    <w:rsid w:val="00BF4F86"/>
    <w:rsid w:val="00BF599B"/>
    <w:rsid w:val="00BF66EF"/>
    <w:rsid w:val="00BF74BD"/>
    <w:rsid w:val="00BF7BC8"/>
    <w:rsid w:val="00C01BC3"/>
    <w:rsid w:val="00C01E77"/>
    <w:rsid w:val="00C02042"/>
    <w:rsid w:val="00C0208F"/>
    <w:rsid w:val="00C03897"/>
    <w:rsid w:val="00C03ED8"/>
    <w:rsid w:val="00C04574"/>
    <w:rsid w:val="00C04713"/>
    <w:rsid w:val="00C04C67"/>
    <w:rsid w:val="00C0538B"/>
    <w:rsid w:val="00C054E4"/>
    <w:rsid w:val="00C0594E"/>
    <w:rsid w:val="00C06084"/>
    <w:rsid w:val="00C1025E"/>
    <w:rsid w:val="00C10D0F"/>
    <w:rsid w:val="00C11DC0"/>
    <w:rsid w:val="00C11F6A"/>
    <w:rsid w:val="00C12F11"/>
    <w:rsid w:val="00C13620"/>
    <w:rsid w:val="00C138E1"/>
    <w:rsid w:val="00C152CE"/>
    <w:rsid w:val="00C152CF"/>
    <w:rsid w:val="00C1545A"/>
    <w:rsid w:val="00C16250"/>
    <w:rsid w:val="00C16649"/>
    <w:rsid w:val="00C16969"/>
    <w:rsid w:val="00C17518"/>
    <w:rsid w:val="00C20396"/>
    <w:rsid w:val="00C207FD"/>
    <w:rsid w:val="00C210F9"/>
    <w:rsid w:val="00C21CFF"/>
    <w:rsid w:val="00C22F1C"/>
    <w:rsid w:val="00C231B6"/>
    <w:rsid w:val="00C23220"/>
    <w:rsid w:val="00C23538"/>
    <w:rsid w:val="00C24DD5"/>
    <w:rsid w:val="00C27C3E"/>
    <w:rsid w:val="00C3030E"/>
    <w:rsid w:val="00C30427"/>
    <w:rsid w:val="00C31493"/>
    <w:rsid w:val="00C31903"/>
    <w:rsid w:val="00C32039"/>
    <w:rsid w:val="00C324B6"/>
    <w:rsid w:val="00C32B06"/>
    <w:rsid w:val="00C32EAD"/>
    <w:rsid w:val="00C331D7"/>
    <w:rsid w:val="00C334CB"/>
    <w:rsid w:val="00C33F69"/>
    <w:rsid w:val="00C34D3F"/>
    <w:rsid w:val="00C37AC3"/>
    <w:rsid w:val="00C37BD8"/>
    <w:rsid w:val="00C40B7A"/>
    <w:rsid w:val="00C40E6C"/>
    <w:rsid w:val="00C413AD"/>
    <w:rsid w:val="00C41E59"/>
    <w:rsid w:val="00C44AE1"/>
    <w:rsid w:val="00C46BC8"/>
    <w:rsid w:val="00C51AFE"/>
    <w:rsid w:val="00C5281E"/>
    <w:rsid w:val="00C52AE0"/>
    <w:rsid w:val="00C53C01"/>
    <w:rsid w:val="00C540A5"/>
    <w:rsid w:val="00C55299"/>
    <w:rsid w:val="00C567BC"/>
    <w:rsid w:val="00C57658"/>
    <w:rsid w:val="00C57873"/>
    <w:rsid w:val="00C60F62"/>
    <w:rsid w:val="00C619BD"/>
    <w:rsid w:val="00C61E5B"/>
    <w:rsid w:val="00C61E61"/>
    <w:rsid w:val="00C6217D"/>
    <w:rsid w:val="00C627FB"/>
    <w:rsid w:val="00C62CD6"/>
    <w:rsid w:val="00C63210"/>
    <w:rsid w:val="00C63C29"/>
    <w:rsid w:val="00C64288"/>
    <w:rsid w:val="00C64B90"/>
    <w:rsid w:val="00C65121"/>
    <w:rsid w:val="00C65698"/>
    <w:rsid w:val="00C658CC"/>
    <w:rsid w:val="00C66F3E"/>
    <w:rsid w:val="00C67041"/>
    <w:rsid w:val="00C7045E"/>
    <w:rsid w:val="00C725CD"/>
    <w:rsid w:val="00C72738"/>
    <w:rsid w:val="00C729DC"/>
    <w:rsid w:val="00C72DAB"/>
    <w:rsid w:val="00C72EF8"/>
    <w:rsid w:val="00C72F06"/>
    <w:rsid w:val="00C757A3"/>
    <w:rsid w:val="00C76D0E"/>
    <w:rsid w:val="00C77D3D"/>
    <w:rsid w:val="00C80F26"/>
    <w:rsid w:val="00C8110A"/>
    <w:rsid w:val="00C8196E"/>
    <w:rsid w:val="00C81FFA"/>
    <w:rsid w:val="00C82805"/>
    <w:rsid w:val="00C82CFE"/>
    <w:rsid w:val="00C84279"/>
    <w:rsid w:val="00C84A18"/>
    <w:rsid w:val="00C84E1A"/>
    <w:rsid w:val="00C90955"/>
    <w:rsid w:val="00C918D2"/>
    <w:rsid w:val="00C92881"/>
    <w:rsid w:val="00C938AC"/>
    <w:rsid w:val="00C938AF"/>
    <w:rsid w:val="00C93F2E"/>
    <w:rsid w:val="00C956D2"/>
    <w:rsid w:val="00C96090"/>
    <w:rsid w:val="00C97CE7"/>
    <w:rsid w:val="00CA0770"/>
    <w:rsid w:val="00CA087B"/>
    <w:rsid w:val="00CA120E"/>
    <w:rsid w:val="00CA1217"/>
    <w:rsid w:val="00CA1A5E"/>
    <w:rsid w:val="00CA1EB3"/>
    <w:rsid w:val="00CA2F4B"/>
    <w:rsid w:val="00CA3478"/>
    <w:rsid w:val="00CA3790"/>
    <w:rsid w:val="00CA4195"/>
    <w:rsid w:val="00CA5311"/>
    <w:rsid w:val="00CA7B7C"/>
    <w:rsid w:val="00CA7CA0"/>
    <w:rsid w:val="00CB02FE"/>
    <w:rsid w:val="00CB1828"/>
    <w:rsid w:val="00CB1C0D"/>
    <w:rsid w:val="00CB2564"/>
    <w:rsid w:val="00CB290A"/>
    <w:rsid w:val="00CB37EF"/>
    <w:rsid w:val="00CB6142"/>
    <w:rsid w:val="00CB644B"/>
    <w:rsid w:val="00CB7104"/>
    <w:rsid w:val="00CB726B"/>
    <w:rsid w:val="00CB75DA"/>
    <w:rsid w:val="00CC032D"/>
    <w:rsid w:val="00CC09A2"/>
    <w:rsid w:val="00CC11A7"/>
    <w:rsid w:val="00CC21F6"/>
    <w:rsid w:val="00CC44D0"/>
    <w:rsid w:val="00CC5F18"/>
    <w:rsid w:val="00CC71A6"/>
    <w:rsid w:val="00CC7FED"/>
    <w:rsid w:val="00CD0CD1"/>
    <w:rsid w:val="00CD24D3"/>
    <w:rsid w:val="00CD2652"/>
    <w:rsid w:val="00CD2767"/>
    <w:rsid w:val="00CD2C07"/>
    <w:rsid w:val="00CD481F"/>
    <w:rsid w:val="00CD4DBF"/>
    <w:rsid w:val="00CD541E"/>
    <w:rsid w:val="00CD64E6"/>
    <w:rsid w:val="00CD6E47"/>
    <w:rsid w:val="00CD7A2B"/>
    <w:rsid w:val="00CE0179"/>
    <w:rsid w:val="00CE035C"/>
    <w:rsid w:val="00CE127A"/>
    <w:rsid w:val="00CE17A6"/>
    <w:rsid w:val="00CE19C4"/>
    <w:rsid w:val="00CE24F6"/>
    <w:rsid w:val="00CE3118"/>
    <w:rsid w:val="00CE4A13"/>
    <w:rsid w:val="00CE4B8F"/>
    <w:rsid w:val="00CE7245"/>
    <w:rsid w:val="00CF0367"/>
    <w:rsid w:val="00CF2449"/>
    <w:rsid w:val="00CF3C89"/>
    <w:rsid w:val="00CF45BB"/>
    <w:rsid w:val="00CF48EC"/>
    <w:rsid w:val="00CF5DF3"/>
    <w:rsid w:val="00D001C9"/>
    <w:rsid w:val="00D01392"/>
    <w:rsid w:val="00D014CD"/>
    <w:rsid w:val="00D020A8"/>
    <w:rsid w:val="00D03C56"/>
    <w:rsid w:val="00D045EA"/>
    <w:rsid w:val="00D04FEA"/>
    <w:rsid w:val="00D0520F"/>
    <w:rsid w:val="00D0687B"/>
    <w:rsid w:val="00D076B1"/>
    <w:rsid w:val="00D1012B"/>
    <w:rsid w:val="00D10D9F"/>
    <w:rsid w:val="00D119C9"/>
    <w:rsid w:val="00D12382"/>
    <w:rsid w:val="00D12B28"/>
    <w:rsid w:val="00D13008"/>
    <w:rsid w:val="00D13069"/>
    <w:rsid w:val="00D137A1"/>
    <w:rsid w:val="00D137E6"/>
    <w:rsid w:val="00D15B24"/>
    <w:rsid w:val="00D15E1F"/>
    <w:rsid w:val="00D16DAA"/>
    <w:rsid w:val="00D210C2"/>
    <w:rsid w:val="00D2198E"/>
    <w:rsid w:val="00D2301F"/>
    <w:rsid w:val="00D235B6"/>
    <w:rsid w:val="00D24D6A"/>
    <w:rsid w:val="00D256D1"/>
    <w:rsid w:val="00D25995"/>
    <w:rsid w:val="00D268DA"/>
    <w:rsid w:val="00D27122"/>
    <w:rsid w:val="00D300D3"/>
    <w:rsid w:val="00D30C17"/>
    <w:rsid w:val="00D32529"/>
    <w:rsid w:val="00D33CEC"/>
    <w:rsid w:val="00D346A3"/>
    <w:rsid w:val="00D36B3E"/>
    <w:rsid w:val="00D37E1B"/>
    <w:rsid w:val="00D40319"/>
    <w:rsid w:val="00D40A02"/>
    <w:rsid w:val="00D40FCD"/>
    <w:rsid w:val="00D41315"/>
    <w:rsid w:val="00D428F8"/>
    <w:rsid w:val="00D43494"/>
    <w:rsid w:val="00D43789"/>
    <w:rsid w:val="00D44642"/>
    <w:rsid w:val="00D46DDC"/>
    <w:rsid w:val="00D47021"/>
    <w:rsid w:val="00D4714E"/>
    <w:rsid w:val="00D4778A"/>
    <w:rsid w:val="00D50876"/>
    <w:rsid w:val="00D511B2"/>
    <w:rsid w:val="00D51AE9"/>
    <w:rsid w:val="00D52000"/>
    <w:rsid w:val="00D526E3"/>
    <w:rsid w:val="00D54D35"/>
    <w:rsid w:val="00D55240"/>
    <w:rsid w:val="00D553D0"/>
    <w:rsid w:val="00D5550E"/>
    <w:rsid w:val="00D568E6"/>
    <w:rsid w:val="00D6003E"/>
    <w:rsid w:val="00D6057A"/>
    <w:rsid w:val="00D60EC4"/>
    <w:rsid w:val="00D61266"/>
    <w:rsid w:val="00D6144C"/>
    <w:rsid w:val="00D6229F"/>
    <w:rsid w:val="00D6323D"/>
    <w:rsid w:val="00D64D84"/>
    <w:rsid w:val="00D65D7A"/>
    <w:rsid w:val="00D66C36"/>
    <w:rsid w:val="00D679D2"/>
    <w:rsid w:val="00D67CDD"/>
    <w:rsid w:val="00D67DE8"/>
    <w:rsid w:val="00D67E7D"/>
    <w:rsid w:val="00D7094D"/>
    <w:rsid w:val="00D70FF0"/>
    <w:rsid w:val="00D71009"/>
    <w:rsid w:val="00D71FAB"/>
    <w:rsid w:val="00D76B38"/>
    <w:rsid w:val="00D81302"/>
    <w:rsid w:val="00D81B2F"/>
    <w:rsid w:val="00D81B76"/>
    <w:rsid w:val="00D82529"/>
    <w:rsid w:val="00D829A2"/>
    <w:rsid w:val="00D8347F"/>
    <w:rsid w:val="00D83AC7"/>
    <w:rsid w:val="00D85507"/>
    <w:rsid w:val="00D90ECB"/>
    <w:rsid w:val="00D91B20"/>
    <w:rsid w:val="00D92005"/>
    <w:rsid w:val="00D933E6"/>
    <w:rsid w:val="00D94500"/>
    <w:rsid w:val="00D955E1"/>
    <w:rsid w:val="00D957AD"/>
    <w:rsid w:val="00D96F2B"/>
    <w:rsid w:val="00D96FD5"/>
    <w:rsid w:val="00DA08D2"/>
    <w:rsid w:val="00DA0ACE"/>
    <w:rsid w:val="00DA0B61"/>
    <w:rsid w:val="00DA1315"/>
    <w:rsid w:val="00DA183A"/>
    <w:rsid w:val="00DA2F33"/>
    <w:rsid w:val="00DA4A5F"/>
    <w:rsid w:val="00DA52D7"/>
    <w:rsid w:val="00DA5692"/>
    <w:rsid w:val="00DA7690"/>
    <w:rsid w:val="00DB097B"/>
    <w:rsid w:val="00DB1BAF"/>
    <w:rsid w:val="00DB1D63"/>
    <w:rsid w:val="00DB1E0D"/>
    <w:rsid w:val="00DB283E"/>
    <w:rsid w:val="00DB7C29"/>
    <w:rsid w:val="00DC07FC"/>
    <w:rsid w:val="00DC0E5E"/>
    <w:rsid w:val="00DC1157"/>
    <w:rsid w:val="00DC15AD"/>
    <w:rsid w:val="00DC1D80"/>
    <w:rsid w:val="00DC22F6"/>
    <w:rsid w:val="00DC2952"/>
    <w:rsid w:val="00DC2B48"/>
    <w:rsid w:val="00DC2E31"/>
    <w:rsid w:val="00DC3386"/>
    <w:rsid w:val="00DC35CF"/>
    <w:rsid w:val="00DC4132"/>
    <w:rsid w:val="00DC4FF1"/>
    <w:rsid w:val="00DC5AB9"/>
    <w:rsid w:val="00DC5DFD"/>
    <w:rsid w:val="00DC78DD"/>
    <w:rsid w:val="00DD0EDE"/>
    <w:rsid w:val="00DD28A9"/>
    <w:rsid w:val="00DD2D55"/>
    <w:rsid w:val="00DD32E0"/>
    <w:rsid w:val="00DD44DD"/>
    <w:rsid w:val="00DD518B"/>
    <w:rsid w:val="00DD560E"/>
    <w:rsid w:val="00DD5F3B"/>
    <w:rsid w:val="00DD6214"/>
    <w:rsid w:val="00DD64D1"/>
    <w:rsid w:val="00DD69D5"/>
    <w:rsid w:val="00DE0DBC"/>
    <w:rsid w:val="00DE113C"/>
    <w:rsid w:val="00DE1676"/>
    <w:rsid w:val="00DE18F5"/>
    <w:rsid w:val="00DE2052"/>
    <w:rsid w:val="00DE22D4"/>
    <w:rsid w:val="00DE28C1"/>
    <w:rsid w:val="00DE2D41"/>
    <w:rsid w:val="00DE2F12"/>
    <w:rsid w:val="00DE42D3"/>
    <w:rsid w:val="00DE541C"/>
    <w:rsid w:val="00DE5815"/>
    <w:rsid w:val="00DE5E4E"/>
    <w:rsid w:val="00DE5FDD"/>
    <w:rsid w:val="00DE6896"/>
    <w:rsid w:val="00DE71C3"/>
    <w:rsid w:val="00DE7548"/>
    <w:rsid w:val="00DF0A65"/>
    <w:rsid w:val="00DF34A0"/>
    <w:rsid w:val="00DF4451"/>
    <w:rsid w:val="00DF4CCF"/>
    <w:rsid w:val="00DF61E0"/>
    <w:rsid w:val="00DF624D"/>
    <w:rsid w:val="00DF7EA8"/>
    <w:rsid w:val="00E022E9"/>
    <w:rsid w:val="00E02415"/>
    <w:rsid w:val="00E03A63"/>
    <w:rsid w:val="00E03B86"/>
    <w:rsid w:val="00E04D87"/>
    <w:rsid w:val="00E05182"/>
    <w:rsid w:val="00E0531A"/>
    <w:rsid w:val="00E05C09"/>
    <w:rsid w:val="00E063BD"/>
    <w:rsid w:val="00E108D5"/>
    <w:rsid w:val="00E10E9D"/>
    <w:rsid w:val="00E11FD9"/>
    <w:rsid w:val="00E14E84"/>
    <w:rsid w:val="00E1513A"/>
    <w:rsid w:val="00E15946"/>
    <w:rsid w:val="00E15E17"/>
    <w:rsid w:val="00E2268E"/>
    <w:rsid w:val="00E22CA6"/>
    <w:rsid w:val="00E2325A"/>
    <w:rsid w:val="00E250F8"/>
    <w:rsid w:val="00E27963"/>
    <w:rsid w:val="00E3181E"/>
    <w:rsid w:val="00E319F6"/>
    <w:rsid w:val="00E33EF0"/>
    <w:rsid w:val="00E344B9"/>
    <w:rsid w:val="00E34D36"/>
    <w:rsid w:val="00E36BEA"/>
    <w:rsid w:val="00E371F2"/>
    <w:rsid w:val="00E376D1"/>
    <w:rsid w:val="00E41840"/>
    <w:rsid w:val="00E42A32"/>
    <w:rsid w:val="00E43329"/>
    <w:rsid w:val="00E43825"/>
    <w:rsid w:val="00E43AF3"/>
    <w:rsid w:val="00E43FE9"/>
    <w:rsid w:val="00E4447A"/>
    <w:rsid w:val="00E44492"/>
    <w:rsid w:val="00E44E88"/>
    <w:rsid w:val="00E46A36"/>
    <w:rsid w:val="00E47695"/>
    <w:rsid w:val="00E478DA"/>
    <w:rsid w:val="00E51830"/>
    <w:rsid w:val="00E52C68"/>
    <w:rsid w:val="00E53272"/>
    <w:rsid w:val="00E5356E"/>
    <w:rsid w:val="00E53589"/>
    <w:rsid w:val="00E54A63"/>
    <w:rsid w:val="00E55DAB"/>
    <w:rsid w:val="00E60800"/>
    <w:rsid w:val="00E611EF"/>
    <w:rsid w:val="00E618BB"/>
    <w:rsid w:val="00E63ED5"/>
    <w:rsid w:val="00E646C0"/>
    <w:rsid w:val="00E653BA"/>
    <w:rsid w:val="00E656E4"/>
    <w:rsid w:val="00E66605"/>
    <w:rsid w:val="00E66B2B"/>
    <w:rsid w:val="00E71B5F"/>
    <w:rsid w:val="00E72742"/>
    <w:rsid w:val="00E72778"/>
    <w:rsid w:val="00E736F3"/>
    <w:rsid w:val="00E737D1"/>
    <w:rsid w:val="00E74B6E"/>
    <w:rsid w:val="00E75B80"/>
    <w:rsid w:val="00E75EA4"/>
    <w:rsid w:val="00E76C37"/>
    <w:rsid w:val="00E77383"/>
    <w:rsid w:val="00E774A8"/>
    <w:rsid w:val="00E776EF"/>
    <w:rsid w:val="00E77BA1"/>
    <w:rsid w:val="00E804D9"/>
    <w:rsid w:val="00E80E93"/>
    <w:rsid w:val="00E82FCF"/>
    <w:rsid w:val="00E83295"/>
    <w:rsid w:val="00E84A97"/>
    <w:rsid w:val="00E86E10"/>
    <w:rsid w:val="00E86EC7"/>
    <w:rsid w:val="00E91BD2"/>
    <w:rsid w:val="00E9269C"/>
    <w:rsid w:val="00E940B3"/>
    <w:rsid w:val="00E9467A"/>
    <w:rsid w:val="00E94F5F"/>
    <w:rsid w:val="00E955E7"/>
    <w:rsid w:val="00E95A8F"/>
    <w:rsid w:val="00E97220"/>
    <w:rsid w:val="00EA0270"/>
    <w:rsid w:val="00EA1E15"/>
    <w:rsid w:val="00EA340B"/>
    <w:rsid w:val="00EA3598"/>
    <w:rsid w:val="00EB0E1D"/>
    <w:rsid w:val="00EB0F5A"/>
    <w:rsid w:val="00EB252B"/>
    <w:rsid w:val="00EB303F"/>
    <w:rsid w:val="00EB4111"/>
    <w:rsid w:val="00EB46FC"/>
    <w:rsid w:val="00EB4DA7"/>
    <w:rsid w:val="00EB52EF"/>
    <w:rsid w:val="00EB5EA6"/>
    <w:rsid w:val="00EB7611"/>
    <w:rsid w:val="00EC0358"/>
    <w:rsid w:val="00EC0705"/>
    <w:rsid w:val="00EC0AE8"/>
    <w:rsid w:val="00EC27D4"/>
    <w:rsid w:val="00EC30FB"/>
    <w:rsid w:val="00EC329B"/>
    <w:rsid w:val="00EC6B45"/>
    <w:rsid w:val="00EC6B88"/>
    <w:rsid w:val="00EC75A6"/>
    <w:rsid w:val="00ED09FF"/>
    <w:rsid w:val="00ED1EA9"/>
    <w:rsid w:val="00ED44B8"/>
    <w:rsid w:val="00ED576F"/>
    <w:rsid w:val="00ED5965"/>
    <w:rsid w:val="00ED61F2"/>
    <w:rsid w:val="00EE0EE0"/>
    <w:rsid w:val="00EE1555"/>
    <w:rsid w:val="00EE2D6F"/>
    <w:rsid w:val="00EE328B"/>
    <w:rsid w:val="00EE368F"/>
    <w:rsid w:val="00EE3795"/>
    <w:rsid w:val="00EE4A87"/>
    <w:rsid w:val="00EE5298"/>
    <w:rsid w:val="00EE78D9"/>
    <w:rsid w:val="00EF0860"/>
    <w:rsid w:val="00EF0CE7"/>
    <w:rsid w:val="00EF1C0C"/>
    <w:rsid w:val="00EF3175"/>
    <w:rsid w:val="00EF3B1B"/>
    <w:rsid w:val="00EF429F"/>
    <w:rsid w:val="00EF5AC0"/>
    <w:rsid w:val="00EF7284"/>
    <w:rsid w:val="00F0096D"/>
    <w:rsid w:val="00F021CB"/>
    <w:rsid w:val="00F102AF"/>
    <w:rsid w:val="00F11A46"/>
    <w:rsid w:val="00F11D76"/>
    <w:rsid w:val="00F12F79"/>
    <w:rsid w:val="00F138CA"/>
    <w:rsid w:val="00F13F04"/>
    <w:rsid w:val="00F14A48"/>
    <w:rsid w:val="00F164F4"/>
    <w:rsid w:val="00F16DEC"/>
    <w:rsid w:val="00F170FA"/>
    <w:rsid w:val="00F174D4"/>
    <w:rsid w:val="00F17F67"/>
    <w:rsid w:val="00F2054E"/>
    <w:rsid w:val="00F20811"/>
    <w:rsid w:val="00F21D76"/>
    <w:rsid w:val="00F22221"/>
    <w:rsid w:val="00F22C7E"/>
    <w:rsid w:val="00F251BA"/>
    <w:rsid w:val="00F25480"/>
    <w:rsid w:val="00F27960"/>
    <w:rsid w:val="00F27A79"/>
    <w:rsid w:val="00F3007D"/>
    <w:rsid w:val="00F31B79"/>
    <w:rsid w:val="00F32D0D"/>
    <w:rsid w:val="00F33278"/>
    <w:rsid w:val="00F3398F"/>
    <w:rsid w:val="00F3405C"/>
    <w:rsid w:val="00F34B4D"/>
    <w:rsid w:val="00F357EE"/>
    <w:rsid w:val="00F369E5"/>
    <w:rsid w:val="00F36D2A"/>
    <w:rsid w:val="00F37C12"/>
    <w:rsid w:val="00F37CCF"/>
    <w:rsid w:val="00F41C83"/>
    <w:rsid w:val="00F42F98"/>
    <w:rsid w:val="00F437AF"/>
    <w:rsid w:val="00F43C23"/>
    <w:rsid w:val="00F4406C"/>
    <w:rsid w:val="00F44080"/>
    <w:rsid w:val="00F47747"/>
    <w:rsid w:val="00F50064"/>
    <w:rsid w:val="00F5077E"/>
    <w:rsid w:val="00F526D3"/>
    <w:rsid w:val="00F537E5"/>
    <w:rsid w:val="00F54779"/>
    <w:rsid w:val="00F547CB"/>
    <w:rsid w:val="00F5508A"/>
    <w:rsid w:val="00F55930"/>
    <w:rsid w:val="00F56A2D"/>
    <w:rsid w:val="00F61E08"/>
    <w:rsid w:val="00F62462"/>
    <w:rsid w:val="00F625ED"/>
    <w:rsid w:val="00F62CDF"/>
    <w:rsid w:val="00F6306E"/>
    <w:rsid w:val="00F63A10"/>
    <w:rsid w:val="00F63D82"/>
    <w:rsid w:val="00F64F35"/>
    <w:rsid w:val="00F650F4"/>
    <w:rsid w:val="00F651A1"/>
    <w:rsid w:val="00F65D81"/>
    <w:rsid w:val="00F6640D"/>
    <w:rsid w:val="00F6766F"/>
    <w:rsid w:val="00F70A1A"/>
    <w:rsid w:val="00F70D33"/>
    <w:rsid w:val="00F734B1"/>
    <w:rsid w:val="00F750D8"/>
    <w:rsid w:val="00F753F3"/>
    <w:rsid w:val="00F75AD0"/>
    <w:rsid w:val="00F7689E"/>
    <w:rsid w:val="00F7775B"/>
    <w:rsid w:val="00F800C9"/>
    <w:rsid w:val="00F80264"/>
    <w:rsid w:val="00F82A8F"/>
    <w:rsid w:val="00F82C20"/>
    <w:rsid w:val="00F8401F"/>
    <w:rsid w:val="00F84214"/>
    <w:rsid w:val="00F8583B"/>
    <w:rsid w:val="00F85C9A"/>
    <w:rsid w:val="00F86051"/>
    <w:rsid w:val="00F861C3"/>
    <w:rsid w:val="00F90498"/>
    <w:rsid w:val="00F91B61"/>
    <w:rsid w:val="00F92F39"/>
    <w:rsid w:val="00F930D2"/>
    <w:rsid w:val="00F937AF"/>
    <w:rsid w:val="00F939EC"/>
    <w:rsid w:val="00F94642"/>
    <w:rsid w:val="00F9560A"/>
    <w:rsid w:val="00F96E58"/>
    <w:rsid w:val="00F97E93"/>
    <w:rsid w:val="00FA0A72"/>
    <w:rsid w:val="00FA11A7"/>
    <w:rsid w:val="00FA130B"/>
    <w:rsid w:val="00FA2491"/>
    <w:rsid w:val="00FA3A23"/>
    <w:rsid w:val="00FA3B49"/>
    <w:rsid w:val="00FA4BC3"/>
    <w:rsid w:val="00FA547A"/>
    <w:rsid w:val="00FA5E31"/>
    <w:rsid w:val="00FA60BF"/>
    <w:rsid w:val="00FA693C"/>
    <w:rsid w:val="00FA6C27"/>
    <w:rsid w:val="00FA7994"/>
    <w:rsid w:val="00FB2077"/>
    <w:rsid w:val="00FB2BFC"/>
    <w:rsid w:val="00FB3802"/>
    <w:rsid w:val="00FB38A1"/>
    <w:rsid w:val="00FB5935"/>
    <w:rsid w:val="00FB64F8"/>
    <w:rsid w:val="00FB744A"/>
    <w:rsid w:val="00FC222D"/>
    <w:rsid w:val="00FC3906"/>
    <w:rsid w:val="00FC45DE"/>
    <w:rsid w:val="00FC66B3"/>
    <w:rsid w:val="00FC7359"/>
    <w:rsid w:val="00FC73BF"/>
    <w:rsid w:val="00FC77C6"/>
    <w:rsid w:val="00FD1DC1"/>
    <w:rsid w:val="00FD3BCC"/>
    <w:rsid w:val="00FD4481"/>
    <w:rsid w:val="00FD6958"/>
    <w:rsid w:val="00FE079F"/>
    <w:rsid w:val="00FE0BEA"/>
    <w:rsid w:val="00FE0C0D"/>
    <w:rsid w:val="00FE1652"/>
    <w:rsid w:val="00FE2257"/>
    <w:rsid w:val="00FE3A33"/>
    <w:rsid w:val="00FE3D68"/>
    <w:rsid w:val="00FE5E5C"/>
    <w:rsid w:val="00FE5ED2"/>
    <w:rsid w:val="00FE745F"/>
    <w:rsid w:val="00FE776E"/>
    <w:rsid w:val="00FF0DF0"/>
    <w:rsid w:val="00FF1525"/>
    <w:rsid w:val="00FF1B20"/>
    <w:rsid w:val="00FF4BC0"/>
    <w:rsid w:val="00FF62BF"/>
    <w:rsid w:val="00FF658B"/>
    <w:rsid w:val="00FF6808"/>
    <w:rsid w:val="00FF69D0"/>
    <w:rsid w:val="00FF71DF"/>
    <w:rsid w:val="00FF731D"/>
    <w:rsid w:val="00FF740F"/>
    <w:rsid w:val="00FF7A21"/>
    <w:rsid w:val="07806E8C"/>
    <w:rsid w:val="09AF70FB"/>
    <w:rsid w:val="0D2E2333"/>
    <w:rsid w:val="0E2A3B64"/>
    <w:rsid w:val="10062139"/>
    <w:rsid w:val="10D95A8A"/>
    <w:rsid w:val="10EE17AA"/>
    <w:rsid w:val="14BB61D5"/>
    <w:rsid w:val="157B7ADD"/>
    <w:rsid w:val="1AF17B93"/>
    <w:rsid w:val="1E054EAC"/>
    <w:rsid w:val="23745AFD"/>
    <w:rsid w:val="256655EC"/>
    <w:rsid w:val="2BE16064"/>
    <w:rsid w:val="302E5490"/>
    <w:rsid w:val="30A41AFF"/>
    <w:rsid w:val="36867D57"/>
    <w:rsid w:val="38461E18"/>
    <w:rsid w:val="3ACA135A"/>
    <w:rsid w:val="40106BFC"/>
    <w:rsid w:val="40FA4B03"/>
    <w:rsid w:val="48023F4B"/>
    <w:rsid w:val="49033FEE"/>
    <w:rsid w:val="4ABC0B8A"/>
    <w:rsid w:val="4E221CF7"/>
    <w:rsid w:val="53ED16A2"/>
    <w:rsid w:val="55E7334D"/>
    <w:rsid w:val="5F831B71"/>
    <w:rsid w:val="61EB6B72"/>
    <w:rsid w:val="62004ED6"/>
    <w:rsid w:val="62AD4330"/>
    <w:rsid w:val="63E37A78"/>
    <w:rsid w:val="682421FC"/>
    <w:rsid w:val="6A300340"/>
    <w:rsid w:val="6B5C3655"/>
    <w:rsid w:val="6EB10A51"/>
    <w:rsid w:val="70FB63A4"/>
    <w:rsid w:val="75CE6994"/>
    <w:rsid w:val="7D3D65FD"/>
    <w:rsid w:val="7EA049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3">
    <w:name w:val="heading 1"/>
    <w:basedOn w:val="1"/>
    <w:next w:val="1"/>
    <w:link w:val="35"/>
    <w:qFormat/>
    <w:uiPriority w:val="9"/>
    <w:pPr>
      <w:keepNext/>
      <w:keepLines/>
      <w:spacing w:line="240" w:lineRule="auto"/>
      <w:ind w:firstLine="0" w:firstLineChars="0"/>
      <w:jc w:val="left"/>
      <w:outlineLvl w:val="0"/>
    </w:pPr>
    <w:rPr>
      <w:b/>
      <w:bCs/>
      <w:kern w:val="44"/>
      <w:sz w:val="30"/>
      <w:szCs w:val="44"/>
    </w:rPr>
  </w:style>
  <w:style w:type="paragraph" w:styleId="4">
    <w:name w:val="heading 2"/>
    <w:basedOn w:val="1"/>
    <w:next w:val="1"/>
    <w:link w:val="36"/>
    <w:qFormat/>
    <w:uiPriority w:val="9"/>
    <w:pPr>
      <w:keepLines/>
      <w:spacing w:line="520" w:lineRule="exact"/>
      <w:ind w:firstLine="0" w:firstLineChars="0"/>
      <w:outlineLvl w:val="1"/>
    </w:pPr>
    <w:rPr>
      <w:rFonts w:cstheme="majorBidi"/>
      <w:b/>
      <w:bCs/>
      <w:sz w:val="28"/>
      <w:szCs w:val="32"/>
    </w:rPr>
  </w:style>
  <w:style w:type="paragraph" w:styleId="5">
    <w:name w:val="heading 3"/>
    <w:basedOn w:val="1"/>
    <w:next w:val="1"/>
    <w:link w:val="37"/>
    <w:qFormat/>
    <w:uiPriority w:val="9"/>
    <w:pPr>
      <w:keepNext/>
      <w:keepLines/>
      <w:outlineLvl w:val="2"/>
    </w:pPr>
    <w:rPr>
      <w:b/>
      <w:bCs/>
      <w:szCs w:val="32"/>
    </w:rPr>
  </w:style>
  <w:style w:type="paragraph" w:styleId="6">
    <w:name w:val="heading 4"/>
    <w:basedOn w:val="1"/>
    <w:next w:val="1"/>
    <w:link w:val="39"/>
    <w:qFormat/>
    <w:uiPriority w:val="9"/>
    <w:pPr>
      <w:keepNext/>
      <w:keepLines/>
      <w:outlineLvl w:val="3"/>
    </w:pPr>
    <w:rPr>
      <w:rFonts w:cstheme="majorBidi"/>
      <w:b/>
      <w:bCs/>
      <w:szCs w:val="28"/>
    </w:rPr>
  </w:style>
  <w:style w:type="paragraph" w:styleId="7">
    <w:name w:val="heading 5"/>
    <w:basedOn w:val="1"/>
    <w:next w:val="1"/>
    <w:link w:val="101"/>
    <w:semiHidden/>
    <w:unhideWhenUsed/>
    <w:qFormat/>
    <w:uiPriority w:val="9"/>
    <w:pPr>
      <w:keepNext/>
      <w:keepLines/>
      <w:spacing w:before="280" w:after="290" w:line="376" w:lineRule="auto"/>
      <w:ind w:firstLine="0" w:firstLineChars="0"/>
      <w:outlineLvl w:val="4"/>
    </w:pPr>
    <w:rPr>
      <w:rFonts w:cs="Times New Roman"/>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link w:val="94"/>
    <w:semiHidden/>
    <w:unhideWhenUsed/>
    <w:qFormat/>
    <w:uiPriority w:val="99"/>
    <w:pPr>
      <w:spacing w:line="360" w:lineRule="auto"/>
      <w:ind w:firstLine="420" w:firstLineChars="200"/>
    </w:pPr>
    <w:rPr>
      <w:rFonts w:cstheme="minorBidi"/>
      <w:sz w:val="24"/>
      <w:szCs w:val="21"/>
    </w:rPr>
  </w:style>
  <w:style w:type="paragraph" w:styleId="8">
    <w:name w:val="Normal Indent"/>
    <w:basedOn w:val="1"/>
    <w:next w:val="1"/>
    <w:link w:val="52"/>
    <w:qFormat/>
    <w:uiPriority w:val="0"/>
    <w:pPr>
      <w:spacing w:line="240" w:lineRule="auto"/>
      <w:ind w:firstLine="420"/>
    </w:pPr>
    <w:rPr>
      <w:rFonts w:cs="Times New Roman"/>
      <w:sz w:val="21"/>
      <w:szCs w:val="24"/>
    </w:rPr>
  </w:style>
  <w:style w:type="paragraph" w:styleId="9">
    <w:name w:val="caption"/>
    <w:basedOn w:val="1"/>
    <w:next w:val="1"/>
    <w:qFormat/>
    <w:uiPriority w:val="0"/>
    <w:pPr>
      <w:ind w:firstLine="0" w:firstLineChars="0"/>
      <w:jc w:val="center"/>
    </w:pPr>
    <w:rPr>
      <w:rFonts w:eastAsia="黑体" w:cstheme="majorBidi"/>
      <w:szCs w:val="20"/>
    </w:rPr>
  </w:style>
  <w:style w:type="paragraph" w:styleId="10">
    <w:name w:val="Document Map"/>
    <w:basedOn w:val="1"/>
    <w:link w:val="38"/>
    <w:semiHidden/>
    <w:unhideWhenUsed/>
    <w:qFormat/>
    <w:uiPriority w:val="99"/>
    <w:rPr>
      <w:rFonts w:ascii="宋体"/>
      <w:sz w:val="18"/>
      <w:szCs w:val="18"/>
    </w:rPr>
  </w:style>
  <w:style w:type="paragraph" w:styleId="11">
    <w:name w:val="annotation text"/>
    <w:basedOn w:val="1"/>
    <w:next w:val="1"/>
    <w:link w:val="60"/>
    <w:qFormat/>
    <w:uiPriority w:val="0"/>
    <w:pPr>
      <w:spacing w:line="240" w:lineRule="auto"/>
      <w:ind w:firstLine="0" w:firstLineChars="0"/>
      <w:jc w:val="left"/>
    </w:pPr>
    <w:rPr>
      <w:rFonts w:cs="Times New Roman"/>
      <w:sz w:val="21"/>
      <w:szCs w:val="24"/>
    </w:rPr>
  </w:style>
  <w:style w:type="paragraph" w:styleId="12">
    <w:name w:val="Body Text"/>
    <w:basedOn w:val="1"/>
    <w:next w:val="13"/>
    <w:link w:val="111"/>
    <w:semiHidden/>
    <w:unhideWhenUsed/>
    <w:qFormat/>
    <w:uiPriority w:val="99"/>
    <w:pPr>
      <w:spacing w:after="120"/>
    </w:pPr>
  </w:style>
  <w:style w:type="paragraph" w:customStyle="1" w:styleId="13">
    <w:name w:val="xl27"/>
    <w:basedOn w:val="1"/>
    <w:next w:val="1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4">
    <w:name w:val="Body Text Indent"/>
    <w:basedOn w:val="1"/>
    <w:next w:val="15"/>
    <w:link w:val="88"/>
    <w:qFormat/>
    <w:uiPriority w:val="0"/>
    <w:pPr>
      <w:spacing w:after="120" w:line="240" w:lineRule="auto"/>
      <w:ind w:left="420" w:leftChars="200" w:firstLine="0" w:firstLineChars="0"/>
    </w:pPr>
    <w:rPr>
      <w:rFonts w:cs="Times New Roman"/>
      <w:sz w:val="21"/>
      <w:szCs w:val="24"/>
    </w:rPr>
  </w:style>
  <w:style w:type="paragraph" w:customStyle="1" w:styleId="1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6">
    <w:name w:val="Plain Text"/>
    <w:basedOn w:val="1"/>
    <w:next w:val="17"/>
    <w:link w:val="81"/>
    <w:qFormat/>
    <w:uiPriority w:val="0"/>
    <w:pPr>
      <w:spacing w:line="240" w:lineRule="auto"/>
      <w:ind w:firstLine="0" w:firstLineChars="0"/>
    </w:pPr>
    <w:rPr>
      <w:rFonts w:ascii="宋体" w:hAnsi="Courier New" w:cs="Times New Roman"/>
      <w:kern w:val="21"/>
      <w:sz w:val="21"/>
      <w:szCs w:val="20"/>
    </w:rPr>
  </w:style>
  <w:style w:type="paragraph" w:customStyle="1" w:styleId="17">
    <w:name w:val="我正文"/>
    <w:basedOn w:val="1"/>
    <w:qFormat/>
    <w:uiPriority w:val="0"/>
    <w:pPr>
      <w:tabs>
        <w:tab w:val="left" w:pos="547"/>
        <w:tab w:val="left" w:pos="1080"/>
        <w:tab w:val="center" w:pos="4320"/>
        <w:tab w:val="right" w:pos="8550"/>
      </w:tabs>
      <w:wordWrap w:val="0"/>
      <w:adjustRightInd w:val="0"/>
      <w:snapToGrid w:val="0"/>
      <w:spacing w:line="500" w:lineRule="atLeast"/>
      <w:ind w:firstLine="200" w:firstLineChars="200"/>
      <w:jc w:val="left"/>
    </w:pPr>
    <w:rPr>
      <w:sz w:val="24"/>
      <w:szCs w:val="20"/>
    </w:rPr>
  </w:style>
  <w:style w:type="paragraph" w:styleId="18">
    <w:name w:val="Date"/>
    <w:basedOn w:val="1"/>
    <w:next w:val="1"/>
    <w:link w:val="66"/>
    <w:qFormat/>
    <w:uiPriority w:val="0"/>
    <w:pPr>
      <w:spacing w:line="240" w:lineRule="auto"/>
      <w:ind w:firstLine="0" w:firstLineChars="0"/>
    </w:pPr>
    <w:rPr>
      <w:rFonts w:ascii="Plotter" w:hAnsi="Plotter" w:cs="Times New Roman"/>
      <w:sz w:val="21"/>
      <w:szCs w:val="24"/>
    </w:rPr>
  </w:style>
  <w:style w:type="paragraph" w:styleId="19">
    <w:name w:val="Balloon Text"/>
    <w:basedOn w:val="1"/>
    <w:link w:val="45"/>
    <w:semiHidden/>
    <w:unhideWhenUsed/>
    <w:qFormat/>
    <w:uiPriority w:val="99"/>
    <w:pPr>
      <w:spacing w:line="240" w:lineRule="auto"/>
    </w:pPr>
    <w:rPr>
      <w:sz w:val="18"/>
      <w:szCs w:val="18"/>
    </w:rPr>
  </w:style>
  <w:style w:type="paragraph" w:styleId="20">
    <w:name w:val="footer"/>
    <w:basedOn w:val="1"/>
    <w:link w:val="34"/>
    <w:unhideWhenUsed/>
    <w:qFormat/>
    <w:uiPriority w:val="99"/>
    <w:pPr>
      <w:tabs>
        <w:tab w:val="center" w:pos="4153"/>
        <w:tab w:val="right" w:pos="8306"/>
      </w:tabs>
      <w:snapToGrid w:val="0"/>
      <w:jc w:val="left"/>
    </w:pPr>
    <w:rPr>
      <w:sz w:val="18"/>
      <w:szCs w:val="18"/>
    </w:rPr>
  </w:style>
  <w:style w:type="paragraph" w:styleId="21">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Body Text Indent 3"/>
    <w:basedOn w:val="1"/>
    <w:next w:val="1"/>
    <w:qFormat/>
    <w:uiPriority w:val="0"/>
    <w:pPr>
      <w:adjustRightInd w:val="0"/>
      <w:snapToGrid w:val="0"/>
      <w:spacing w:afterLines="0"/>
      <w:ind w:left="0" w:leftChars="0" w:firstLine="480" w:firstLineChars="200"/>
    </w:pPr>
    <w:rPr>
      <w:rFonts w:ascii="Times New Roman" w:hAnsi="Times New Roman"/>
      <w:snapToGrid w:val="0"/>
      <w:kern w:val="0"/>
    </w:rPr>
  </w:style>
  <w:style w:type="paragraph" w:styleId="23">
    <w:name w:val="Body Text 2"/>
    <w:basedOn w:val="1"/>
    <w:link w:val="96"/>
    <w:unhideWhenUsed/>
    <w:qFormat/>
    <w:uiPriority w:val="0"/>
    <w:pPr>
      <w:spacing w:after="120" w:line="480" w:lineRule="auto"/>
      <w:ind w:firstLine="0" w:firstLineChars="0"/>
    </w:pPr>
    <w:rPr>
      <w:rFonts w:cs="Times New Roman"/>
      <w:sz w:val="21"/>
      <w:szCs w:val="24"/>
    </w:rPr>
  </w:style>
  <w:style w:type="paragraph" w:styleId="24">
    <w:name w:val="Normal (Web)"/>
    <w:basedOn w:val="1"/>
    <w:qFormat/>
    <w:uiPriority w:val="0"/>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styleId="25">
    <w:name w:val="annotation subject"/>
    <w:basedOn w:val="11"/>
    <w:next w:val="11"/>
    <w:link w:val="80"/>
    <w:semiHidden/>
    <w:unhideWhenUsed/>
    <w:qFormat/>
    <w:uiPriority w:val="99"/>
    <w:pPr>
      <w:spacing w:line="360" w:lineRule="auto"/>
      <w:ind w:firstLine="200" w:firstLineChars="200"/>
    </w:pPr>
    <w:rPr>
      <w:rFonts w:cstheme="minorBidi"/>
      <w:b/>
      <w:bCs/>
      <w:sz w:val="24"/>
      <w:szCs w:val="21"/>
    </w:rPr>
  </w:style>
  <w:style w:type="paragraph" w:styleId="26">
    <w:name w:val="Body Text First Indent"/>
    <w:basedOn w:val="12"/>
    <w:link w:val="112"/>
    <w:semiHidden/>
    <w:unhideWhenUsed/>
    <w:qFormat/>
    <w:uiPriority w:val="99"/>
    <w:pPr>
      <w:ind w:firstLine="420" w:firstLineChars="100"/>
    </w:pPr>
  </w:style>
  <w:style w:type="table" w:styleId="28">
    <w:name w:val="Table Grid"/>
    <w:basedOn w:val="2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Hyperlink"/>
    <w:basedOn w:val="29"/>
    <w:semiHidden/>
    <w:unhideWhenUsed/>
    <w:qFormat/>
    <w:uiPriority w:val="99"/>
    <w:rPr>
      <w:color w:val="0000FF"/>
      <w:u w:val="single"/>
    </w:rPr>
  </w:style>
  <w:style w:type="character" w:styleId="31">
    <w:name w:val="annotation reference"/>
    <w:basedOn w:val="29"/>
    <w:semiHidden/>
    <w:unhideWhenUsed/>
    <w:qFormat/>
    <w:uiPriority w:val="99"/>
    <w:rPr>
      <w:sz w:val="21"/>
      <w:szCs w:val="21"/>
    </w:rPr>
  </w:style>
  <w:style w:type="paragraph" w:customStyle="1" w:styleId="32">
    <w:name w:val="Default"/>
    <w:unhideWhenUsed/>
    <w:qFormat/>
    <w:uiPriority w:val="99"/>
    <w:pPr>
      <w:widowControl w:val="0"/>
      <w:autoSpaceDE w:val="0"/>
      <w:autoSpaceDN w:val="0"/>
      <w:adjustRightInd w:val="0"/>
    </w:pPr>
    <w:rPr>
      <w:rFonts w:hint="eastAsia" w:ascii="..ì.+ 2" w:hAnsi="..ì.+ 2" w:eastAsia="..ì.+ 2" w:cs="Times New Roman"/>
      <w:color w:val="000000"/>
      <w:sz w:val="24"/>
      <w:szCs w:val="22"/>
      <w:lang w:val="en-US" w:eastAsia="zh-CN" w:bidi="ar-SA"/>
    </w:rPr>
  </w:style>
  <w:style w:type="character" w:customStyle="1" w:styleId="33">
    <w:name w:val="页眉 字符"/>
    <w:basedOn w:val="29"/>
    <w:link w:val="21"/>
    <w:semiHidden/>
    <w:qFormat/>
    <w:uiPriority w:val="99"/>
    <w:rPr>
      <w:sz w:val="18"/>
      <w:szCs w:val="18"/>
    </w:rPr>
  </w:style>
  <w:style w:type="character" w:customStyle="1" w:styleId="34">
    <w:name w:val="页脚 字符"/>
    <w:basedOn w:val="29"/>
    <w:link w:val="20"/>
    <w:qFormat/>
    <w:uiPriority w:val="99"/>
    <w:rPr>
      <w:sz w:val="18"/>
      <w:szCs w:val="18"/>
    </w:rPr>
  </w:style>
  <w:style w:type="character" w:customStyle="1" w:styleId="35">
    <w:name w:val="标题 1 字符"/>
    <w:basedOn w:val="29"/>
    <w:link w:val="3"/>
    <w:qFormat/>
    <w:uiPriority w:val="9"/>
    <w:rPr>
      <w:rFonts w:ascii="Times New Roman" w:hAnsi="Times New Roman" w:eastAsia="宋体"/>
      <w:b/>
      <w:bCs/>
      <w:kern w:val="44"/>
      <w:sz w:val="30"/>
      <w:szCs w:val="44"/>
    </w:rPr>
  </w:style>
  <w:style w:type="character" w:customStyle="1" w:styleId="36">
    <w:name w:val="标题 2 字符"/>
    <w:basedOn w:val="29"/>
    <w:link w:val="4"/>
    <w:qFormat/>
    <w:uiPriority w:val="9"/>
    <w:rPr>
      <w:rFonts w:ascii="Times New Roman" w:hAnsi="Times New Roman" w:eastAsia="宋体" w:cstheme="majorBidi"/>
      <w:b/>
      <w:bCs/>
      <w:sz w:val="28"/>
      <w:szCs w:val="32"/>
    </w:rPr>
  </w:style>
  <w:style w:type="character" w:customStyle="1" w:styleId="37">
    <w:name w:val="标题 3 字符"/>
    <w:basedOn w:val="29"/>
    <w:link w:val="5"/>
    <w:qFormat/>
    <w:uiPriority w:val="9"/>
    <w:rPr>
      <w:rFonts w:ascii="Times New Roman" w:hAnsi="Times New Roman" w:eastAsia="宋体"/>
      <w:b/>
      <w:bCs/>
      <w:sz w:val="24"/>
      <w:szCs w:val="32"/>
    </w:rPr>
  </w:style>
  <w:style w:type="character" w:customStyle="1" w:styleId="38">
    <w:name w:val="文档结构图 字符"/>
    <w:basedOn w:val="29"/>
    <w:link w:val="10"/>
    <w:semiHidden/>
    <w:qFormat/>
    <w:uiPriority w:val="99"/>
    <w:rPr>
      <w:rFonts w:ascii="宋体" w:hAnsi="Times New Roman" w:eastAsia="宋体"/>
      <w:sz w:val="18"/>
      <w:szCs w:val="18"/>
    </w:rPr>
  </w:style>
  <w:style w:type="character" w:customStyle="1" w:styleId="39">
    <w:name w:val="标题 4 字符"/>
    <w:basedOn w:val="29"/>
    <w:link w:val="6"/>
    <w:qFormat/>
    <w:uiPriority w:val="9"/>
    <w:rPr>
      <w:rFonts w:ascii="Times New Roman" w:hAnsi="Times New Roman" w:eastAsia="宋体" w:cstheme="majorBidi"/>
      <w:b/>
      <w:bCs/>
      <w:sz w:val="24"/>
      <w:szCs w:val="28"/>
    </w:rPr>
  </w:style>
  <w:style w:type="paragraph" w:customStyle="1" w:styleId="40">
    <w:name w:val="表格样式2"/>
    <w:basedOn w:val="1"/>
    <w:link w:val="41"/>
    <w:qFormat/>
    <w:uiPriority w:val="0"/>
    <w:pPr>
      <w:widowControl/>
      <w:spacing w:line="240" w:lineRule="auto"/>
      <w:ind w:firstLine="0" w:firstLineChars="0"/>
      <w:jc w:val="center"/>
    </w:pPr>
    <w:rPr>
      <w:rFonts w:cs="宋体"/>
      <w:color w:val="000000"/>
      <w:kern w:val="0"/>
      <w:sz w:val="21"/>
    </w:rPr>
  </w:style>
  <w:style w:type="character" w:customStyle="1" w:styleId="41">
    <w:name w:val="表格样式2 Char"/>
    <w:basedOn w:val="29"/>
    <w:link w:val="40"/>
    <w:qFormat/>
    <w:uiPriority w:val="0"/>
    <w:rPr>
      <w:rFonts w:ascii="Times New Roman" w:hAnsi="Times New Roman" w:eastAsia="宋体" w:cs="宋体"/>
      <w:color w:val="000000"/>
      <w:kern w:val="0"/>
    </w:rPr>
  </w:style>
  <w:style w:type="paragraph" w:styleId="42">
    <w:name w:val="No Spacing"/>
    <w:next w:val="1"/>
    <w:qFormat/>
    <w:uiPriority w:val="1"/>
    <w:pPr>
      <w:widowControl w:val="0"/>
      <w:adjustRightInd w:val="0"/>
      <w:snapToGrid w:val="0"/>
      <w:ind w:firstLine="200" w:firstLineChars="200"/>
      <w:jc w:val="both"/>
    </w:pPr>
    <w:rPr>
      <w:rFonts w:ascii="Times New Roman" w:hAnsi="Times New Roman" w:eastAsia="宋体" w:cstheme="minorBidi"/>
      <w:kern w:val="2"/>
      <w:sz w:val="21"/>
      <w:szCs w:val="21"/>
      <w:lang w:val="en-US" w:eastAsia="zh-CN" w:bidi="ar-SA"/>
    </w:rPr>
  </w:style>
  <w:style w:type="paragraph" w:customStyle="1" w:styleId="43">
    <w:name w:val="1标注黑体"/>
    <w:basedOn w:val="1"/>
    <w:link w:val="44"/>
    <w:qFormat/>
    <w:uiPriority w:val="0"/>
    <w:pPr>
      <w:keepNext/>
      <w:spacing w:line="480" w:lineRule="exact"/>
      <w:ind w:firstLine="0" w:firstLineChars="0"/>
    </w:pPr>
    <w:rPr>
      <w:rFonts w:ascii="黑体" w:hAnsi="黑体" w:eastAsia="黑体" w:cs="Times New Roman"/>
      <w:sz w:val="28"/>
      <w:szCs w:val="28"/>
    </w:rPr>
  </w:style>
  <w:style w:type="character" w:customStyle="1" w:styleId="44">
    <w:name w:val="1标注黑体 Char"/>
    <w:basedOn w:val="29"/>
    <w:link w:val="43"/>
    <w:qFormat/>
    <w:uiPriority w:val="0"/>
    <w:rPr>
      <w:rFonts w:ascii="黑体" w:hAnsi="黑体" w:eastAsia="黑体" w:cs="Times New Roman"/>
      <w:sz w:val="28"/>
      <w:szCs w:val="28"/>
    </w:rPr>
  </w:style>
  <w:style w:type="character" w:customStyle="1" w:styleId="45">
    <w:name w:val="批注框文本 字符"/>
    <w:basedOn w:val="29"/>
    <w:link w:val="19"/>
    <w:semiHidden/>
    <w:qFormat/>
    <w:uiPriority w:val="99"/>
    <w:rPr>
      <w:rFonts w:ascii="Times New Roman" w:hAnsi="Times New Roman" w:eastAsia="宋体"/>
      <w:sz w:val="18"/>
      <w:szCs w:val="18"/>
    </w:rPr>
  </w:style>
  <w:style w:type="paragraph" w:customStyle="1" w:styleId="46">
    <w:name w:val="表格样式1"/>
    <w:link w:val="47"/>
    <w:qFormat/>
    <w:uiPriority w:val="0"/>
    <w:pPr>
      <w:adjustRightInd w:val="0"/>
      <w:snapToGrid w:val="0"/>
      <w:spacing w:line="360" w:lineRule="exact"/>
      <w:jc w:val="center"/>
    </w:pPr>
    <w:rPr>
      <w:rFonts w:ascii="Times New Roman" w:hAnsi="Times New Roman" w:eastAsia="宋体" w:cs="Times New Roman"/>
      <w:sz w:val="21"/>
      <w:lang w:val="en-US" w:eastAsia="zh-CN" w:bidi="ar-SA"/>
    </w:rPr>
  </w:style>
  <w:style w:type="character" w:customStyle="1" w:styleId="47">
    <w:name w:val="表格样式1 Char"/>
    <w:basedOn w:val="29"/>
    <w:link w:val="46"/>
    <w:qFormat/>
    <w:uiPriority w:val="0"/>
    <w:rPr>
      <w:rFonts w:ascii="Times New Roman" w:hAnsi="Times New Roman" w:eastAsia="宋体" w:cs="Times New Roman"/>
      <w:kern w:val="0"/>
      <w:szCs w:val="20"/>
    </w:rPr>
  </w:style>
  <w:style w:type="character" w:customStyle="1" w:styleId="48">
    <w:name w:val="表格文字11 字符"/>
    <w:link w:val="49"/>
    <w:qFormat/>
    <w:uiPriority w:val="0"/>
    <w:rPr>
      <w:bCs/>
    </w:rPr>
  </w:style>
  <w:style w:type="paragraph" w:customStyle="1" w:styleId="49">
    <w:name w:val="表格文字11"/>
    <w:basedOn w:val="1"/>
    <w:link w:val="48"/>
    <w:qFormat/>
    <w:uiPriority w:val="0"/>
    <w:pPr>
      <w:spacing w:line="400" w:lineRule="exact"/>
      <w:ind w:firstLine="0" w:firstLineChars="0"/>
      <w:jc w:val="center"/>
    </w:pPr>
    <w:rPr>
      <w:rFonts w:asciiTheme="minorHAnsi" w:hAnsiTheme="minorHAnsi" w:eastAsiaTheme="minorEastAsia"/>
      <w:bCs/>
      <w:sz w:val="21"/>
    </w:rPr>
  </w:style>
  <w:style w:type="paragraph" w:customStyle="1" w:styleId="50">
    <w:name w:val="李表格常用格式"/>
    <w:basedOn w:val="1"/>
    <w:link w:val="51"/>
    <w:qFormat/>
    <w:uiPriority w:val="0"/>
    <w:pPr>
      <w:spacing w:line="320" w:lineRule="exact"/>
      <w:ind w:firstLine="0" w:firstLineChars="0"/>
      <w:jc w:val="center"/>
    </w:pPr>
    <w:rPr>
      <w:rFonts w:cs="Times New Roman"/>
      <w:color w:val="000000"/>
      <w:sz w:val="21"/>
    </w:rPr>
  </w:style>
  <w:style w:type="character" w:customStyle="1" w:styleId="51">
    <w:name w:val="李表格常用格式 字符"/>
    <w:link w:val="50"/>
    <w:qFormat/>
    <w:uiPriority w:val="0"/>
    <w:rPr>
      <w:rFonts w:ascii="Times New Roman" w:hAnsi="Times New Roman" w:eastAsia="宋体" w:cs="Times New Roman"/>
      <w:color w:val="000000"/>
    </w:rPr>
  </w:style>
  <w:style w:type="character" w:customStyle="1" w:styleId="52">
    <w:name w:val="正文缩进 字符"/>
    <w:link w:val="8"/>
    <w:qFormat/>
    <w:uiPriority w:val="0"/>
    <w:rPr>
      <w:rFonts w:ascii="Times New Roman" w:hAnsi="Times New Roman" w:eastAsia="宋体" w:cs="Times New Roman"/>
      <w:szCs w:val="24"/>
    </w:rPr>
  </w:style>
  <w:style w:type="character" w:customStyle="1" w:styleId="53">
    <w:name w:val="表格 Char"/>
    <w:link w:val="54"/>
    <w:qFormat/>
    <w:uiPriority w:val="0"/>
    <w:rPr>
      <w:rFonts w:ascii="Times New Roman" w:hAnsi="Times New Roman" w:eastAsia="宋体"/>
      <w:b/>
      <w:bCs/>
      <w:sz w:val="24"/>
      <w:szCs w:val="24"/>
    </w:rPr>
  </w:style>
  <w:style w:type="paragraph" w:customStyle="1" w:styleId="54">
    <w:name w:val="表格"/>
    <w:basedOn w:val="1"/>
    <w:link w:val="53"/>
    <w:qFormat/>
    <w:uiPriority w:val="0"/>
    <w:pPr>
      <w:adjustRightInd w:val="0"/>
      <w:snapToGrid w:val="0"/>
      <w:spacing w:before="50" w:beforeLines="50" w:line="240" w:lineRule="auto"/>
      <w:ind w:firstLine="0" w:firstLineChars="0"/>
      <w:jc w:val="center"/>
    </w:pPr>
    <w:rPr>
      <w:rFonts w:ascii="Times New Roman" w:hAnsi="Times New Roman" w:eastAsia="宋体"/>
      <w:b/>
      <w:bCs/>
      <w:szCs w:val="24"/>
    </w:rPr>
  </w:style>
  <w:style w:type="paragraph" w:styleId="55">
    <w:name w:val="List Paragraph"/>
    <w:basedOn w:val="1"/>
    <w:qFormat/>
    <w:uiPriority w:val="34"/>
    <w:pPr>
      <w:ind w:firstLine="420"/>
    </w:pPr>
  </w:style>
  <w:style w:type="character" w:customStyle="1" w:styleId="56">
    <w:name w:val="表格文字 Char Char"/>
    <w:link w:val="57"/>
    <w:qFormat/>
    <w:uiPriority w:val="0"/>
  </w:style>
  <w:style w:type="paragraph" w:customStyle="1" w:styleId="57">
    <w:name w:val="表格文字"/>
    <w:basedOn w:val="1"/>
    <w:next w:val="1"/>
    <w:link w:val="56"/>
    <w:qFormat/>
    <w:uiPriority w:val="0"/>
    <w:pPr>
      <w:snapToGrid w:val="0"/>
      <w:spacing w:line="320" w:lineRule="exact"/>
      <w:ind w:firstLine="0" w:firstLineChars="0"/>
      <w:jc w:val="center"/>
    </w:pPr>
    <w:rPr>
      <w:rFonts w:asciiTheme="minorHAnsi" w:hAnsiTheme="minorHAnsi" w:eastAsiaTheme="minorEastAsia"/>
      <w:sz w:val="21"/>
    </w:rPr>
  </w:style>
  <w:style w:type="paragraph" w:customStyle="1" w:styleId="58">
    <w:name w:val="p0"/>
    <w:basedOn w:val="1"/>
    <w:qFormat/>
    <w:uiPriority w:val="0"/>
    <w:pPr>
      <w:widowControl/>
      <w:spacing w:line="240" w:lineRule="auto"/>
      <w:ind w:firstLine="420" w:firstLineChars="0"/>
      <w:jc w:val="left"/>
    </w:pPr>
    <w:rPr>
      <w:rFonts w:cs="Times New Roman"/>
      <w:kern w:val="0"/>
      <w:sz w:val="20"/>
      <w:szCs w:val="20"/>
    </w:rPr>
  </w:style>
  <w:style w:type="paragraph" w:customStyle="1" w:styleId="59">
    <w:name w:val="1"/>
    <w:basedOn w:val="1"/>
    <w:next w:val="55"/>
    <w:qFormat/>
    <w:uiPriority w:val="0"/>
    <w:pPr>
      <w:spacing w:line="240" w:lineRule="auto"/>
      <w:ind w:firstLine="420"/>
    </w:pPr>
    <w:rPr>
      <w:rFonts w:cs="Times New Roman"/>
      <w:sz w:val="21"/>
      <w:szCs w:val="24"/>
    </w:rPr>
  </w:style>
  <w:style w:type="character" w:customStyle="1" w:styleId="60">
    <w:name w:val="批注文字 字符"/>
    <w:basedOn w:val="29"/>
    <w:link w:val="11"/>
    <w:qFormat/>
    <w:uiPriority w:val="0"/>
    <w:rPr>
      <w:rFonts w:ascii="Times New Roman" w:hAnsi="Times New Roman" w:eastAsia="宋体" w:cs="Times New Roman"/>
      <w:szCs w:val="24"/>
    </w:rPr>
  </w:style>
  <w:style w:type="character" w:customStyle="1" w:styleId="61">
    <w:name w:val="正文文本 (2) + SimSun"/>
    <w:basedOn w:val="29"/>
    <w:qFormat/>
    <w:uiPriority w:val="0"/>
    <w:rPr>
      <w:rFonts w:hint="eastAsia" w:ascii="宋体" w:hAnsi="宋体" w:eastAsia="MingLiU" w:cs="宋体"/>
      <w:sz w:val="23"/>
      <w:szCs w:val="23"/>
      <w:u w:val="none"/>
    </w:rPr>
  </w:style>
  <w:style w:type="character" w:customStyle="1" w:styleId="62">
    <w:name w:val="正文文本 (2) + 15 pt"/>
    <w:basedOn w:val="29"/>
    <w:qFormat/>
    <w:uiPriority w:val="0"/>
    <w:rPr>
      <w:rFonts w:hint="eastAsia" w:ascii="MingLiU" w:hAnsi="MingLiU" w:eastAsia="MingLiU" w:cs="MingLiU"/>
      <w:spacing w:val="-10"/>
      <w:sz w:val="30"/>
      <w:szCs w:val="30"/>
      <w:u w:val="none"/>
      <w:lang w:val="en-US" w:eastAsia="en-US"/>
    </w:rPr>
  </w:style>
  <w:style w:type="character" w:customStyle="1" w:styleId="63">
    <w:name w:val="正文文本 (2) + Microsoft Sans Serif4"/>
    <w:basedOn w:val="29"/>
    <w:qFormat/>
    <w:uiPriority w:val="0"/>
    <w:rPr>
      <w:rFonts w:hint="eastAsia" w:ascii="Microsoft Sans Serif" w:hAnsi="Microsoft Sans Serif" w:eastAsia="MingLiU" w:cs="Microsoft Sans Serif"/>
      <w:sz w:val="23"/>
      <w:szCs w:val="23"/>
      <w:u w:val="none"/>
      <w:lang w:val="en-US" w:eastAsia="en-US"/>
    </w:rPr>
  </w:style>
  <w:style w:type="paragraph" w:customStyle="1" w:styleId="64">
    <w:name w:val="0表格"/>
    <w:basedOn w:val="1"/>
    <w:qFormat/>
    <w:uiPriority w:val="0"/>
    <w:pPr>
      <w:spacing w:line="240" w:lineRule="auto"/>
      <w:ind w:firstLine="0" w:firstLineChars="0"/>
      <w:jc w:val="center"/>
    </w:pPr>
    <w:rPr>
      <w:rFonts w:cs="Times New Roman"/>
      <w:sz w:val="21"/>
    </w:rPr>
  </w:style>
  <w:style w:type="paragraph" w:customStyle="1" w:styleId="65">
    <w:name w:val="0题注"/>
    <w:basedOn w:val="1"/>
    <w:next w:val="1"/>
    <w:qFormat/>
    <w:uiPriority w:val="0"/>
    <w:pPr>
      <w:spacing w:line="240" w:lineRule="auto"/>
      <w:ind w:firstLine="0" w:firstLineChars="0"/>
      <w:jc w:val="center"/>
    </w:pPr>
    <w:rPr>
      <w:rFonts w:cs="Times New Roman"/>
      <w:sz w:val="21"/>
      <w:szCs w:val="24"/>
    </w:rPr>
  </w:style>
  <w:style w:type="character" w:customStyle="1" w:styleId="66">
    <w:name w:val="日期 字符"/>
    <w:basedOn w:val="29"/>
    <w:link w:val="18"/>
    <w:qFormat/>
    <w:uiPriority w:val="0"/>
    <w:rPr>
      <w:rFonts w:ascii="Plotter" w:hAnsi="Plotter" w:eastAsia="宋体" w:cs="Times New Roman"/>
      <w:szCs w:val="24"/>
    </w:rPr>
  </w:style>
  <w:style w:type="paragraph" w:customStyle="1" w:styleId="67">
    <w:name w:val="江建权"/>
    <w:basedOn w:val="1"/>
    <w:qFormat/>
    <w:uiPriority w:val="0"/>
    <w:rPr>
      <w:rFonts w:ascii="Calibri" w:hAnsi="Calibri" w:cs="Times New Roman"/>
      <w:sz w:val="21"/>
      <w:szCs w:val="24"/>
    </w:rPr>
  </w:style>
  <w:style w:type="character" w:customStyle="1" w:styleId="68">
    <w:name w:val="正文文本 (2) + Microsoft Sans Serif"/>
    <w:basedOn w:val="29"/>
    <w:qFormat/>
    <w:uiPriority w:val="0"/>
    <w:rPr>
      <w:rFonts w:hint="eastAsia" w:ascii="Microsoft Sans Serif" w:hAnsi="Microsoft Sans Serif" w:eastAsia="MingLiU" w:cs="Microsoft Sans Serif"/>
      <w:b/>
      <w:bCs/>
      <w:sz w:val="23"/>
      <w:szCs w:val="23"/>
      <w:u w:val="none"/>
      <w:lang w:val="en-US" w:eastAsia="en-US"/>
    </w:rPr>
  </w:style>
  <w:style w:type="character" w:customStyle="1" w:styleId="69">
    <w:name w:val="正文文本 (13) Exact3"/>
    <w:basedOn w:val="29"/>
    <w:qFormat/>
    <w:uiPriority w:val="0"/>
    <w:rPr>
      <w:rFonts w:ascii="Microsoft Sans Serif" w:hAnsi="Microsoft Sans Serif" w:cs="宋体"/>
      <w:b/>
      <w:bCs/>
      <w:color w:val="000000"/>
      <w:spacing w:val="0"/>
      <w:w w:val="100"/>
      <w:position w:val="0"/>
      <w:sz w:val="23"/>
      <w:szCs w:val="23"/>
      <w:lang w:val="en-US" w:eastAsia="en-US" w:bidi="ar-SA"/>
    </w:rPr>
  </w:style>
  <w:style w:type="character" w:customStyle="1" w:styleId="70">
    <w:name w:val="正文文本 (2) + Microsoft Sans Serif3"/>
    <w:basedOn w:val="29"/>
    <w:qFormat/>
    <w:uiPriority w:val="0"/>
    <w:rPr>
      <w:rFonts w:hint="eastAsia" w:ascii="Microsoft Sans Serif" w:hAnsi="Microsoft Sans Serif" w:eastAsia="MingLiU" w:cs="Microsoft Sans Serif"/>
      <w:b/>
      <w:bCs/>
      <w:smallCaps/>
      <w:sz w:val="23"/>
      <w:szCs w:val="23"/>
      <w:u w:val="none"/>
      <w:lang w:val="en-US" w:eastAsia="en-US"/>
    </w:rPr>
  </w:style>
  <w:style w:type="character" w:customStyle="1" w:styleId="71">
    <w:name w:val="正文文本 (2) + Constantia9"/>
    <w:basedOn w:val="29"/>
    <w:qFormat/>
    <w:uiPriority w:val="0"/>
    <w:rPr>
      <w:rFonts w:hint="eastAsia" w:ascii="Constantia" w:hAnsi="Constantia" w:eastAsia="MingLiU" w:cs="Constantia"/>
      <w:spacing w:val="10"/>
      <w:sz w:val="19"/>
      <w:szCs w:val="19"/>
      <w:u w:val="none"/>
      <w:lang w:val="en-US" w:eastAsia="en-US"/>
    </w:rPr>
  </w:style>
  <w:style w:type="character" w:customStyle="1" w:styleId="72">
    <w:name w:val="正文文本 (2) + SimSun27"/>
    <w:basedOn w:val="29"/>
    <w:qFormat/>
    <w:uiPriority w:val="0"/>
    <w:rPr>
      <w:rFonts w:hint="eastAsia" w:ascii="宋体" w:hAnsi="宋体" w:eastAsia="MingLiU" w:cs="宋体"/>
      <w:spacing w:val="10"/>
      <w:sz w:val="16"/>
      <w:szCs w:val="16"/>
      <w:u w:val="none"/>
    </w:rPr>
  </w:style>
  <w:style w:type="character" w:customStyle="1" w:styleId="73">
    <w:name w:val="正文文本 (2) + Book Antiqua"/>
    <w:basedOn w:val="29"/>
    <w:qFormat/>
    <w:uiPriority w:val="0"/>
    <w:rPr>
      <w:rFonts w:hint="eastAsia" w:ascii="Book Antiqua" w:hAnsi="Book Antiqua" w:eastAsia="MingLiU" w:cs="Book Antiqua"/>
      <w:b/>
      <w:bCs/>
      <w:i/>
      <w:iCs/>
      <w:sz w:val="17"/>
      <w:szCs w:val="17"/>
      <w:u w:val="none"/>
    </w:rPr>
  </w:style>
  <w:style w:type="character" w:customStyle="1" w:styleId="74">
    <w:name w:val="font91"/>
    <w:basedOn w:val="29"/>
    <w:qFormat/>
    <w:uiPriority w:val="0"/>
    <w:rPr>
      <w:rFonts w:hint="eastAsia" w:ascii="宋体" w:hAnsi="宋体" w:eastAsia="宋体" w:cs="宋体"/>
      <w:b/>
      <w:color w:val="000000"/>
      <w:sz w:val="24"/>
      <w:szCs w:val="24"/>
      <w:u w:val="none"/>
      <w:vertAlign w:val="superscript"/>
    </w:rPr>
  </w:style>
  <w:style w:type="character" w:customStyle="1" w:styleId="75">
    <w:name w:val="表格文字 Char"/>
    <w:basedOn w:val="29"/>
    <w:qFormat/>
    <w:uiPriority w:val="0"/>
    <w:rPr>
      <w:rFonts w:ascii="华文中宋" w:eastAsia="宋体"/>
      <w:sz w:val="21"/>
      <w:szCs w:val="24"/>
      <w:lang w:val="en-US" w:eastAsia="zh-CN" w:bidi="ar-SA"/>
    </w:rPr>
  </w:style>
  <w:style w:type="paragraph" w:customStyle="1" w:styleId="76">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77">
    <w:name w:val="Table Paragraph"/>
    <w:basedOn w:val="1"/>
    <w:unhideWhenUsed/>
    <w:qFormat/>
    <w:uiPriority w:val="0"/>
    <w:pPr>
      <w:autoSpaceDE w:val="0"/>
      <w:autoSpaceDN w:val="0"/>
      <w:adjustRightInd w:val="0"/>
      <w:spacing w:line="240" w:lineRule="auto"/>
      <w:ind w:firstLine="0" w:firstLineChars="0"/>
    </w:pPr>
    <w:rPr>
      <w:rFonts w:cs="Times New Roman"/>
      <w:kern w:val="0"/>
      <w:szCs w:val="20"/>
    </w:rPr>
  </w:style>
  <w:style w:type="paragraph" w:customStyle="1" w:styleId="78">
    <w:name w:val="Char Char Char3 Char"/>
    <w:basedOn w:val="1"/>
    <w:qFormat/>
    <w:uiPriority w:val="0"/>
    <w:rPr>
      <w:rFonts w:ascii="宋体" w:hAnsi="宋体" w:cs="宋体"/>
      <w:szCs w:val="24"/>
    </w:rPr>
  </w:style>
  <w:style w:type="paragraph" w:customStyle="1" w:styleId="79">
    <w:name w:val="Char Char Char3 Char1"/>
    <w:basedOn w:val="1"/>
    <w:qFormat/>
    <w:uiPriority w:val="0"/>
    <w:rPr>
      <w:rFonts w:ascii="宋体" w:hAnsi="宋体" w:cs="宋体"/>
      <w:szCs w:val="24"/>
    </w:rPr>
  </w:style>
  <w:style w:type="character" w:customStyle="1" w:styleId="80">
    <w:name w:val="批注主题 字符"/>
    <w:basedOn w:val="60"/>
    <w:link w:val="25"/>
    <w:semiHidden/>
    <w:qFormat/>
    <w:uiPriority w:val="99"/>
    <w:rPr>
      <w:rFonts w:ascii="Times New Roman" w:hAnsi="Times New Roman" w:eastAsia="宋体" w:cs="Times New Roman"/>
      <w:b/>
      <w:bCs/>
      <w:sz w:val="24"/>
      <w:szCs w:val="24"/>
    </w:rPr>
  </w:style>
  <w:style w:type="character" w:customStyle="1" w:styleId="81">
    <w:name w:val="纯文本 字符"/>
    <w:basedOn w:val="29"/>
    <w:link w:val="16"/>
    <w:qFormat/>
    <w:uiPriority w:val="0"/>
    <w:rPr>
      <w:rFonts w:ascii="宋体" w:hAnsi="Courier New" w:eastAsia="宋体" w:cs="Times New Roman"/>
      <w:kern w:val="21"/>
      <w:szCs w:val="20"/>
    </w:rPr>
  </w:style>
  <w:style w:type="paragraph" w:customStyle="1" w:styleId="82">
    <w:name w:val="我的正文1"/>
    <w:basedOn w:val="1"/>
    <w:link w:val="83"/>
    <w:qFormat/>
    <w:uiPriority w:val="0"/>
    <w:pPr>
      <w:adjustRightInd w:val="0"/>
      <w:snapToGrid w:val="0"/>
      <w:spacing w:line="480" w:lineRule="exact"/>
      <w:ind w:firstLine="503"/>
      <w:jc w:val="left"/>
    </w:pPr>
    <w:rPr>
      <w:rFonts w:cs="Times New Roman"/>
      <w:bCs/>
      <w:szCs w:val="24"/>
    </w:rPr>
  </w:style>
  <w:style w:type="character" w:customStyle="1" w:styleId="83">
    <w:name w:val="我的正文1 字符"/>
    <w:link w:val="82"/>
    <w:qFormat/>
    <w:uiPriority w:val="0"/>
    <w:rPr>
      <w:rFonts w:ascii="Times New Roman" w:hAnsi="Times New Roman" w:eastAsia="宋体" w:cs="Times New Roman"/>
      <w:bCs/>
      <w:sz w:val="24"/>
      <w:szCs w:val="24"/>
    </w:rPr>
  </w:style>
  <w:style w:type="paragraph" w:customStyle="1" w:styleId="84">
    <w:name w:val="正文(首行缩进)"/>
    <w:basedOn w:val="1"/>
    <w:qFormat/>
    <w:uiPriority w:val="0"/>
    <w:pPr>
      <w:widowControl/>
      <w:adjustRightInd w:val="0"/>
      <w:snapToGrid w:val="0"/>
      <w:spacing w:after="200" w:line="276" w:lineRule="auto"/>
    </w:pPr>
    <w:rPr>
      <w:rFonts w:ascii="Calibri" w:hAnsi="Calibri" w:cs="Times New Roman"/>
      <w:snapToGrid w:val="0"/>
      <w:kern w:val="0"/>
      <w:sz w:val="22"/>
      <w:szCs w:val="24"/>
    </w:rPr>
  </w:style>
  <w:style w:type="table" w:customStyle="1" w:styleId="85">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86">
    <w:name w:val="Char1 Char Char Char"/>
    <w:basedOn w:val="1"/>
    <w:qFormat/>
    <w:uiPriority w:val="0"/>
    <w:pPr>
      <w:spacing w:line="240" w:lineRule="auto"/>
      <w:ind w:firstLine="0" w:firstLineChars="0"/>
    </w:pPr>
    <w:rPr>
      <w:rFonts w:cs="Times New Roman"/>
      <w:sz w:val="21"/>
    </w:rPr>
  </w:style>
  <w:style w:type="paragraph" w:customStyle="1" w:styleId="87">
    <w:name w:val="列出段落1"/>
    <w:basedOn w:val="1"/>
    <w:qFormat/>
    <w:uiPriority w:val="0"/>
    <w:pPr>
      <w:spacing w:line="240" w:lineRule="auto"/>
      <w:ind w:firstLine="420"/>
    </w:pPr>
    <w:rPr>
      <w:rFonts w:ascii="Calibri" w:hAnsi="Calibri" w:cs="Calibri"/>
      <w:sz w:val="21"/>
    </w:rPr>
  </w:style>
  <w:style w:type="character" w:customStyle="1" w:styleId="88">
    <w:name w:val="正文文本缩进 字符"/>
    <w:basedOn w:val="29"/>
    <w:link w:val="14"/>
    <w:qFormat/>
    <w:uiPriority w:val="0"/>
    <w:rPr>
      <w:rFonts w:ascii="Times New Roman" w:hAnsi="Times New Roman" w:eastAsia="宋体" w:cs="Times New Roman"/>
      <w:kern w:val="2"/>
      <w:sz w:val="21"/>
      <w:szCs w:val="24"/>
    </w:rPr>
  </w:style>
  <w:style w:type="character" w:customStyle="1" w:styleId="89">
    <w:name w:val="纯文本 Char1"/>
    <w:qFormat/>
    <w:uiPriority w:val="0"/>
    <w:rPr>
      <w:rFonts w:ascii="宋体" w:hAnsi="Courier New" w:eastAsia="宋体" w:cs="Courier New"/>
      <w:b/>
      <w:bCs/>
      <w:sz w:val="24"/>
      <w:szCs w:val="21"/>
    </w:rPr>
  </w:style>
  <w:style w:type="paragraph" w:customStyle="1" w:styleId="90">
    <w:name w:val="13磅"/>
    <w:basedOn w:val="8"/>
    <w:link w:val="91"/>
    <w:qFormat/>
    <w:uiPriority w:val="0"/>
    <w:pPr>
      <w:spacing w:line="500" w:lineRule="exact"/>
      <w:ind w:firstLine="480"/>
    </w:pPr>
    <w:rPr>
      <w:kern w:val="0"/>
      <w:sz w:val="24"/>
    </w:rPr>
  </w:style>
  <w:style w:type="character" w:customStyle="1" w:styleId="91">
    <w:name w:val="13磅 Char"/>
    <w:link w:val="90"/>
    <w:qFormat/>
    <w:uiPriority w:val="0"/>
    <w:rPr>
      <w:rFonts w:ascii="Times New Roman" w:hAnsi="Times New Roman" w:eastAsia="宋体" w:cs="Times New Roman"/>
      <w:sz w:val="24"/>
      <w:szCs w:val="24"/>
    </w:rPr>
  </w:style>
  <w:style w:type="paragraph" w:customStyle="1" w:styleId="92">
    <w:name w:val="li表格"/>
    <w:basedOn w:val="57"/>
    <w:next w:val="57"/>
    <w:qFormat/>
    <w:uiPriority w:val="0"/>
    <w:pPr>
      <w:snapToGrid/>
      <w:spacing w:line="360" w:lineRule="exact"/>
      <w:ind w:firstLine="200" w:firstLineChars="200"/>
    </w:pPr>
    <w:rPr>
      <w:rFonts w:ascii="Times New Roman" w:hAnsi="Times New Roman" w:eastAsia="宋体" w:cs="Times New Roman"/>
      <w:b/>
      <w:spacing w:val="4"/>
    </w:rPr>
  </w:style>
  <w:style w:type="paragraph" w:customStyle="1" w:styleId="93">
    <w:name w:val="正文首行缩进 2 + Times New Roman"/>
    <w:basedOn w:val="2"/>
    <w:qFormat/>
    <w:uiPriority w:val="6"/>
    <w:pPr>
      <w:tabs>
        <w:tab w:val="left" w:pos="0"/>
        <w:tab w:val="left" w:pos="3150"/>
      </w:tabs>
      <w:autoSpaceDE w:val="0"/>
      <w:autoSpaceDN w:val="0"/>
      <w:spacing w:line="480" w:lineRule="exact"/>
      <w:ind w:firstLine="480"/>
    </w:pPr>
    <w:rPr>
      <w:rFonts w:cs="Times New Roman"/>
      <w:szCs w:val="24"/>
    </w:rPr>
  </w:style>
  <w:style w:type="character" w:customStyle="1" w:styleId="94">
    <w:name w:val="正文文本首行缩进 2 字符"/>
    <w:basedOn w:val="88"/>
    <w:link w:val="2"/>
    <w:semiHidden/>
    <w:qFormat/>
    <w:uiPriority w:val="99"/>
    <w:rPr>
      <w:rFonts w:ascii="Times New Roman" w:hAnsi="Times New Roman" w:eastAsia="宋体" w:cs="Times New Roman"/>
      <w:kern w:val="2"/>
      <w:sz w:val="24"/>
      <w:szCs w:val="21"/>
    </w:rPr>
  </w:style>
  <w:style w:type="paragraph" w:customStyle="1" w:styleId="95">
    <w:name w:val="+正文"/>
    <w:basedOn w:val="1"/>
    <w:qFormat/>
    <w:uiPriority w:val="0"/>
    <w:pPr>
      <w:adjustRightInd w:val="0"/>
      <w:snapToGrid w:val="0"/>
    </w:pPr>
    <w:rPr>
      <w:rFonts w:cs="Times New Roman"/>
      <w:szCs w:val="28"/>
    </w:rPr>
  </w:style>
  <w:style w:type="character" w:customStyle="1" w:styleId="96">
    <w:name w:val="正文文本 2 字符"/>
    <w:basedOn w:val="29"/>
    <w:link w:val="23"/>
    <w:qFormat/>
    <w:uiPriority w:val="0"/>
    <w:rPr>
      <w:rFonts w:ascii="Times New Roman" w:hAnsi="Times New Roman" w:eastAsia="宋体" w:cs="Times New Roman"/>
      <w:kern w:val="2"/>
      <w:sz w:val="21"/>
      <w:szCs w:val="24"/>
    </w:rPr>
  </w:style>
  <w:style w:type="paragraph" w:customStyle="1" w:styleId="97">
    <w:name w:val="表文字"/>
    <w:link w:val="98"/>
    <w:qFormat/>
    <w:uiPriority w:val="0"/>
    <w:pPr>
      <w:spacing w:line="300" w:lineRule="exact"/>
    </w:pPr>
    <w:rPr>
      <w:rFonts w:ascii="Times New Roman" w:hAnsi="Times New Roman" w:eastAsia="宋体" w:cs="Times New Roman"/>
      <w:sz w:val="21"/>
      <w:szCs w:val="21"/>
      <w:lang w:val="en-US" w:eastAsia="zh-CN" w:bidi="ar-SA"/>
    </w:rPr>
  </w:style>
  <w:style w:type="character" w:customStyle="1" w:styleId="98">
    <w:name w:val="表文字 Char1"/>
    <w:link w:val="97"/>
    <w:qFormat/>
    <w:uiPriority w:val="0"/>
    <w:rPr>
      <w:rFonts w:ascii="Times New Roman" w:hAnsi="Times New Roman" w:eastAsia="宋体" w:cs="Times New Roman"/>
      <w:sz w:val="21"/>
      <w:szCs w:val="21"/>
    </w:rPr>
  </w:style>
  <w:style w:type="paragraph" w:customStyle="1" w:styleId="99">
    <w:name w:val="正文样式"/>
    <w:basedOn w:val="1"/>
    <w:link w:val="100"/>
    <w:qFormat/>
    <w:uiPriority w:val="0"/>
    <w:pPr>
      <w:ind w:firstLine="480"/>
    </w:pPr>
    <w:rPr>
      <w:rFonts w:ascii="宋体" w:hAnsi="宋体" w:cs="Times New Roman"/>
      <w:szCs w:val="24"/>
    </w:rPr>
  </w:style>
  <w:style w:type="character" w:customStyle="1" w:styleId="100">
    <w:name w:val="正文样式 Char"/>
    <w:link w:val="99"/>
    <w:qFormat/>
    <w:uiPriority w:val="0"/>
    <w:rPr>
      <w:rFonts w:ascii="宋体" w:hAnsi="宋体" w:eastAsia="宋体" w:cs="Times New Roman"/>
      <w:kern w:val="2"/>
      <w:sz w:val="24"/>
      <w:szCs w:val="24"/>
    </w:rPr>
  </w:style>
  <w:style w:type="character" w:customStyle="1" w:styleId="101">
    <w:name w:val="标题 5 字符"/>
    <w:basedOn w:val="29"/>
    <w:link w:val="7"/>
    <w:semiHidden/>
    <w:qFormat/>
    <w:uiPriority w:val="9"/>
    <w:rPr>
      <w:rFonts w:ascii="Times New Roman" w:hAnsi="Times New Roman" w:eastAsia="宋体" w:cs="Times New Roman"/>
      <w:b/>
      <w:bCs/>
      <w:kern w:val="2"/>
      <w:sz w:val="28"/>
      <w:szCs w:val="28"/>
    </w:rPr>
  </w:style>
  <w:style w:type="paragraph" w:customStyle="1" w:styleId="102">
    <w:name w:val="Char3"/>
    <w:basedOn w:val="1"/>
    <w:next w:val="1"/>
    <w:qFormat/>
    <w:uiPriority w:val="0"/>
    <w:rPr>
      <w:rFonts w:ascii="宋体" w:hAnsi="宋体" w:cs="宋体"/>
      <w:szCs w:val="24"/>
    </w:rPr>
  </w:style>
  <w:style w:type="paragraph" w:customStyle="1" w:styleId="103">
    <w:name w:val="Char Char Char1 Char Char Char Char"/>
    <w:basedOn w:val="1"/>
    <w:qFormat/>
    <w:uiPriority w:val="0"/>
    <w:rPr>
      <w:rFonts w:cs="Times New Roman"/>
      <w:sz w:val="21"/>
      <w:szCs w:val="24"/>
    </w:rPr>
  </w:style>
  <w:style w:type="character" w:customStyle="1" w:styleId="104">
    <w:name w:val="正文1 Char"/>
    <w:basedOn w:val="29"/>
    <w:link w:val="105"/>
    <w:qFormat/>
    <w:uiPriority w:val="0"/>
    <w:rPr>
      <w:rFonts w:eastAsia="宋体"/>
      <w:b/>
      <w:color w:val="000000"/>
      <w:kern w:val="2"/>
      <w:sz w:val="24"/>
    </w:rPr>
  </w:style>
  <w:style w:type="paragraph" w:customStyle="1" w:styleId="105">
    <w:name w:val="正文1"/>
    <w:basedOn w:val="1"/>
    <w:link w:val="104"/>
    <w:qFormat/>
    <w:uiPriority w:val="0"/>
    <w:pPr>
      <w:spacing w:line="460" w:lineRule="exact"/>
    </w:pPr>
    <w:rPr>
      <w:rFonts w:asciiTheme="minorHAnsi" w:hAnsiTheme="minorHAnsi"/>
      <w:b/>
      <w:color w:val="000000"/>
      <w:szCs w:val="20"/>
    </w:rPr>
  </w:style>
  <w:style w:type="paragraph" w:customStyle="1" w:styleId="106">
    <w:name w:val="普通(网站)1"/>
    <w:basedOn w:val="1"/>
    <w:qFormat/>
    <w:uiPriority w:val="0"/>
    <w:pPr>
      <w:widowControl/>
      <w:spacing w:before="100" w:beforeAutospacing="1" w:after="100" w:afterAutospacing="1" w:line="240" w:lineRule="auto"/>
      <w:ind w:firstLine="0" w:firstLineChars="0"/>
      <w:jc w:val="left"/>
    </w:pPr>
    <w:rPr>
      <w:rFonts w:hint="eastAsia" w:ascii="宋体" w:hAnsi="宋体" w:cs="Times New Roman"/>
      <w:szCs w:val="20"/>
    </w:rPr>
  </w:style>
  <w:style w:type="paragraph" w:customStyle="1" w:styleId="107">
    <w:name w:val="00标题2"/>
    <w:basedOn w:val="1"/>
    <w:qFormat/>
    <w:uiPriority w:val="0"/>
    <w:pPr>
      <w:spacing w:line="480" w:lineRule="exact"/>
      <w:ind w:firstLine="0" w:firstLineChars="0"/>
      <w:jc w:val="left"/>
    </w:pPr>
    <w:rPr>
      <w:rFonts w:eastAsia="黑体" w:cs="Times New Roman"/>
      <w:szCs w:val="22"/>
    </w:rPr>
  </w:style>
  <w:style w:type="paragraph" w:customStyle="1" w:styleId="108">
    <w:name w:val="5"/>
    <w:basedOn w:val="1"/>
    <w:next w:val="8"/>
    <w:qFormat/>
    <w:uiPriority w:val="0"/>
    <w:pPr>
      <w:spacing w:line="240" w:lineRule="auto"/>
      <w:ind w:firstLine="420" w:firstLineChars="0"/>
    </w:pPr>
    <w:rPr>
      <w:rFonts w:cs="Times New Roman"/>
      <w:sz w:val="28"/>
      <w:szCs w:val="20"/>
    </w:rPr>
  </w:style>
  <w:style w:type="character" w:customStyle="1" w:styleId="109">
    <w:name w:val="新表格格式 字符"/>
    <w:link w:val="110"/>
    <w:qFormat/>
    <w:uiPriority w:val="0"/>
    <w:rPr>
      <w:color w:val="000000"/>
      <w:kern w:val="2"/>
      <w:sz w:val="21"/>
      <w:szCs w:val="21"/>
    </w:rPr>
  </w:style>
  <w:style w:type="paragraph" w:customStyle="1" w:styleId="110">
    <w:name w:val="新表格格式"/>
    <w:basedOn w:val="26"/>
    <w:link w:val="109"/>
    <w:qFormat/>
    <w:uiPriority w:val="0"/>
    <w:pPr>
      <w:adjustRightInd w:val="0"/>
      <w:snapToGrid w:val="0"/>
      <w:spacing w:after="0" w:line="320" w:lineRule="exact"/>
      <w:ind w:firstLine="0" w:firstLineChars="0"/>
      <w:jc w:val="center"/>
    </w:pPr>
    <w:rPr>
      <w:rFonts w:asciiTheme="minorHAnsi" w:hAnsiTheme="minorHAnsi" w:eastAsiaTheme="minorEastAsia"/>
      <w:color w:val="000000"/>
      <w:sz w:val="21"/>
    </w:rPr>
  </w:style>
  <w:style w:type="character" w:customStyle="1" w:styleId="111">
    <w:name w:val="正文文本 字符"/>
    <w:basedOn w:val="29"/>
    <w:link w:val="12"/>
    <w:semiHidden/>
    <w:qFormat/>
    <w:uiPriority w:val="99"/>
    <w:rPr>
      <w:rFonts w:ascii="Times New Roman" w:hAnsi="Times New Roman" w:eastAsia="宋体"/>
      <w:kern w:val="2"/>
      <w:sz w:val="24"/>
      <w:szCs w:val="21"/>
    </w:rPr>
  </w:style>
  <w:style w:type="character" w:customStyle="1" w:styleId="112">
    <w:name w:val="正文文本首行缩进 字符"/>
    <w:basedOn w:val="111"/>
    <w:link w:val="26"/>
    <w:semiHidden/>
    <w:qFormat/>
    <w:uiPriority w:val="99"/>
    <w:rPr>
      <w:rFonts w:ascii="Times New Roman" w:hAnsi="Times New Roman" w:eastAsia="宋体"/>
      <w:kern w:val="2"/>
      <w:sz w:val="24"/>
      <w:szCs w:val="21"/>
    </w:rPr>
  </w:style>
  <w:style w:type="character" w:customStyle="1" w:styleId="113">
    <w:name w:val="正文文本136 字符"/>
    <w:link w:val="114"/>
    <w:qFormat/>
    <w:uiPriority w:val="0"/>
    <w:rPr>
      <w:color w:val="000000"/>
      <w:spacing w:val="4"/>
      <w:kern w:val="2"/>
      <w:sz w:val="24"/>
      <w:szCs w:val="24"/>
    </w:rPr>
  </w:style>
  <w:style w:type="paragraph" w:customStyle="1" w:styleId="114">
    <w:name w:val="正文文本136"/>
    <w:basedOn w:val="12"/>
    <w:link w:val="113"/>
    <w:qFormat/>
    <w:uiPriority w:val="0"/>
    <w:pPr>
      <w:spacing w:after="0" w:line="480" w:lineRule="exact"/>
      <w:ind w:firstLine="496"/>
    </w:pPr>
    <w:rPr>
      <w:rFonts w:asciiTheme="minorHAnsi" w:hAnsiTheme="minorHAnsi" w:eastAsiaTheme="minorEastAsia"/>
      <w:color w:val="000000"/>
      <w:spacing w:val="4"/>
      <w:szCs w:val="24"/>
    </w:rPr>
  </w:style>
  <w:style w:type="paragraph" w:customStyle="1" w:styleId="115">
    <w:name w:val="样式 首行缩进001"/>
    <w:basedOn w:val="1"/>
    <w:qFormat/>
    <w:uiPriority w:val="0"/>
    <w:pPr>
      <w:spacing w:line="560" w:lineRule="exact"/>
      <w:ind w:firstLine="480"/>
    </w:pPr>
    <w:rPr>
      <w:rFonts w:cs="宋体"/>
      <w:szCs w:val="24"/>
    </w:rPr>
  </w:style>
  <w:style w:type="paragraph" w:customStyle="1" w:styleId="116">
    <w:name w:val="样式1"/>
    <w:basedOn w:val="1"/>
    <w:link w:val="117"/>
    <w:qFormat/>
    <w:uiPriority w:val="0"/>
    <w:pPr>
      <w:spacing w:before="100" w:beforeAutospacing="1" w:after="100" w:afterAutospacing="1"/>
      <w:ind w:firstLine="0" w:firstLineChars="0"/>
      <w:jc w:val="center"/>
    </w:pPr>
    <w:rPr>
      <w:rFonts w:ascii="宋体" w:hAnsi="宋体" w:cs="Times New Roman"/>
      <w:szCs w:val="24"/>
    </w:rPr>
  </w:style>
  <w:style w:type="character" w:customStyle="1" w:styleId="117">
    <w:name w:val="样式1 Char Char"/>
    <w:basedOn w:val="29"/>
    <w:link w:val="116"/>
    <w:qFormat/>
    <w:uiPriority w:val="0"/>
    <w:rPr>
      <w:rFonts w:ascii="宋体" w:hAnsi="宋体" w:eastAsia="宋体" w:cs="Times New Roman"/>
      <w:kern w:val="2"/>
      <w:sz w:val="24"/>
      <w:szCs w:val="24"/>
    </w:rPr>
  </w:style>
  <w:style w:type="paragraph" w:customStyle="1" w:styleId="118">
    <w:name w:val="表格文字-五号"/>
    <w:basedOn w:val="1"/>
    <w:next w:val="1"/>
    <w:link w:val="119"/>
    <w:qFormat/>
    <w:uiPriority w:val="0"/>
    <w:pPr>
      <w:widowControl/>
      <w:tabs>
        <w:tab w:val="left" w:pos="2340"/>
      </w:tabs>
      <w:adjustRightInd w:val="0"/>
      <w:snapToGrid w:val="0"/>
      <w:spacing w:line="240" w:lineRule="auto"/>
      <w:ind w:firstLine="0" w:firstLineChars="0"/>
      <w:jc w:val="center"/>
    </w:pPr>
    <w:rPr>
      <w:rFonts w:eastAsia="华文仿宋" w:cs="Times New Roman"/>
      <w:color w:val="000000"/>
      <w:kern w:val="0"/>
      <w:sz w:val="21"/>
      <w:szCs w:val="24"/>
    </w:rPr>
  </w:style>
  <w:style w:type="character" w:customStyle="1" w:styleId="119">
    <w:name w:val="表格文字-五号 Char Char"/>
    <w:link w:val="118"/>
    <w:qFormat/>
    <w:uiPriority w:val="0"/>
    <w:rPr>
      <w:rFonts w:ascii="Times New Roman" w:hAnsi="Times New Roman" w:eastAsia="华文仿宋" w:cs="Times New Roman"/>
      <w:color w:val="000000"/>
      <w:sz w:val="21"/>
      <w:szCs w:val="24"/>
    </w:rPr>
  </w:style>
  <w:style w:type="character" w:customStyle="1" w:styleId="120">
    <w:name w:val="正文内容 Char"/>
    <w:link w:val="121"/>
    <w:qFormat/>
    <w:uiPriority w:val="0"/>
    <w:rPr>
      <w:rFonts w:ascii="仿宋_GB2312" w:eastAsia="仿宋_GB2312"/>
      <w:b/>
      <w:kern w:val="2"/>
      <w:sz w:val="28"/>
      <w:szCs w:val="28"/>
    </w:rPr>
  </w:style>
  <w:style w:type="paragraph" w:customStyle="1" w:styleId="121">
    <w:name w:val="正文内容"/>
    <w:link w:val="120"/>
    <w:qFormat/>
    <w:uiPriority w:val="0"/>
    <w:pPr>
      <w:spacing w:line="460" w:lineRule="exact"/>
      <w:ind w:firstLine="562"/>
    </w:pPr>
    <w:rPr>
      <w:rFonts w:ascii="仿宋_GB2312" w:eastAsia="仿宋_GB2312" w:hAnsiTheme="minorHAnsi" w:cstheme="minorBidi"/>
      <w:b/>
      <w:kern w:val="2"/>
      <w:sz w:val="28"/>
      <w:szCs w:val="28"/>
      <w:lang w:val="en-US" w:eastAsia="zh-CN" w:bidi="ar-SA"/>
    </w:rPr>
  </w:style>
  <w:style w:type="paragraph" w:customStyle="1" w:styleId="122">
    <w:name w:val="表头"/>
    <w:basedOn w:val="1"/>
    <w:next w:val="1"/>
    <w:link w:val="123"/>
    <w:qFormat/>
    <w:uiPriority w:val="99"/>
    <w:pPr>
      <w:widowControl/>
      <w:tabs>
        <w:tab w:val="left" w:pos="7380"/>
      </w:tabs>
      <w:adjustRightInd w:val="0"/>
      <w:snapToGrid w:val="0"/>
      <w:spacing w:before="50" w:beforeLines="50" w:line="240" w:lineRule="auto"/>
      <w:ind w:firstLine="0" w:firstLineChars="0"/>
      <w:jc w:val="center"/>
    </w:pPr>
    <w:rPr>
      <w:rFonts w:ascii="Times New Roman" w:hAnsi="Times New Roman" w:eastAsia="宋体" w:cs="Times New Roman"/>
      <w:b/>
      <w:bCs/>
      <w:color w:val="000000"/>
      <w:kern w:val="0"/>
      <w:szCs w:val="24"/>
    </w:rPr>
  </w:style>
  <w:style w:type="character" w:customStyle="1" w:styleId="123">
    <w:name w:val="表头 Char"/>
    <w:link w:val="122"/>
    <w:qFormat/>
    <w:uiPriority w:val="99"/>
    <w:rPr>
      <w:rFonts w:ascii="Times New Roman" w:hAnsi="Times New Roman" w:eastAsia="宋体" w:cs="Times New Roman"/>
      <w:b/>
      <w:bCs/>
      <w:color w:val="000000"/>
      <w:sz w:val="24"/>
      <w:szCs w:val="24"/>
    </w:rPr>
  </w:style>
  <w:style w:type="paragraph" w:customStyle="1" w:styleId="124">
    <w:name w:val="正文01"/>
    <w:basedOn w:val="1"/>
    <w:link w:val="125"/>
    <w:qFormat/>
    <w:uiPriority w:val="0"/>
    <w:pPr>
      <w:spacing w:before="60" w:line="460" w:lineRule="exact"/>
    </w:pPr>
    <w:rPr>
      <w:rFonts w:ascii="Arial" w:hAnsi="Arial" w:cs="Times New Roman"/>
      <w:kern w:val="0"/>
      <w:szCs w:val="24"/>
    </w:rPr>
  </w:style>
  <w:style w:type="character" w:customStyle="1" w:styleId="125">
    <w:name w:val="正文01 Char"/>
    <w:link w:val="124"/>
    <w:qFormat/>
    <w:uiPriority w:val="0"/>
    <w:rPr>
      <w:rFonts w:ascii="Arial" w:hAnsi="Arial" w:eastAsia="宋体" w:cs="Times New Roman"/>
      <w:sz w:val="24"/>
      <w:szCs w:val="24"/>
    </w:rPr>
  </w:style>
  <w:style w:type="paragraph" w:customStyle="1" w:styleId="126">
    <w:name w:val="无间隔1"/>
    <w:qFormat/>
    <w:uiPriority w:val="0"/>
    <w:pPr>
      <w:spacing w:line="360" w:lineRule="auto"/>
      <w:ind w:left="531" w:leftChars="100" w:right="100" w:rightChars="100" w:hanging="431"/>
      <w:jc w:val="both"/>
    </w:pPr>
    <w:rPr>
      <w:rFonts w:ascii="Times New Roman" w:hAnsi="Times New Roman" w:eastAsia="仿宋_GB2312" w:cs="Times New Roman"/>
      <w:sz w:val="24"/>
      <w:szCs w:val="22"/>
      <w:lang w:val="en-US" w:eastAsia="zh-CN" w:bidi="ar-SA"/>
    </w:rPr>
  </w:style>
  <w:style w:type="paragraph" w:customStyle="1" w:styleId="127">
    <w:name w:val="图表标题"/>
    <w:next w:val="1"/>
    <w:qFormat/>
    <w:uiPriority w:val="0"/>
    <w:pPr>
      <w:adjustRightInd w:val="0"/>
      <w:snapToGrid w:val="0"/>
      <w:spacing w:line="360" w:lineRule="auto"/>
      <w:jc w:val="center"/>
    </w:pPr>
    <w:rPr>
      <w:rFonts w:ascii="Times New Roman" w:hAnsi="Times New Roman" w:eastAsia="宋体" w:cs="宋体"/>
      <w:b/>
      <w:kern w:val="2"/>
      <w:sz w:val="24"/>
      <w:szCs w:val="28"/>
      <w:lang w:val="en-US" w:eastAsia="zh-CN" w:bidi="ar-SA"/>
    </w:rPr>
  </w:style>
  <w:style w:type="paragraph" w:customStyle="1" w:styleId="128">
    <w:name w:val="标准正文"/>
    <w:basedOn w:val="1"/>
    <w:qFormat/>
    <w:uiPriority w:val="0"/>
    <w:pPr>
      <w:widowControl w:val="0"/>
      <w:adjustRightInd/>
      <w:snapToGrid/>
      <w:spacing w:after="0" w:line="360" w:lineRule="auto"/>
      <w:ind w:firstLine="480" w:firstLineChars="200"/>
    </w:pPr>
    <w:rPr>
      <w:rFonts w:ascii="Times New Roman" w:hAnsi="Times New Roman" w:cs="Times New Roman"/>
      <w:kern w:val="2"/>
      <w:sz w:val="24"/>
    </w:rPr>
  </w:style>
  <w:style w:type="paragraph" w:customStyle="1" w:styleId="129">
    <w:name w:val="表格头"/>
    <w:basedOn w:val="130"/>
    <w:qFormat/>
    <w:uiPriority w:val="0"/>
    <w:pPr>
      <w:adjustRightInd w:val="0"/>
      <w:spacing w:before="50" w:beforeLines="50" w:line="240" w:lineRule="auto"/>
      <w:outlineLvl w:val="9"/>
    </w:pPr>
    <w:rPr>
      <w:rFonts w:ascii="Times New Roman" w:hAnsi="Times New Roman" w:eastAsia="宋体"/>
      <w:b/>
      <w:bCs/>
      <w:snapToGrid w:val="0"/>
      <w:kern w:val="0"/>
      <w:szCs w:val="24"/>
    </w:rPr>
  </w:style>
  <w:style w:type="paragraph" w:customStyle="1" w:styleId="130">
    <w:name w:val="图"/>
    <w:basedOn w:val="131"/>
    <w:qFormat/>
    <w:uiPriority w:val="0"/>
    <w:pPr>
      <w:adjustRightInd w:val="0"/>
      <w:spacing w:line="240" w:lineRule="auto"/>
      <w:ind w:firstLine="0"/>
      <w:jc w:val="center"/>
      <w:outlineLvl w:val="9"/>
    </w:pPr>
    <w:rPr>
      <w:rFonts w:ascii="Times New Roman" w:hAnsi="Times New Roman"/>
      <w:spacing w:val="0"/>
      <w:szCs w:val="21"/>
    </w:rPr>
  </w:style>
  <w:style w:type="paragraph" w:customStyle="1" w:styleId="131">
    <w:name w:val="1文章"/>
    <w:basedOn w:val="1"/>
    <w:qFormat/>
    <w:uiPriority w:val="0"/>
    <w:pPr>
      <w:snapToGrid w:val="0"/>
      <w:spacing w:line="420" w:lineRule="auto"/>
      <w:ind w:firstLine="454"/>
      <w:outlineLvl w:val="4"/>
    </w:pPr>
    <w:rPr>
      <w:spacing w:val="4"/>
    </w:rPr>
  </w:style>
  <w:style w:type="paragraph" w:customStyle="1" w:styleId="132">
    <w:name w:val="表格中文字"/>
    <w:basedOn w:val="1"/>
    <w:uiPriority w:val="0"/>
    <w:pPr>
      <w:adjustRightInd w:val="0"/>
      <w:snapToGrid w:val="0"/>
      <w:spacing w:line="360" w:lineRule="exact"/>
      <w:jc w:val="center"/>
    </w:pPr>
    <w:rPr>
      <w:rFonts w:ascii="Times New Roman" w:hAnsi="Times New Roman"/>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A89DE9-495D-4EFC-A01B-B2B9A552D6B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7862</Words>
  <Characters>44816</Characters>
  <Lines>373</Lines>
  <Paragraphs>105</Paragraphs>
  <TotalTime>1</TotalTime>
  <ScaleCrop>false</ScaleCrop>
  <LinksUpToDate>false</LinksUpToDate>
  <CharactersWithSpaces>52573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2020-05-18T00:56:00Z</dcterms:created>
  <dc:creator>微软用户</dc:creator>
  <cp:lastModifiedBy>介休吴彦祖</cp:lastModifiedBy>
  <cp:lastPrinted>2019-11-26T08:31:00Z</cp:lastPrinted>
  <dcterms:modified xsi:type="dcterms:W3CDTF">2020-12-25T02:33:26Z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