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1E" w:rsidRDefault="006A611E" w:rsidP="006A611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群众信访举报边督边改公开情况一览表</w:t>
      </w:r>
    </w:p>
    <w:p w:rsidR="006A611E" w:rsidRDefault="006A611E" w:rsidP="006A611E">
      <w:pPr>
        <w:jc w:val="righ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（第十八批  2018年11月29日）</w:t>
      </w:r>
    </w:p>
    <w:tbl>
      <w:tblPr>
        <w:tblStyle w:val="a5"/>
        <w:tblW w:w="13800" w:type="dxa"/>
        <w:tblInd w:w="0" w:type="dxa"/>
        <w:tblBorders>
          <w:top w:val="single" w:sz="8" w:space="0" w:color="auto"/>
          <w:left w:val="single" w:sz="8" w:space="0" w:color="auto"/>
          <w:bottom w:val="single" w:sz="8" w:space="0" w:color="auto"/>
          <w:right w:val="single" w:sz="8" w:space="0" w:color="auto"/>
        </w:tblBorders>
        <w:tblLayout w:type="fixed"/>
        <w:tblLook w:val="04A0"/>
      </w:tblPr>
      <w:tblGrid>
        <w:gridCol w:w="572"/>
        <w:gridCol w:w="1296"/>
        <w:gridCol w:w="1467"/>
        <w:gridCol w:w="819"/>
        <w:gridCol w:w="683"/>
        <w:gridCol w:w="5100"/>
        <w:gridCol w:w="750"/>
        <w:gridCol w:w="2434"/>
        <w:gridCol w:w="679"/>
      </w:tblGrid>
      <w:tr w:rsidR="006A611E" w:rsidTr="006A611E">
        <w:trPr>
          <w:trHeight w:val="710"/>
        </w:trPr>
        <w:tc>
          <w:tcPr>
            <w:tcW w:w="572" w:type="dxa"/>
            <w:tcBorders>
              <w:top w:val="single" w:sz="8" w:space="0" w:color="auto"/>
              <w:left w:val="single" w:sz="8" w:space="0" w:color="auto"/>
              <w:bottom w:val="single" w:sz="4" w:space="0" w:color="auto"/>
              <w:right w:val="single" w:sz="4" w:space="0" w:color="auto"/>
            </w:tcBorders>
            <w:vAlign w:val="center"/>
            <w:hideMark/>
          </w:tcPr>
          <w:p w:rsidR="006A611E" w:rsidRDefault="006A611E">
            <w:pPr>
              <w:widowControl/>
              <w:jc w:val="center"/>
              <w:textAlignment w:val="center"/>
              <w:rPr>
                <w:rFonts w:ascii="黑体" w:eastAsia="黑体" w:hAnsi="黑体" w:cs="黑体"/>
                <w:bCs/>
                <w:color w:val="000000"/>
                <w:sz w:val="22"/>
                <w:szCs w:val="22"/>
                <w:lang/>
              </w:rPr>
            </w:pPr>
            <w:r>
              <w:rPr>
                <w:rFonts w:ascii="黑体" w:eastAsia="黑体" w:hAnsi="黑体" w:cs="黑体" w:hint="eastAsia"/>
                <w:bCs/>
                <w:color w:val="000000"/>
                <w:sz w:val="22"/>
                <w:szCs w:val="22"/>
                <w:lang/>
              </w:rPr>
              <w:t>序号</w:t>
            </w:r>
          </w:p>
        </w:tc>
        <w:tc>
          <w:tcPr>
            <w:tcW w:w="1296" w:type="dxa"/>
            <w:tcBorders>
              <w:top w:val="single" w:sz="8" w:space="0" w:color="auto"/>
              <w:left w:val="single" w:sz="4" w:space="0" w:color="auto"/>
              <w:bottom w:val="single" w:sz="4" w:space="0" w:color="auto"/>
              <w:right w:val="single" w:sz="4" w:space="0" w:color="auto"/>
            </w:tcBorders>
            <w:vAlign w:val="center"/>
            <w:hideMark/>
          </w:tcPr>
          <w:p w:rsidR="006A611E" w:rsidRDefault="006A611E">
            <w:pPr>
              <w:widowControl/>
              <w:jc w:val="center"/>
              <w:textAlignment w:val="center"/>
              <w:rPr>
                <w:rFonts w:ascii="黑体" w:eastAsia="黑体" w:hAnsi="黑体" w:cs="黑体"/>
                <w:bCs/>
                <w:color w:val="000000"/>
                <w:sz w:val="22"/>
                <w:szCs w:val="22"/>
                <w:lang/>
              </w:rPr>
            </w:pPr>
            <w:r>
              <w:rPr>
                <w:rFonts w:ascii="黑体" w:eastAsia="黑体" w:hAnsi="黑体" w:cs="黑体" w:hint="eastAsia"/>
                <w:bCs/>
                <w:color w:val="000000"/>
                <w:sz w:val="22"/>
                <w:szCs w:val="22"/>
                <w:lang/>
              </w:rPr>
              <w:t>受理编号</w:t>
            </w:r>
          </w:p>
        </w:tc>
        <w:tc>
          <w:tcPr>
            <w:tcW w:w="1467" w:type="dxa"/>
            <w:tcBorders>
              <w:top w:val="single" w:sz="8" w:space="0" w:color="auto"/>
              <w:left w:val="single" w:sz="4" w:space="0" w:color="auto"/>
              <w:bottom w:val="single" w:sz="4" w:space="0" w:color="auto"/>
              <w:right w:val="single" w:sz="4" w:space="0" w:color="auto"/>
            </w:tcBorders>
            <w:vAlign w:val="center"/>
            <w:hideMark/>
          </w:tcPr>
          <w:p w:rsidR="006A611E" w:rsidRDefault="006A611E">
            <w:pPr>
              <w:widowControl/>
              <w:jc w:val="center"/>
              <w:textAlignment w:val="center"/>
              <w:rPr>
                <w:rFonts w:ascii="黑体" w:eastAsia="黑体" w:hAnsi="黑体" w:cs="黑体"/>
                <w:bCs/>
                <w:color w:val="000000"/>
                <w:sz w:val="22"/>
                <w:szCs w:val="22"/>
                <w:lang/>
              </w:rPr>
            </w:pPr>
            <w:r>
              <w:rPr>
                <w:rFonts w:ascii="黑体" w:eastAsia="黑体" w:hAnsi="黑体" w:cs="黑体" w:hint="eastAsia"/>
                <w:bCs/>
                <w:color w:val="000000"/>
                <w:sz w:val="22"/>
                <w:szCs w:val="22"/>
                <w:lang/>
              </w:rPr>
              <w:t>交办问题</w:t>
            </w:r>
          </w:p>
          <w:p w:rsidR="006A611E" w:rsidRDefault="006A611E">
            <w:pPr>
              <w:widowControl/>
              <w:jc w:val="center"/>
              <w:textAlignment w:val="center"/>
              <w:rPr>
                <w:rFonts w:ascii="黑体" w:eastAsia="黑体" w:hAnsi="黑体" w:cs="黑体"/>
                <w:bCs/>
                <w:color w:val="000000"/>
                <w:sz w:val="22"/>
                <w:szCs w:val="22"/>
                <w:lang/>
              </w:rPr>
            </w:pPr>
            <w:r>
              <w:rPr>
                <w:rFonts w:ascii="黑体" w:eastAsia="黑体" w:hAnsi="黑体" w:cs="黑体" w:hint="eastAsia"/>
                <w:bCs/>
                <w:color w:val="000000"/>
                <w:sz w:val="22"/>
                <w:szCs w:val="22"/>
                <w:lang/>
              </w:rPr>
              <w:t>基本情况</w:t>
            </w:r>
          </w:p>
        </w:tc>
        <w:tc>
          <w:tcPr>
            <w:tcW w:w="819" w:type="dxa"/>
            <w:tcBorders>
              <w:top w:val="single" w:sz="8" w:space="0" w:color="auto"/>
              <w:left w:val="single" w:sz="4" w:space="0" w:color="auto"/>
              <w:bottom w:val="single" w:sz="4" w:space="0" w:color="auto"/>
              <w:right w:val="single" w:sz="4" w:space="0" w:color="auto"/>
            </w:tcBorders>
            <w:vAlign w:val="center"/>
            <w:hideMark/>
          </w:tcPr>
          <w:p w:rsidR="006A611E" w:rsidRDefault="006A611E">
            <w:pPr>
              <w:widowControl/>
              <w:jc w:val="center"/>
              <w:textAlignment w:val="center"/>
              <w:rPr>
                <w:rFonts w:ascii="黑体" w:eastAsia="黑体" w:hAnsi="黑体" w:cs="黑体"/>
                <w:bCs/>
                <w:kern w:val="2"/>
                <w:sz w:val="44"/>
                <w:szCs w:val="44"/>
              </w:rPr>
            </w:pPr>
            <w:r>
              <w:rPr>
                <w:rFonts w:ascii="黑体" w:eastAsia="黑体" w:hAnsi="黑体" w:cs="黑体" w:hint="eastAsia"/>
                <w:bCs/>
                <w:color w:val="000000"/>
                <w:sz w:val="22"/>
                <w:szCs w:val="22"/>
                <w:lang/>
              </w:rPr>
              <w:t>行政区域</w:t>
            </w:r>
          </w:p>
        </w:tc>
        <w:tc>
          <w:tcPr>
            <w:tcW w:w="683" w:type="dxa"/>
            <w:tcBorders>
              <w:top w:val="single" w:sz="8" w:space="0" w:color="auto"/>
              <w:left w:val="single" w:sz="4" w:space="0" w:color="auto"/>
              <w:bottom w:val="single" w:sz="4" w:space="0" w:color="auto"/>
              <w:right w:val="single" w:sz="4" w:space="0" w:color="auto"/>
            </w:tcBorders>
            <w:vAlign w:val="center"/>
            <w:hideMark/>
          </w:tcPr>
          <w:p w:rsidR="006A611E" w:rsidRDefault="006A611E">
            <w:pPr>
              <w:widowControl/>
              <w:jc w:val="center"/>
              <w:textAlignment w:val="center"/>
              <w:rPr>
                <w:rFonts w:ascii="黑体" w:eastAsia="黑体" w:hAnsi="黑体" w:cs="黑体"/>
                <w:bCs/>
                <w:kern w:val="2"/>
                <w:sz w:val="44"/>
                <w:szCs w:val="44"/>
              </w:rPr>
            </w:pPr>
            <w:r>
              <w:rPr>
                <w:rFonts w:ascii="黑体" w:eastAsia="黑体" w:hAnsi="黑体" w:cs="黑体" w:hint="eastAsia"/>
                <w:bCs/>
                <w:color w:val="000000"/>
                <w:sz w:val="22"/>
                <w:szCs w:val="22"/>
                <w:lang/>
              </w:rPr>
              <w:t>污染类型</w:t>
            </w:r>
          </w:p>
        </w:tc>
        <w:tc>
          <w:tcPr>
            <w:tcW w:w="5100" w:type="dxa"/>
            <w:tcBorders>
              <w:top w:val="single" w:sz="8" w:space="0" w:color="auto"/>
              <w:left w:val="single" w:sz="4" w:space="0" w:color="auto"/>
              <w:bottom w:val="single" w:sz="4" w:space="0" w:color="auto"/>
              <w:right w:val="single" w:sz="4" w:space="0" w:color="auto"/>
            </w:tcBorders>
            <w:vAlign w:val="center"/>
            <w:hideMark/>
          </w:tcPr>
          <w:p w:rsidR="006A611E" w:rsidRDefault="006A611E">
            <w:pPr>
              <w:widowControl/>
              <w:jc w:val="center"/>
              <w:textAlignment w:val="center"/>
              <w:rPr>
                <w:rFonts w:ascii="黑体" w:eastAsia="黑体" w:hAnsi="黑体" w:cs="黑体"/>
                <w:bCs/>
                <w:kern w:val="2"/>
                <w:sz w:val="44"/>
                <w:szCs w:val="44"/>
              </w:rPr>
            </w:pPr>
            <w:r>
              <w:rPr>
                <w:rFonts w:ascii="黑体" w:eastAsia="黑体" w:hAnsi="黑体" w:cs="黑体" w:hint="eastAsia"/>
                <w:bCs/>
                <w:color w:val="000000"/>
                <w:sz w:val="22"/>
                <w:szCs w:val="22"/>
                <w:lang/>
              </w:rPr>
              <w:t>调查核实情况</w:t>
            </w:r>
          </w:p>
        </w:tc>
        <w:tc>
          <w:tcPr>
            <w:tcW w:w="750" w:type="dxa"/>
            <w:tcBorders>
              <w:top w:val="single" w:sz="8" w:space="0" w:color="auto"/>
              <w:left w:val="single" w:sz="4" w:space="0" w:color="auto"/>
              <w:bottom w:val="single" w:sz="4" w:space="0" w:color="auto"/>
              <w:right w:val="single" w:sz="4" w:space="0" w:color="auto"/>
            </w:tcBorders>
            <w:vAlign w:val="center"/>
            <w:hideMark/>
          </w:tcPr>
          <w:p w:rsidR="006A611E" w:rsidRDefault="006A611E">
            <w:pPr>
              <w:widowControl/>
              <w:jc w:val="center"/>
              <w:textAlignment w:val="center"/>
              <w:rPr>
                <w:rFonts w:ascii="黑体" w:eastAsia="黑体" w:hAnsi="黑体" w:cs="黑体"/>
                <w:bCs/>
                <w:kern w:val="2"/>
                <w:sz w:val="44"/>
                <w:szCs w:val="44"/>
              </w:rPr>
            </w:pPr>
            <w:r>
              <w:rPr>
                <w:rFonts w:ascii="黑体" w:eastAsia="黑体" w:hAnsi="黑体" w:cs="黑体" w:hint="eastAsia"/>
                <w:bCs/>
                <w:color w:val="000000"/>
                <w:sz w:val="22"/>
                <w:szCs w:val="22"/>
                <w:lang/>
              </w:rPr>
              <w:t>是否属实</w:t>
            </w:r>
          </w:p>
        </w:tc>
        <w:tc>
          <w:tcPr>
            <w:tcW w:w="2434" w:type="dxa"/>
            <w:tcBorders>
              <w:top w:val="single" w:sz="8" w:space="0" w:color="auto"/>
              <w:left w:val="single" w:sz="4" w:space="0" w:color="auto"/>
              <w:bottom w:val="single" w:sz="4" w:space="0" w:color="auto"/>
              <w:right w:val="single" w:sz="4" w:space="0" w:color="auto"/>
            </w:tcBorders>
            <w:vAlign w:val="center"/>
            <w:hideMark/>
          </w:tcPr>
          <w:p w:rsidR="006A611E" w:rsidRDefault="006A611E">
            <w:pPr>
              <w:widowControl/>
              <w:jc w:val="center"/>
              <w:textAlignment w:val="center"/>
              <w:rPr>
                <w:rFonts w:ascii="黑体" w:eastAsia="黑体" w:hAnsi="黑体" w:cs="黑体"/>
                <w:bCs/>
                <w:kern w:val="2"/>
                <w:sz w:val="44"/>
                <w:szCs w:val="44"/>
              </w:rPr>
            </w:pPr>
            <w:r>
              <w:rPr>
                <w:rFonts w:ascii="黑体" w:eastAsia="黑体" w:hAnsi="黑体" w:cs="黑体" w:hint="eastAsia"/>
                <w:bCs/>
                <w:color w:val="000000"/>
                <w:sz w:val="22"/>
                <w:szCs w:val="22"/>
                <w:lang/>
              </w:rPr>
              <w:t>处理和整改情况</w:t>
            </w:r>
          </w:p>
        </w:tc>
        <w:tc>
          <w:tcPr>
            <w:tcW w:w="679" w:type="dxa"/>
            <w:tcBorders>
              <w:top w:val="single" w:sz="8" w:space="0" w:color="auto"/>
              <w:left w:val="single" w:sz="4" w:space="0" w:color="auto"/>
              <w:bottom w:val="single" w:sz="4" w:space="0" w:color="auto"/>
              <w:right w:val="single" w:sz="8" w:space="0" w:color="auto"/>
            </w:tcBorders>
            <w:vAlign w:val="center"/>
            <w:hideMark/>
          </w:tcPr>
          <w:p w:rsidR="006A611E" w:rsidRDefault="006A611E">
            <w:pPr>
              <w:widowControl/>
              <w:jc w:val="center"/>
              <w:textAlignment w:val="center"/>
              <w:rPr>
                <w:rFonts w:ascii="黑体" w:eastAsia="黑体" w:hAnsi="黑体" w:cs="黑体"/>
                <w:bCs/>
                <w:kern w:val="2"/>
                <w:sz w:val="44"/>
                <w:szCs w:val="44"/>
              </w:rPr>
            </w:pPr>
            <w:r>
              <w:rPr>
                <w:rFonts w:ascii="黑体" w:eastAsia="黑体" w:hAnsi="黑体" w:cs="黑体" w:hint="eastAsia"/>
                <w:bCs/>
                <w:color w:val="000000"/>
                <w:sz w:val="22"/>
                <w:szCs w:val="22"/>
                <w:lang/>
              </w:rPr>
              <w:t>问责情况</w:t>
            </w:r>
          </w:p>
        </w:tc>
      </w:tr>
      <w:tr w:rsidR="006A611E" w:rsidTr="006A611E">
        <w:trPr>
          <w:trHeight w:val="6090"/>
        </w:trPr>
        <w:tc>
          <w:tcPr>
            <w:tcW w:w="572" w:type="dxa"/>
            <w:tcBorders>
              <w:top w:val="single" w:sz="4" w:space="0" w:color="auto"/>
              <w:left w:val="single" w:sz="8" w:space="0" w:color="auto"/>
              <w:bottom w:val="single" w:sz="8" w:space="0" w:color="auto"/>
              <w:right w:val="single" w:sz="4" w:space="0" w:color="auto"/>
            </w:tcBorders>
            <w:vAlign w:val="center"/>
            <w:hideMark/>
          </w:tcPr>
          <w:p w:rsidR="006A611E" w:rsidRDefault="006A611E">
            <w:pPr>
              <w:jc w:val="center"/>
              <w:rPr>
                <w:rFonts w:ascii="仿宋_GB2312" w:eastAsia="仿宋_GB2312" w:hAnsi="仿宋_GB2312" w:cs="仿宋_GB2312"/>
                <w:bCs/>
                <w:kern w:val="2"/>
                <w:sz w:val="21"/>
                <w:szCs w:val="21"/>
              </w:rPr>
            </w:pPr>
            <w:r>
              <w:rPr>
                <w:rFonts w:ascii="仿宋_GB2312" w:eastAsia="仿宋_GB2312" w:hAnsi="仿宋_GB2312" w:cs="仿宋_GB2312" w:hint="eastAsia"/>
                <w:bCs/>
                <w:szCs w:val="21"/>
              </w:rPr>
              <w:t>1</w:t>
            </w:r>
          </w:p>
        </w:tc>
        <w:tc>
          <w:tcPr>
            <w:tcW w:w="1296" w:type="dxa"/>
            <w:tcBorders>
              <w:top w:val="single" w:sz="4" w:space="0" w:color="auto"/>
              <w:left w:val="single" w:sz="4" w:space="0" w:color="auto"/>
              <w:bottom w:val="single" w:sz="8" w:space="0" w:color="auto"/>
              <w:right w:val="single" w:sz="4" w:space="0" w:color="auto"/>
            </w:tcBorders>
            <w:vAlign w:val="center"/>
            <w:hideMark/>
          </w:tcPr>
          <w:p w:rsidR="006A611E" w:rsidRDefault="006A611E">
            <w:pPr>
              <w:jc w:val="center"/>
              <w:rPr>
                <w:rFonts w:ascii="仿宋_GB2312" w:eastAsia="仿宋_GB2312" w:hAnsi="仿宋_GB2312" w:cs="仿宋_GB2312"/>
                <w:bCs/>
                <w:color w:val="000000" w:themeColor="text1"/>
                <w:kern w:val="2"/>
                <w:sz w:val="21"/>
                <w:szCs w:val="21"/>
              </w:rPr>
            </w:pPr>
            <w:r>
              <w:rPr>
                <w:rFonts w:ascii="仿宋_GB2312" w:eastAsia="仿宋_GB2312" w:hAnsi="仿宋_GB2312" w:cs="仿宋_GB2312" w:hint="eastAsia"/>
                <w:bCs/>
                <w:color w:val="000000" w:themeColor="text1"/>
                <w:szCs w:val="21"/>
              </w:rPr>
              <w:t>X140000201811240021</w:t>
            </w:r>
          </w:p>
        </w:tc>
        <w:tc>
          <w:tcPr>
            <w:tcW w:w="1467" w:type="dxa"/>
            <w:tcBorders>
              <w:top w:val="single" w:sz="4" w:space="0" w:color="auto"/>
              <w:left w:val="single" w:sz="4" w:space="0" w:color="auto"/>
              <w:bottom w:val="single" w:sz="8" w:space="0" w:color="auto"/>
              <w:right w:val="single" w:sz="4" w:space="0" w:color="auto"/>
            </w:tcBorders>
            <w:vAlign w:val="center"/>
            <w:hideMark/>
          </w:tcPr>
          <w:p w:rsidR="006A611E" w:rsidRDefault="006A611E">
            <w:pPr>
              <w:spacing w:line="280" w:lineRule="exact"/>
              <w:rPr>
                <w:rFonts w:ascii="仿宋_GB2312" w:eastAsia="仿宋_GB2312" w:hAnsi="仿宋_GB2312" w:cs="仿宋_GB2312"/>
                <w:bCs/>
                <w:color w:val="000000" w:themeColor="text1"/>
                <w:kern w:val="2"/>
                <w:sz w:val="21"/>
                <w:szCs w:val="21"/>
              </w:rPr>
            </w:pPr>
            <w:r>
              <w:rPr>
                <w:rFonts w:ascii="仿宋_GB2312" w:eastAsia="仿宋_GB2312" w:hAnsi="仿宋_GB2312" w:cs="仿宋_GB2312" w:hint="eastAsia"/>
                <w:bCs/>
                <w:szCs w:val="21"/>
              </w:rPr>
              <w:t>山西省朔州市平鲁区中煤平朔能源化工有限公司，长期将危险废物煤焦油未按规定存放，非法处置，卖给没有任何危险废物经营资质的人。</w:t>
            </w:r>
          </w:p>
        </w:tc>
        <w:tc>
          <w:tcPr>
            <w:tcW w:w="819" w:type="dxa"/>
            <w:tcBorders>
              <w:top w:val="single" w:sz="4" w:space="0" w:color="auto"/>
              <w:left w:val="single" w:sz="4" w:space="0" w:color="auto"/>
              <w:bottom w:val="single" w:sz="8" w:space="0" w:color="auto"/>
              <w:right w:val="single" w:sz="4" w:space="0" w:color="auto"/>
            </w:tcBorders>
            <w:vAlign w:val="center"/>
            <w:hideMark/>
          </w:tcPr>
          <w:p w:rsidR="006A611E" w:rsidRDefault="006A611E">
            <w:pPr>
              <w:jc w:val="center"/>
              <w:rPr>
                <w:rFonts w:ascii="仿宋_GB2312" w:eastAsia="仿宋_GB2312" w:hAnsi="仿宋_GB2312" w:cs="仿宋_GB2312"/>
                <w:bCs/>
                <w:color w:val="000000" w:themeColor="text1"/>
                <w:kern w:val="2"/>
                <w:sz w:val="21"/>
                <w:szCs w:val="21"/>
              </w:rPr>
            </w:pPr>
            <w:r>
              <w:rPr>
                <w:rFonts w:ascii="仿宋_GB2312" w:eastAsia="仿宋_GB2312" w:hAnsi="仿宋_GB2312" w:cs="仿宋_GB2312" w:hint="eastAsia"/>
                <w:bCs/>
                <w:color w:val="000000" w:themeColor="text1"/>
                <w:szCs w:val="21"/>
              </w:rPr>
              <w:t>朔州市平鲁区</w:t>
            </w:r>
          </w:p>
        </w:tc>
        <w:tc>
          <w:tcPr>
            <w:tcW w:w="683" w:type="dxa"/>
            <w:tcBorders>
              <w:top w:val="single" w:sz="4" w:space="0" w:color="auto"/>
              <w:left w:val="single" w:sz="4" w:space="0" w:color="auto"/>
              <w:bottom w:val="single" w:sz="8" w:space="0" w:color="auto"/>
              <w:right w:val="single" w:sz="4" w:space="0" w:color="auto"/>
            </w:tcBorders>
            <w:vAlign w:val="center"/>
            <w:hideMark/>
          </w:tcPr>
          <w:p w:rsidR="006A611E" w:rsidRDefault="006A611E">
            <w:pPr>
              <w:jc w:val="center"/>
              <w:rPr>
                <w:rFonts w:ascii="仿宋_GB2312" w:eastAsia="仿宋_GB2312" w:hAnsi="仿宋_GB2312" w:cs="仿宋_GB2312"/>
                <w:bCs/>
                <w:color w:val="000000" w:themeColor="text1"/>
                <w:kern w:val="2"/>
                <w:sz w:val="21"/>
                <w:szCs w:val="21"/>
              </w:rPr>
            </w:pPr>
            <w:r>
              <w:rPr>
                <w:rFonts w:ascii="仿宋_GB2312" w:eastAsia="仿宋_GB2312" w:hAnsi="仿宋_GB2312" w:cs="仿宋_GB2312" w:hint="eastAsia"/>
                <w:bCs/>
                <w:color w:val="000000" w:themeColor="text1"/>
                <w:szCs w:val="21"/>
              </w:rPr>
              <w:t>土壤</w:t>
            </w:r>
          </w:p>
        </w:tc>
        <w:tc>
          <w:tcPr>
            <w:tcW w:w="5100" w:type="dxa"/>
            <w:tcBorders>
              <w:top w:val="single" w:sz="4" w:space="0" w:color="auto"/>
              <w:left w:val="single" w:sz="4" w:space="0" w:color="auto"/>
              <w:bottom w:val="single" w:sz="8" w:space="0" w:color="auto"/>
              <w:right w:val="single" w:sz="4" w:space="0" w:color="auto"/>
            </w:tcBorders>
            <w:vAlign w:val="center"/>
            <w:hideMark/>
          </w:tcPr>
          <w:p w:rsidR="006A611E" w:rsidRDefault="006A611E">
            <w:pPr>
              <w:spacing w:line="160" w:lineRule="exact"/>
              <w:ind w:firstLineChars="200" w:firstLine="360"/>
              <w:rPr>
                <w:rFonts w:ascii="仿宋_GB2312" w:eastAsia="仿宋_GB2312" w:hAnsi="仿宋_GB2312" w:cs="仿宋_GB2312"/>
                <w:bCs/>
                <w:color w:val="000000" w:themeColor="text1"/>
                <w:kern w:val="2"/>
                <w:sz w:val="18"/>
                <w:szCs w:val="18"/>
              </w:rPr>
            </w:pPr>
            <w:r>
              <w:rPr>
                <w:rFonts w:ascii="仿宋_GB2312" w:eastAsia="仿宋_GB2312" w:hAnsi="仿宋_GB2312" w:cs="仿宋_GB2312" w:hint="eastAsia"/>
                <w:bCs/>
                <w:color w:val="000000" w:themeColor="text1"/>
                <w:sz w:val="18"/>
                <w:szCs w:val="18"/>
              </w:rPr>
              <w:t>经平鲁区环保局2018年11月25日至27日调查：中煤平朔能源化工有限公司（以下简称中煤平朔能化公司）是中煤平朔劣质煤综合利用示范项目，位于朔州市平鲁区北坪循环经济园区。设计年产合成氨30万吨（中间产品）、多孔硝铵40万吨、液化天然气1.1亿Nm³。2013年12月30日山西省环境保护厅以晋环函[2013]1791号文对该项目的环境影响报告书进行了批复。2017年7月朔州市环境保护局对中煤平朔集团有限公司劣质煤综合利用示范项目（即能化公司）变更环境影响报告书以朔环审[2017]31号文进行了批复。排污许可证编号：14060306100004-0603，有效期至2021年3月16日。</w:t>
            </w:r>
          </w:p>
          <w:p w:rsidR="006A611E" w:rsidRDefault="006A611E">
            <w:pPr>
              <w:spacing w:line="160" w:lineRule="exact"/>
              <w:ind w:firstLineChars="200" w:firstLine="360"/>
              <w:rPr>
                <w:rFonts w:ascii="仿宋_GB2312" w:eastAsia="仿宋_GB2312" w:hAnsi="仿宋_GB2312" w:cs="仿宋_GB2312" w:hint="eastAsia"/>
                <w:bCs/>
                <w:color w:val="000000" w:themeColor="text1"/>
                <w:sz w:val="18"/>
                <w:szCs w:val="18"/>
              </w:rPr>
            </w:pPr>
            <w:r>
              <w:rPr>
                <w:rFonts w:ascii="仿宋_GB2312" w:eastAsia="仿宋_GB2312" w:hAnsi="仿宋_GB2312" w:cs="仿宋_GB2312" w:hint="eastAsia"/>
                <w:bCs/>
                <w:color w:val="000000" w:themeColor="text1"/>
                <w:sz w:val="18"/>
                <w:szCs w:val="18"/>
              </w:rPr>
              <w:t>经查，煤焦油是中煤平朔能源化工有限公司的副产品之一，2017年8月16日能化公司与山西立信化工公司签订了重环烃（煤焦油）加工合作协议，2017年12月至2018年11月能化公司向山西立信化工公司销售重环烃（煤焦油）2279.15吨，这期间共产生煤焦油2279.15吨，无库存。</w:t>
            </w:r>
          </w:p>
          <w:p w:rsidR="006A611E" w:rsidRDefault="006A611E">
            <w:pPr>
              <w:spacing w:line="160" w:lineRule="exact"/>
              <w:ind w:firstLineChars="200" w:firstLine="360"/>
              <w:rPr>
                <w:rFonts w:ascii="仿宋_GB2312" w:eastAsia="仿宋_GB2312" w:hAnsi="仿宋_GB2312" w:cs="仿宋_GB2312" w:hint="eastAsia"/>
                <w:bCs/>
                <w:color w:val="000000" w:themeColor="text1"/>
                <w:sz w:val="18"/>
                <w:szCs w:val="18"/>
              </w:rPr>
            </w:pPr>
            <w:r>
              <w:rPr>
                <w:rFonts w:ascii="仿宋_GB2312" w:eastAsia="仿宋_GB2312" w:hAnsi="仿宋_GB2312" w:cs="仿宋_GB2312" w:hint="eastAsia"/>
                <w:bCs/>
                <w:color w:val="000000" w:themeColor="text1"/>
                <w:sz w:val="18"/>
                <w:szCs w:val="18"/>
              </w:rPr>
              <w:t>山西立信化工公司于2003年10月注册成立，是一家以加工煤焦油为主的企业，山西省环保厅以晋环函[2011]789号文批复了《山西立信化工有限公司2×3万吨/年炭黑、2×3000kw/年尾气发电及15万吨/年焦油加工项目环境影响报告书》。山西文水县环保局以文环验[2016]126号文对山西立信化工有限公司2×3万吨/年炭黑、2×3000kw/年尾气发电及15万吨/年焦油加工项目进行了阶段性验收。排污许可证编号：14112126690009-1121，有效期至2019年8月29日。</w:t>
            </w:r>
          </w:p>
          <w:p w:rsidR="006A611E" w:rsidRDefault="006A611E">
            <w:pPr>
              <w:spacing w:line="160" w:lineRule="exact"/>
              <w:ind w:firstLineChars="200" w:firstLine="360"/>
              <w:rPr>
                <w:rFonts w:ascii="仿宋_GB2312" w:eastAsia="仿宋_GB2312" w:hAnsi="仿宋_GB2312" w:cs="仿宋_GB2312" w:hint="eastAsia"/>
                <w:bCs/>
                <w:color w:val="000000" w:themeColor="text1"/>
                <w:sz w:val="18"/>
                <w:szCs w:val="18"/>
              </w:rPr>
            </w:pPr>
            <w:r>
              <w:rPr>
                <w:rFonts w:ascii="仿宋_GB2312" w:eastAsia="仿宋_GB2312" w:hAnsi="仿宋_GB2312" w:cs="仿宋_GB2312" w:hint="eastAsia"/>
                <w:bCs/>
                <w:color w:val="000000" w:themeColor="text1"/>
                <w:sz w:val="18"/>
                <w:szCs w:val="18"/>
              </w:rPr>
              <w:t>按照《2016年国家危险废物名录》有关豁免规定，中煤平朔能化公司存在一直未将生产过程中产生的煤焦油按危险废物管理，未建立管理台账，未向平鲁区环境保护局进行过危险废物审报登记，未执行危险废物转移联单制度，擅自将2279.15吨煤焦油出售给山西立信化工公司。</w:t>
            </w:r>
          </w:p>
          <w:p w:rsidR="006A611E" w:rsidRDefault="006A611E">
            <w:pPr>
              <w:spacing w:line="160" w:lineRule="exact"/>
              <w:ind w:firstLineChars="200" w:firstLine="360"/>
              <w:rPr>
                <w:rFonts w:ascii="仿宋_GB2312" w:eastAsia="仿宋_GB2312" w:hAnsi="仿宋_GB2312" w:cs="仿宋_GB2312"/>
                <w:bCs/>
                <w:color w:val="000000" w:themeColor="text1"/>
                <w:kern w:val="2"/>
                <w:sz w:val="21"/>
                <w:szCs w:val="21"/>
              </w:rPr>
            </w:pPr>
            <w:r>
              <w:rPr>
                <w:rFonts w:ascii="仿宋_GB2312" w:eastAsia="仿宋_GB2312" w:hAnsi="仿宋_GB2312" w:cs="仿宋_GB2312" w:hint="eastAsia"/>
                <w:bCs/>
                <w:color w:val="000000" w:themeColor="text1"/>
                <w:sz w:val="18"/>
                <w:szCs w:val="18"/>
              </w:rPr>
              <w:t>经现场调查，该问题区域分布属城郊结合部；利益关系属群众身边的其他问题。</w:t>
            </w:r>
          </w:p>
        </w:tc>
        <w:tc>
          <w:tcPr>
            <w:tcW w:w="750" w:type="dxa"/>
            <w:tcBorders>
              <w:top w:val="single" w:sz="4" w:space="0" w:color="auto"/>
              <w:left w:val="single" w:sz="4" w:space="0" w:color="auto"/>
              <w:bottom w:val="single" w:sz="8" w:space="0" w:color="auto"/>
              <w:right w:val="single" w:sz="4" w:space="0" w:color="auto"/>
            </w:tcBorders>
            <w:vAlign w:val="center"/>
            <w:hideMark/>
          </w:tcPr>
          <w:p w:rsidR="006A611E" w:rsidRDefault="006A611E">
            <w:pPr>
              <w:jc w:val="center"/>
              <w:rPr>
                <w:rFonts w:ascii="仿宋_GB2312" w:eastAsia="仿宋_GB2312" w:hAnsi="仿宋_GB2312" w:cs="仿宋_GB2312"/>
                <w:bCs/>
                <w:color w:val="000000" w:themeColor="text1"/>
                <w:kern w:val="2"/>
                <w:sz w:val="21"/>
                <w:szCs w:val="21"/>
              </w:rPr>
            </w:pPr>
            <w:r>
              <w:rPr>
                <w:rFonts w:ascii="仿宋_GB2312" w:eastAsia="仿宋_GB2312" w:hAnsi="仿宋_GB2312" w:cs="仿宋_GB2312" w:hint="eastAsia"/>
                <w:bCs/>
                <w:color w:val="000000" w:themeColor="text1"/>
                <w:szCs w:val="21"/>
              </w:rPr>
              <w:t>是</w:t>
            </w:r>
          </w:p>
        </w:tc>
        <w:tc>
          <w:tcPr>
            <w:tcW w:w="2434" w:type="dxa"/>
            <w:tcBorders>
              <w:top w:val="single" w:sz="4" w:space="0" w:color="auto"/>
              <w:left w:val="single" w:sz="4" w:space="0" w:color="auto"/>
              <w:bottom w:val="single" w:sz="8" w:space="0" w:color="auto"/>
              <w:right w:val="single" w:sz="4" w:space="0" w:color="auto"/>
            </w:tcBorders>
            <w:vAlign w:val="center"/>
            <w:hideMark/>
          </w:tcPr>
          <w:p w:rsidR="006A611E" w:rsidRDefault="006A611E" w:rsidP="006A611E">
            <w:pPr>
              <w:spacing w:line="200" w:lineRule="exact"/>
              <w:ind w:firstLineChars="400" w:firstLine="800"/>
              <w:rPr>
                <w:rFonts w:ascii="仿宋_GB2312" w:eastAsia="仿宋_GB2312" w:hAnsi="仿宋_GB2312" w:cs="仿宋_GB2312"/>
                <w:bCs/>
                <w:color w:val="000000" w:themeColor="text1"/>
                <w:kern w:val="2"/>
                <w:sz w:val="21"/>
                <w:szCs w:val="21"/>
              </w:rPr>
            </w:pPr>
            <w:r>
              <w:rPr>
                <w:rFonts w:ascii="仿宋_GB2312" w:eastAsia="仿宋_GB2312" w:hAnsi="仿宋_GB2312" w:cs="仿宋_GB2312" w:hint="eastAsia"/>
                <w:bCs/>
                <w:color w:val="000000" w:themeColor="text1"/>
                <w:szCs w:val="21"/>
              </w:rPr>
              <w:t xml:space="preserve">对中煤平朔能源化工有限公司未向环保部门申报登记危险废物、擅自转移煤焦油违法行为，2018年11月28日平鲁区环保局对其下达了《责令改正违法行为决定书》（平环责改字[2018]041号），责令其立即停止擅自转移煤焦油的违法行为，限期15日内完成煤焦油的申报登记、管理台账等工作。2018年11月29日平鲁区环保局对其下达了《行政处罚事先（听证）告知书》（平环罚告字[2018]041号），依据《中华人民共和国固体废物污染环境防治法》第七十五条第一款第二项、第六项及第二款之规定拟处罚30万元。           </w:t>
            </w:r>
          </w:p>
        </w:tc>
        <w:tc>
          <w:tcPr>
            <w:tcW w:w="679" w:type="dxa"/>
            <w:tcBorders>
              <w:top w:val="single" w:sz="4" w:space="0" w:color="auto"/>
              <w:left w:val="single" w:sz="4" w:space="0" w:color="auto"/>
              <w:bottom w:val="single" w:sz="8" w:space="0" w:color="auto"/>
              <w:right w:val="single" w:sz="8" w:space="0" w:color="auto"/>
            </w:tcBorders>
            <w:vAlign w:val="center"/>
            <w:hideMark/>
          </w:tcPr>
          <w:p w:rsidR="006A611E" w:rsidRDefault="006A611E">
            <w:pPr>
              <w:spacing w:line="160" w:lineRule="exact"/>
              <w:jc w:val="center"/>
              <w:rPr>
                <w:rFonts w:ascii="仿宋_GB2312" w:eastAsia="仿宋_GB2312" w:hAnsi="仿宋_GB2312" w:cs="仿宋_GB2312"/>
                <w:bCs/>
                <w:color w:val="000000" w:themeColor="text1"/>
                <w:kern w:val="2"/>
                <w:sz w:val="15"/>
                <w:szCs w:val="15"/>
              </w:rPr>
            </w:pPr>
            <w:r>
              <w:rPr>
                <w:rFonts w:ascii="仿宋_GB2312" w:eastAsia="仿宋_GB2312" w:hAnsi="仿宋_GB2312" w:cs="仿宋_GB2312" w:hint="eastAsia"/>
                <w:bCs/>
                <w:color w:val="000000" w:themeColor="text1"/>
                <w:sz w:val="13"/>
                <w:szCs w:val="13"/>
              </w:rPr>
              <w:t>经平鲁区环保局2018年11月28日党组会议研究决定，给予负有监管责任的环境监察大队一中队队长程文同志诫勉谈话处理；经中煤平朔能源化工有限公司2018年11月28日党委会议研究决定，给予负有直接责任的公司健安环部部长范拴红同志诫勉谈话处理。</w:t>
            </w:r>
          </w:p>
        </w:tc>
      </w:tr>
    </w:tbl>
    <w:p w:rsidR="006A611E" w:rsidRDefault="006A611E" w:rsidP="006A611E">
      <w:pPr>
        <w:rPr>
          <w:rFonts w:asciiTheme="minorEastAsia" w:eastAsiaTheme="minorEastAsia" w:hAnsiTheme="minorEastAsia" w:hint="eastAsia"/>
          <w:szCs w:val="21"/>
        </w:rPr>
      </w:pPr>
    </w:p>
    <w:p w:rsidR="00B933E3" w:rsidRDefault="00B933E3"/>
    <w:sectPr w:rsidR="00B933E3" w:rsidSect="006A611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3E3" w:rsidRDefault="00B933E3" w:rsidP="006A611E">
      <w:r>
        <w:separator/>
      </w:r>
    </w:p>
  </w:endnote>
  <w:endnote w:type="continuationSeparator" w:id="1">
    <w:p w:rsidR="00B933E3" w:rsidRDefault="00B933E3" w:rsidP="006A61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script"/>
    <w:pitch w:val="default"/>
    <w:sig w:usb0="00000000" w:usb1="0000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3E3" w:rsidRDefault="00B933E3" w:rsidP="006A611E">
      <w:r>
        <w:separator/>
      </w:r>
    </w:p>
  </w:footnote>
  <w:footnote w:type="continuationSeparator" w:id="1">
    <w:p w:rsidR="00B933E3" w:rsidRDefault="00B933E3" w:rsidP="006A61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611E"/>
    <w:rsid w:val="006A611E"/>
    <w:rsid w:val="00B933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1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61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A611E"/>
    <w:rPr>
      <w:sz w:val="18"/>
      <w:szCs w:val="18"/>
    </w:rPr>
  </w:style>
  <w:style w:type="paragraph" w:styleId="a4">
    <w:name w:val="footer"/>
    <w:basedOn w:val="a"/>
    <w:link w:val="Char0"/>
    <w:uiPriority w:val="99"/>
    <w:semiHidden/>
    <w:unhideWhenUsed/>
    <w:rsid w:val="006A61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A611E"/>
    <w:rPr>
      <w:sz w:val="18"/>
      <w:szCs w:val="18"/>
    </w:rPr>
  </w:style>
  <w:style w:type="table" w:styleId="a5">
    <w:name w:val="Table Grid"/>
    <w:basedOn w:val="a1"/>
    <w:qFormat/>
    <w:rsid w:val="006A611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003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1199</Characters>
  <Application>Microsoft Office Word</Application>
  <DocSecurity>0</DocSecurity>
  <Lines>9</Lines>
  <Paragraphs>2</Paragraphs>
  <ScaleCrop>false</ScaleCrop>
  <Company>Microsoft</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2018-11-30T01:51:00Z</dcterms:created>
  <dcterms:modified xsi:type="dcterms:W3CDTF">2018-11-30T01:51:00Z</dcterms:modified>
</cp:coreProperties>
</file>