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596" w:rsidRDefault="00F70596" w:rsidP="00F7059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群众信访举报边督边改公开情况一览表</w:t>
      </w:r>
    </w:p>
    <w:p w:rsidR="00F70596" w:rsidRDefault="00F70596" w:rsidP="00F70596">
      <w:pPr>
        <w:jc w:val="right"/>
        <w:rPr>
          <w:rFonts w:ascii="仿宋_GB2312" w:eastAsia="仿宋_GB2312" w:hAnsi="仿宋_GB2312" w:cs="仿宋_GB2312"/>
          <w:sz w:val="30"/>
          <w:szCs w:val="30"/>
        </w:rPr>
      </w:pPr>
      <w:r>
        <w:rPr>
          <w:rFonts w:ascii="仿宋_GB2312" w:eastAsia="仿宋_GB2312" w:hAnsi="仿宋_GB2312" w:cs="仿宋_GB2312" w:hint="eastAsia"/>
          <w:sz w:val="30"/>
          <w:szCs w:val="30"/>
        </w:rPr>
        <w:t>（第十八批  2018年11月28日）</w:t>
      </w:r>
    </w:p>
    <w:tbl>
      <w:tblPr>
        <w:tblStyle w:val="a5"/>
        <w:tblW w:w="13800" w:type="dxa"/>
        <w:tblBorders>
          <w:top w:val="single" w:sz="8" w:space="0" w:color="auto"/>
          <w:left w:val="single" w:sz="8" w:space="0" w:color="auto"/>
          <w:bottom w:val="single" w:sz="8" w:space="0" w:color="auto"/>
          <w:right w:val="single" w:sz="8" w:space="0" w:color="auto"/>
        </w:tblBorders>
        <w:tblLayout w:type="fixed"/>
        <w:tblLook w:val="04A0"/>
      </w:tblPr>
      <w:tblGrid>
        <w:gridCol w:w="572"/>
        <w:gridCol w:w="1296"/>
        <w:gridCol w:w="1467"/>
        <w:gridCol w:w="819"/>
        <w:gridCol w:w="683"/>
        <w:gridCol w:w="5100"/>
        <w:gridCol w:w="750"/>
        <w:gridCol w:w="2434"/>
        <w:gridCol w:w="679"/>
      </w:tblGrid>
      <w:tr w:rsidR="00F70596" w:rsidTr="00E745E1">
        <w:trPr>
          <w:trHeight w:val="710"/>
        </w:trPr>
        <w:tc>
          <w:tcPr>
            <w:tcW w:w="572" w:type="dxa"/>
            <w:tcBorders>
              <w:tl2br w:val="nil"/>
              <w:tr2bl w:val="nil"/>
            </w:tcBorders>
            <w:vAlign w:val="center"/>
          </w:tcPr>
          <w:p w:rsidR="00F70596" w:rsidRDefault="00F70596" w:rsidP="00E745E1">
            <w:pPr>
              <w:widowControl/>
              <w:jc w:val="center"/>
              <w:textAlignment w:val="center"/>
              <w:rPr>
                <w:rFonts w:ascii="黑体" w:eastAsia="黑体" w:hAnsi="黑体" w:cs="黑体"/>
                <w:bCs/>
                <w:color w:val="000000"/>
                <w:sz w:val="22"/>
                <w:szCs w:val="22"/>
                <w:lang/>
              </w:rPr>
            </w:pPr>
            <w:r>
              <w:rPr>
                <w:rFonts w:ascii="黑体" w:eastAsia="黑体" w:hAnsi="黑体" w:cs="黑体" w:hint="eastAsia"/>
                <w:bCs/>
                <w:color w:val="000000"/>
                <w:sz w:val="22"/>
                <w:szCs w:val="22"/>
                <w:lang/>
              </w:rPr>
              <w:t>序号</w:t>
            </w:r>
          </w:p>
        </w:tc>
        <w:tc>
          <w:tcPr>
            <w:tcW w:w="1296" w:type="dxa"/>
            <w:tcBorders>
              <w:tl2br w:val="nil"/>
              <w:tr2bl w:val="nil"/>
            </w:tcBorders>
            <w:vAlign w:val="center"/>
          </w:tcPr>
          <w:p w:rsidR="00F70596" w:rsidRDefault="00F70596" w:rsidP="00E745E1">
            <w:pPr>
              <w:widowControl/>
              <w:jc w:val="center"/>
              <w:textAlignment w:val="center"/>
              <w:rPr>
                <w:rFonts w:ascii="黑体" w:eastAsia="黑体" w:hAnsi="黑体" w:cs="黑体"/>
                <w:bCs/>
                <w:color w:val="000000"/>
                <w:sz w:val="22"/>
                <w:szCs w:val="22"/>
                <w:lang/>
              </w:rPr>
            </w:pPr>
            <w:r>
              <w:rPr>
                <w:rFonts w:ascii="黑体" w:eastAsia="黑体" w:hAnsi="黑体" w:cs="黑体" w:hint="eastAsia"/>
                <w:bCs/>
                <w:color w:val="000000"/>
                <w:sz w:val="22"/>
                <w:szCs w:val="22"/>
                <w:lang/>
              </w:rPr>
              <w:t>受理编号</w:t>
            </w:r>
          </w:p>
        </w:tc>
        <w:tc>
          <w:tcPr>
            <w:tcW w:w="1467" w:type="dxa"/>
            <w:tcBorders>
              <w:tl2br w:val="nil"/>
              <w:tr2bl w:val="nil"/>
            </w:tcBorders>
            <w:vAlign w:val="center"/>
          </w:tcPr>
          <w:p w:rsidR="00F70596" w:rsidRDefault="00F70596" w:rsidP="00E745E1">
            <w:pPr>
              <w:widowControl/>
              <w:jc w:val="center"/>
              <w:textAlignment w:val="center"/>
              <w:rPr>
                <w:rFonts w:ascii="黑体" w:eastAsia="黑体" w:hAnsi="黑体" w:cs="黑体"/>
                <w:bCs/>
                <w:color w:val="000000"/>
                <w:sz w:val="22"/>
                <w:szCs w:val="22"/>
                <w:lang/>
              </w:rPr>
            </w:pPr>
            <w:r>
              <w:rPr>
                <w:rFonts w:ascii="黑体" w:eastAsia="黑体" w:hAnsi="黑体" w:cs="黑体" w:hint="eastAsia"/>
                <w:bCs/>
                <w:color w:val="000000"/>
                <w:sz w:val="22"/>
                <w:szCs w:val="22"/>
                <w:lang/>
              </w:rPr>
              <w:t>交办问题</w:t>
            </w:r>
          </w:p>
          <w:p w:rsidR="00F70596" w:rsidRDefault="00F70596" w:rsidP="00E745E1">
            <w:pPr>
              <w:widowControl/>
              <w:jc w:val="center"/>
              <w:textAlignment w:val="center"/>
              <w:rPr>
                <w:rFonts w:ascii="黑体" w:eastAsia="黑体" w:hAnsi="黑体" w:cs="黑体"/>
                <w:bCs/>
                <w:color w:val="000000"/>
                <w:sz w:val="22"/>
                <w:szCs w:val="22"/>
                <w:lang/>
              </w:rPr>
            </w:pPr>
            <w:r>
              <w:rPr>
                <w:rFonts w:ascii="黑体" w:eastAsia="黑体" w:hAnsi="黑体" w:cs="黑体" w:hint="eastAsia"/>
                <w:bCs/>
                <w:color w:val="000000"/>
                <w:sz w:val="22"/>
                <w:szCs w:val="22"/>
                <w:lang/>
              </w:rPr>
              <w:t>基本情况</w:t>
            </w:r>
          </w:p>
        </w:tc>
        <w:tc>
          <w:tcPr>
            <w:tcW w:w="819" w:type="dxa"/>
            <w:tcBorders>
              <w:tl2br w:val="nil"/>
              <w:tr2bl w:val="nil"/>
            </w:tcBorders>
            <w:vAlign w:val="center"/>
          </w:tcPr>
          <w:p w:rsidR="00F70596" w:rsidRDefault="00F70596" w:rsidP="00E745E1">
            <w:pPr>
              <w:widowControl/>
              <w:jc w:val="center"/>
              <w:textAlignment w:val="center"/>
              <w:rPr>
                <w:rFonts w:ascii="黑体" w:eastAsia="黑体" w:hAnsi="黑体" w:cs="黑体"/>
                <w:bCs/>
                <w:sz w:val="44"/>
                <w:szCs w:val="44"/>
              </w:rPr>
            </w:pPr>
            <w:r>
              <w:rPr>
                <w:rFonts w:ascii="黑体" w:eastAsia="黑体" w:hAnsi="黑体" w:cs="黑体" w:hint="eastAsia"/>
                <w:bCs/>
                <w:color w:val="000000"/>
                <w:sz w:val="22"/>
                <w:szCs w:val="22"/>
                <w:lang/>
              </w:rPr>
              <w:t>行政区域</w:t>
            </w:r>
          </w:p>
        </w:tc>
        <w:tc>
          <w:tcPr>
            <w:tcW w:w="683" w:type="dxa"/>
            <w:tcBorders>
              <w:tl2br w:val="nil"/>
              <w:tr2bl w:val="nil"/>
            </w:tcBorders>
            <w:vAlign w:val="center"/>
          </w:tcPr>
          <w:p w:rsidR="00F70596" w:rsidRDefault="00F70596" w:rsidP="00E745E1">
            <w:pPr>
              <w:widowControl/>
              <w:jc w:val="center"/>
              <w:textAlignment w:val="center"/>
              <w:rPr>
                <w:rFonts w:ascii="黑体" w:eastAsia="黑体" w:hAnsi="黑体" w:cs="黑体"/>
                <w:bCs/>
                <w:sz w:val="44"/>
                <w:szCs w:val="44"/>
              </w:rPr>
            </w:pPr>
            <w:r>
              <w:rPr>
                <w:rFonts w:ascii="黑体" w:eastAsia="黑体" w:hAnsi="黑体" w:cs="黑体" w:hint="eastAsia"/>
                <w:bCs/>
                <w:color w:val="000000"/>
                <w:sz w:val="22"/>
                <w:szCs w:val="22"/>
                <w:lang/>
              </w:rPr>
              <w:t>污染类型</w:t>
            </w:r>
          </w:p>
        </w:tc>
        <w:tc>
          <w:tcPr>
            <w:tcW w:w="5100" w:type="dxa"/>
            <w:tcBorders>
              <w:tl2br w:val="nil"/>
              <w:tr2bl w:val="nil"/>
            </w:tcBorders>
            <w:vAlign w:val="center"/>
          </w:tcPr>
          <w:p w:rsidR="00F70596" w:rsidRDefault="00F70596" w:rsidP="00E745E1">
            <w:pPr>
              <w:widowControl/>
              <w:jc w:val="center"/>
              <w:textAlignment w:val="center"/>
              <w:rPr>
                <w:rFonts w:ascii="黑体" w:eastAsia="黑体" w:hAnsi="黑体" w:cs="黑体"/>
                <w:bCs/>
                <w:sz w:val="44"/>
                <w:szCs w:val="44"/>
              </w:rPr>
            </w:pPr>
            <w:r>
              <w:rPr>
                <w:rFonts w:ascii="黑体" w:eastAsia="黑体" w:hAnsi="黑体" w:cs="黑体" w:hint="eastAsia"/>
                <w:bCs/>
                <w:color w:val="000000"/>
                <w:sz w:val="22"/>
                <w:szCs w:val="22"/>
                <w:lang/>
              </w:rPr>
              <w:t>调查核实情况</w:t>
            </w:r>
          </w:p>
        </w:tc>
        <w:tc>
          <w:tcPr>
            <w:tcW w:w="750" w:type="dxa"/>
            <w:tcBorders>
              <w:tl2br w:val="nil"/>
              <w:tr2bl w:val="nil"/>
            </w:tcBorders>
            <w:vAlign w:val="center"/>
          </w:tcPr>
          <w:p w:rsidR="00F70596" w:rsidRDefault="00F70596" w:rsidP="00E745E1">
            <w:pPr>
              <w:widowControl/>
              <w:jc w:val="center"/>
              <w:textAlignment w:val="center"/>
              <w:rPr>
                <w:rFonts w:ascii="黑体" w:eastAsia="黑体" w:hAnsi="黑体" w:cs="黑体"/>
                <w:bCs/>
                <w:sz w:val="44"/>
                <w:szCs w:val="44"/>
              </w:rPr>
            </w:pPr>
            <w:r>
              <w:rPr>
                <w:rFonts w:ascii="黑体" w:eastAsia="黑体" w:hAnsi="黑体" w:cs="黑体" w:hint="eastAsia"/>
                <w:bCs/>
                <w:color w:val="000000"/>
                <w:sz w:val="22"/>
                <w:szCs w:val="22"/>
                <w:lang/>
              </w:rPr>
              <w:t>是否属实</w:t>
            </w:r>
          </w:p>
        </w:tc>
        <w:tc>
          <w:tcPr>
            <w:tcW w:w="2434" w:type="dxa"/>
            <w:tcBorders>
              <w:tl2br w:val="nil"/>
              <w:tr2bl w:val="nil"/>
            </w:tcBorders>
            <w:vAlign w:val="center"/>
          </w:tcPr>
          <w:p w:rsidR="00F70596" w:rsidRDefault="00F70596" w:rsidP="00E745E1">
            <w:pPr>
              <w:widowControl/>
              <w:jc w:val="center"/>
              <w:textAlignment w:val="center"/>
              <w:rPr>
                <w:rFonts w:ascii="黑体" w:eastAsia="黑体" w:hAnsi="黑体" w:cs="黑体"/>
                <w:bCs/>
                <w:sz w:val="44"/>
                <w:szCs w:val="44"/>
              </w:rPr>
            </w:pPr>
            <w:r>
              <w:rPr>
                <w:rFonts w:ascii="黑体" w:eastAsia="黑体" w:hAnsi="黑体" w:cs="黑体" w:hint="eastAsia"/>
                <w:bCs/>
                <w:color w:val="000000"/>
                <w:sz w:val="22"/>
                <w:szCs w:val="22"/>
                <w:lang/>
              </w:rPr>
              <w:t>处理和整改情况</w:t>
            </w:r>
          </w:p>
        </w:tc>
        <w:tc>
          <w:tcPr>
            <w:tcW w:w="679" w:type="dxa"/>
            <w:tcBorders>
              <w:tl2br w:val="nil"/>
              <w:tr2bl w:val="nil"/>
            </w:tcBorders>
            <w:vAlign w:val="center"/>
          </w:tcPr>
          <w:p w:rsidR="00F70596" w:rsidRDefault="00F70596" w:rsidP="00E745E1">
            <w:pPr>
              <w:widowControl/>
              <w:jc w:val="center"/>
              <w:textAlignment w:val="center"/>
              <w:rPr>
                <w:rFonts w:ascii="黑体" w:eastAsia="黑体" w:hAnsi="黑体" w:cs="黑体"/>
                <w:bCs/>
                <w:sz w:val="44"/>
                <w:szCs w:val="44"/>
              </w:rPr>
            </w:pPr>
            <w:r>
              <w:rPr>
                <w:rFonts w:ascii="黑体" w:eastAsia="黑体" w:hAnsi="黑体" w:cs="黑体" w:hint="eastAsia"/>
                <w:bCs/>
                <w:color w:val="000000"/>
                <w:sz w:val="22"/>
                <w:szCs w:val="22"/>
                <w:lang/>
              </w:rPr>
              <w:t>问责情况</w:t>
            </w:r>
          </w:p>
        </w:tc>
      </w:tr>
      <w:tr w:rsidR="00F70596" w:rsidTr="00E745E1">
        <w:trPr>
          <w:trHeight w:val="6090"/>
        </w:trPr>
        <w:tc>
          <w:tcPr>
            <w:tcW w:w="572" w:type="dxa"/>
            <w:tcBorders>
              <w:tl2br w:val="nil"/>
              <w:tr2bl w:val="nil"/>
            </w:tcBorders>
            <w:vAlign w:val="center"/>
          </w:tcPr>
          <w:p w:rsidR="00F70596" w:rsidRDefault="00F70596" w:rsidP="00E745E1">
            <w:pPr>
              <w:jc w:val="center"/>
              <w:rPr>
                <w:rFonts w:ascii="仿宋_GB2312" w:eastAsia="仿宋_GB2312" w:hAnsi="仿宋_GB2312" w:cs="仿宋_GB2312"/>
                <w:bCs/>
                <w:szCs w:val="21"/>
              </w:rPr>
            </w:pPr>
            <w:r>
              <w:rPr>
                <w:rFonts w:ascii="仿宋_GB2312" w:eastAsia="仿宋_GB2312" w:hAnsi="仿宋_GB2312" w:cs="仿宋_GB2312" w:hint="eastAsia"/>
                <w:bCs/>
                <w:sz w:val="21"/>
                <w:szCs w:val="21"/>
              </w:rPr>
              <w:t>1</w:t>
            </w:r>
          </w:p>
        </w:tc>
        <w:tc>
          <w:tcPr>
            <w:tcW w:w="1296" w:type="dxa"/>
            <w:tcBorders>
              <w:tl2br w:val="nil"/>
              <w:tr2bl w:val="nil"/>
            </w:tcBorders>
            <w:vAlign w:val="center"/>
          </w:tcPr>
          <w:p w:rsidR="00F70596" w:rsidRDefault="00F70596" w:rsidP="00E745E1">
            <w:pPr>
              <w:jc w:val="center"/>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 w:val="21"/>
                <w:szCs w:val="21"/>
              </w:rPr>
              <w:t>X140000201811230032</w:t>
            </w:r>
          </w:p>
        </w:tc>
        <w:tc>
          <w:tcPr>
            <w:tcW w:w="1467" w:type="dxa"/>
            <w:tcBorders>
              <w:tl2br w:val="nil"/>
              <w:tr2bl w:val="nil"/>
            </w:tcBorders>
            <w:vAlign w:val="center"/>
          </w:tcPr>
          <w:p w:rsidR="00F70596" w:rsidRDefault="00F70596" w:rsidP="00E745E1">
            <w:pPr>
              <w:spacing w:line="200" w:lineRule="exact"/>
              <w:rPr>
                <w:rFonts w:ascii="仿宋_GB2312" w:eastAsia="仿宋_GB2312" w:hAnsi="仿宋_GB2312" w:cs="仿宋_GB2312"/>
                <w:bCs/>
                <w:color w:val="000000" w:themeColor="text1"/>
                <w:szCs w:val="21"/>
              </w:rPr>
            </w:pPr>
            <w:r>
              <w:rPr>
                <w:rFonts w:ascii="仿宋_GB2312" w:eastAsia="仿宋_GB2312" w:hAnsi="仿宋_GB2312" w:cs="仿宋_GB2312" w:hint="eastAsia"/>
                <w:bCs/>
                <w:sz w:val="21"/>
                <w:szCs w:val="21"/>
              </w:rPr>
              <w:t>举报人对受理编号D140000201811070012（山西省朔州市平鲁区陶村乡白西沟村的中煤平朔安家岭露天矿，距村民家不到300米，爆破振动导致房屋开裂，玻璃震碎，烟尘污染，中午12点半以及下午不定时冒黄烟）的案子处理结果不满意，认为当地政府调查情况与现实情况不符，要求重新调查。</w:t>
            </w:r>
          </w:p>
        </w:tc>
        <w:tc>
          <w:tcPr>
            <w:tcW w:w="819" w:type="dxa"/>
            <w:tcBorders>
              <w:tl2br w:val="nil"/>
              <w:tr2bl w:val="nil"/>
            </w:tcBorders>
            <w:vAlign w:val="center"/>
          </w:tcPr>
          <w:p w:rsidR="00F70596" w:rsidRDefault="00F70596" w:rsidP="00E745E1">
            <w:pPr>
              <w:jc w:val="center"/>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 w:val="21"/>
                <w:szCs w:val="21"/>
              </w:rPr>
              <w:t>朔州市平鲁区</w:t>
            </w:r>
          </w:p>
        </w:tc>
        <w:tc>
          <w:tcPr>
            <w:tcW w:w="683" w:type="dxa"/>
            <w:tcBorders>
              <w:tl2br w:val="nil"/>
              <w:tr2bl w:val="nil"/>
            </w:tcBorders>
            <w:vAlign w:val="center"/>
          </w:tcPr>
          <w:p w:rsidR="00F70596" w:rsidRDefault="00F70596" w:rsidP="00E745E1">
            <w:pPr>
              <w:jc w:val="center"/>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 w:val="21"/>
                <w:szCs w:val="21"/>
              </w:rPr>
              <w:t>生态,噪音,大气,其他污染</w:t>
            </w:r>
          </w:p>
        </w:tc>
        <w:tc>
          <w:tcPr>
            <w:tcW w:w="5100" w:type="dxa"/>
            <w:tcBorders>
              <w:tl2br w:val="nil"/>
              <w:tr2bl w:val="nil"/>
            </w:tcBorders>
            <w:vAlign w:val="center"/>
          </w:tcPr>
          <w:p w:rsidR="00F70596" w:rsidRDefault="00F70596" w:rsidP="00E745E1">
            <w:pPr>
              <w:spacing w:line="120" w:lineRule="exact"/>
              <w:ind w:firstLineChars="200" w:firstLine="220"/>
              <w:rPr>
                <w:rFonts w:ascii="仿宋_GB2312" w:eastAsia="仿宋_GB2312" w:hAnsi="仿宋_GB2312" w:cs="仿宋_GB2312"/>
                <w:bCs/>
                <w:color w:val="000000" w:themeColor="text1"/>
                <w:sz w:val="11"/>
                <w:szCs w:val="11"/>
              </w:rPr>
            </w:pPr>
            <w:r>
              <w:rPr>
                <w:rFonts w:ascii="仿宋_GB2312" w:eastAsia="仿宋_GB2312" w:hAnsi="仿宋_GB2312" w:cs="仿宋_GB2312" w:hint="eastAsia"/>
                <w:bCs/>
                <w:color w:val="000000" w:themeColor="text1"/>
                <w:sz w:val="11"/>
                <w:szCs w:val="11"/>
              </w:rPr>
              <w:t>群众反映的X140000201811230032案件与第一批D140000201811070012案件相同。</w:t>
            </w:r>
          </w:p>
          <w:p w:rsidR="00F70596" w:rsidRDefault="00F70596" w:rsidP="00E745E1">
            <w:pPr>
              <w:spacing w:line="120" w:lineRule="exact"/>
              <w:ind w:firstLineChars="200" w:firstLine="220"/>
              <w:rPr>
                <w:rFonts w:ascii="仿宋_GB2312" w:eastAsia="仿宋_GB2312" w:hAnsi="仿宋_GB2312" w:cs="仿宋_GB2312"/>
                <w:bCs/>
                <w:color w:val="000000" w:themeColor="text1"/>
                <w:sz w:val="11"/>
                <w:szCs w:val="11"/>
              </w:rPr>
            </w:pPr>
            <w:r>
              <w:rPr>
                <w:rFonts w:ascii="仿宋_GB2312" w:eastAsia="仿宋_GB2312" w:hAnsi="仿宋_GB2312" w:cs="仿宋_GB2312" w:hint="eastAsia"/>
                <w:bCs/>
                <w:color w:val="000000" w:themeColor="text1"/>
                <w:sz w:val="11"/>
                <w:szCs w:val="11"/>
              </w:rPr>
              <w:t>2018年11月8日接到交办的反映问题后，朔州市环保局、平鲁区环保局和平鲁区陶村乡党委、乡政府进行过调查。中煤平朔安家岭露天矿隶属中煤平朔集团有限公司，年产原煤1500万吨，1996年6月25日取得原国家环保总局环评批复（环监〔1996〕547号），2002年7月1日取得了原国家环保总局环境保护竣工验收批复（环验〔2002〕030号）。现正在按照新的要求申领排污许可证。经平鲁区环保部门现场检查，该公司采用露天开采工艺，需要爆破作业，爆破时必然产生粉尘。环评要求对爆破区除采取合理的炮孔网度、微差爆破与空气柱间隔装药以外，还需采用炮空封堵，对预爆区洒水预湿。现场检查时该矿爆破前洒水预湿，爆破方式与环评一致，爆破时会起粉尘。爆破点距原白西沟小学直线距离约700米。</w:t>
            </w:r>
          </w:p>
          <w:p w:rsidR="00F70596" w:rsidRDefault="00F70596" w:rsidP="00E745E1">
            <w:pPr>
              <w:spacing w:line="120" w:lineRule="exact"/>
              <w:ind w:firstLineChars="200" w:firstLine="220"/>
              <w:rPr>
                <w:rFonts w:ascii="仿宋_GB2312" w:eastAsia="仿宋_GB2312" w:hAnsi="仿宋_GB2312" w:cs="仿宋_GB2312"/>
                <w:bCs/>
                <w:color w:val="000000" w:themeColor="text1"/>
                <w:sz w:val="11"/>
                <w:szCs w:val="11"/>
              </w:rPr>
            </w:pPr>
            <w:r>
              <w:rPr>
                <w:rFonts w:ascii="仿宋_GB2312" w:eastAsia="仿宋_GB2312" w:hAnsi="仿宋_GB2312" w:cs="仿宋_GB2312" w:hint="eastAsia"/>
                <w:bCs/>
                <w:color w:val="000000" w:themeColor="text1"/>
                <w:sz w:val="11"/>
                <w:szCs w:val="11"/>
              </w:rPr>
              <w:t>中煤平朔集团有限公司提供了2017年12月29日由山西蓝标检测技术有限公司出据的监测报告以及该公司环保部提供的自行监测数据（2018年9月7日），监测结果表明，安家岭厂界粉尘无组织排放均达标。</w:t>
            </w:r>
          </w:p>
          <w:p w:rsidR="00F70596" w:rsidRDefault="00F70596" w:rsidP="00E745E1">
            <w:pPr>
              <w:spacing w:line="120" w:lineRule="exact"/>
              <w:ind w:firstLineChars="200" w:firstLine="220"/>
              <w:rPr>
                <w:rFonts w:ascii="仿宋_GB2312" w:eastAsia="仿宋_GB2312" w:hAnsi="仿宋_GB2312" w:cs="仿宋_GB2312"/>
                <w:bCs/>
                <w:color w:val="000000" w:themeColor="text1"/>
                <w:sz w:val="11"/>
                <w:szCs w:val="11"/>
              </w:rPr>
            </w:pPr>
            <w:r>
              <w:rPr>
                <w:rFonts w:ascii="仿宋_GB2312" w:eastAsia="仿宋_GB2312" w:hAnsi="仿宋_GB2312" w:cs="仿宋_GB2312" w:hint="eastAsia"/>
                <w:bCs/>
                <w:color w:val="000000" w:themeColor="text1"/>
                <w:sz w:val="11"/>
                <w:szCs w:val="11"/>
              </w:rPr>
              <w:t>经向平鲁区陶村乡党委、乡政府调查了解，举报内容与该乡白西沟村搬迁有关。该村在中煤平朔集团有限公司安家岭露天矿开采范围内，因开采需要，2015年5月29日中煤平朔集团有限公司与平鲁区人民政府签订了《白西沟村搬（拆）迁补偿总协议》，协议规定：2015年年底前完成整村搬迁。2015年6月28日组织实施了搬迁工作，按照《方案》对全村人员进行了补偿。至2017年底，全村609户2003人已完成搬迁，仅剩张翠英1户因补偿问题拒绝搬迁、滞留该村原小学。</w:t>
            </w:r>
          </w:p>
          <w:p w:rsidR="00F70596" w:rsidRDefault="00F70596" w:rsidP="00E745E1">
            <w:pPr>
              <w:spacing w:line="120" w:lineRule="exact"/>
              <w:ind w:firstLineChars="200" w:firstLine="220"/>
              <w:rPr>
                <w:rFonts w:ascii="仿宋_GB2312" w:eastAsia="仿宋_GB2312" w:hAnsi="仿宋_GB2312" w:cs="仿宋_GB2312"/>
                <w:bCs/>
                <w:color w:val="000000" w:themeColor="text1"/>
                <w:sz w:val="11"/>
                <w:szCs w:val="11"/>
              </w:rPr>
            </w:pPr>
            <w:r>
              <w:rPr>
                <w:rFonts w:ascii="仿宋_GB2312" w:eastAsia="仿宋_GB2312" w:hAnsi="仿宋_GB2312" w:cs="仿宋_GB2312" w:hint="eastAsia"/>
                <w:bCs/>
                <w:color w:val="000000" w:themeColor="text1"/>
                <w:sz w:val="11"/>
                <w:szCs w:val="11"/>
              </w:rPr>
              <w:t>陶村乡政府提供，白西沟村目前仅剩张翠英1户未搬迁。该户在白西沟村1994年二轮土地延长承包前,已由农户转为非农户。白西沟村二轮土地延长承包时,该户整户退出承包土地,在白西沟村没有承包耕地。因此按照《白西沟村村集体耕地补偿分配方案》第二类第二条“凡是在第二轮土地延长承包前全家转非农户(家属和子女都未享受国家待遇),户口又返迁回白西沟村的非农户家属及子女”之条款，村委会对张翠英及其儿子苏志强、女儿苏金桃按二类补偿对象进行补偿。张翠英子女苏志强和苏金桃对此不同意,拒领土地补偿款,也拒不搬离白西沟村。张翠英原在村内住宅因年久失修,居住存在安全隐患,于2010年左右暂住白西沟村小学,后来该户新建了住宅,但未搬离村小学。白西沟村整村搬迁后,该户以村委会对其分配土地补偿款未满足其要求为由,滞留白西沟村小学至今拒不搬离。经乡、村两级多次动员,均无效果。</w:t>
            </w:r>
          </w:p>
          <w:p w:rsidR="00F70596" w:rsidRDefault="00F70596" w:rsidP="00E745E1">
            <w:pPr>
              <w:spacing w:line="120" w:lineRule="exact"/>
              <w:ind w:firstLineChars="200" w:firstLine="220"/>
              <w:rPr>
                <w:rFonts w:ascii="仿宋_GB2312" w:eastAsia="仿宋_GB2312" w:hAnsi="仿宋_GB2312" w:cs="仿宋_GB2312"/>
                <w:bCs/>
                <w:color w:val="000000" w:themeColor="text1"/>
                <w:sz w:val="11"/>
                <w:szCs w:val="11"/>
              </w:rPr>
            </w:pPr>
            <w:r>
              <w:rPr>
                <w:rFonts w:ascii="仿宋_GB2312" w:eastAsia="仿宋_GB2312" w:hAnsi="仿宋_GB2312" w:cs="仿宋_GB2312" w:hint="eastAsia"/>
                <w:bCs/>
                <w:color w:val="000000" w:themeColor="text1"/>
                <w:sz w:val="11"/>
                <w:szCs w:val="11"/>
              </w:rPr>
              <w:t>2018年11月24日，再次接到交办的反映问题后，白西沟村的情况和上次调查情况一样，重点走访了平鲁区陶村乡政府、白西沟村干部和白西沟村现1户人家张翠英的儿子苏志强。苏志强反映与上次调查处理与现实情况不符的原因有两点，一是“我不同意白西沟村委会出具的搬迁补偿方案，因为这个方案应该是平鲁区人民政府出的。2018年我申请政府信息公开搬迁补偿方案，平鲁区政府未回复我。我的利益诉求是希望平鲁区政府依法依规处理好我们家的搬迁事宜”。二是“2017年我举报时的处理回复说平朔安家岭距离我住的地方500米，今年我举报时的回复说平朔安家岭距离我住的地方700米；今年我举报后环保局的工作人员来监测噪声时爆破点在西北方向，距离我住的地方较远，平时的爆破点在我住的地方正西方；钻孔机在我今年举报后也挪远了。”询问白西沟村支部书记季有，举报反映白西沟村玻璃震碎不是爆破震碎的，“是学校废弃后，人们打碎的”。询问平朔集团公司生产技术部主管陈德付，“安家岭露天矿采掘推进方向由西向东，根据生产需要安排爆破区域” 同时反映白西沟村这1户未搬迁已经严重影响到了矿上的生产。</w:t>
            </w:r>
          </w:p>
          <w:p w:rsidR="00F70596" w:rsidRDefault="00F70596" w:rsidP="00E745E1">
            <w:pPr>
              <w:spacing w:line="120" w:lineRule="exact"/>
              <w:ind w:firstLineChars="200" w:firstLine="220"/>
              <w:rPr>
                <w:rFonts w:ascii="仿宋_GB2312" w:eastAsia="仿宋_GB2312" w:hAnsi="仿宋_GB2312" w:cs="仿宋_GB2312"/>
                <w:bCs/>
                <w:color w:val="000000" w:themeColor="text1"/>
                <w:sz w:val="11"/>
                <w:szCs w:val="11"/>
              </w:rPr>
            </w:pPr>
            <w:r>
              <w:rPr>
                <w:rFonts w:ascii="仿宋_GB2312" w:eastAsia="仿宋_GB2312" w:hAnsi="仿宋_GB2312" w:cs="仿宋_GB2312" w:hint="eastAsia"/>
                <w:bCs/>
                <w:color w:val="000000" w:themeColor="text1"/>
                <w:sz w:val="11"/>
                <w:szCs w:val="11"/>
              </w:rPr>
              <w:t>经到乡政府了解，张翠英及大女儿苏金梅、二女儿苏金花、三女儿苏金桃、四女儿苏金艳、儿子苏志强、外孙女杜昉研等7人因不认可《白西沟村村集体耕地补偿分配方案》，分别向平鲁区人民法院提起过诉讼维权，因不服平鲁区人民法院的裁决，再次分别向市、省法院两次申诉。朔州市中级人民法院和山西省高级人民法院全部驳回其申请。山西省高级人民法院在上述裁定书中认为：按照《中华人民共和国村民委员会组织法》规定，涉及村民“征地补偿费的使用、分配方案”经村民会议讨论决定后方可办理。即法律将此项权利授予村民会议，一旦方案确定后，村民委员会组织发放。依据村民委员会组织法规定，法律对讨论决定村集体经济组织财产和成员权益的事项另有规定，依照其规定。但从现有颁行法律看，尚无明确的法律规定。原一、二审法院在认定本案事实时、适用《最高人民法院关于审理涉及农村土地承包纠纷案件适用法律问题的解释》第一条第三款“集体组织成员就用于分配额土地补偿费数额提起民事诉讼的，人民法院不予受理”正确。</w:t>
            </w:r>
          </w:p>
          <w:p w:rsidR="00F70596" w:rsidRDefault="00F70596" w:rsidP="00E745E1">
            <w:pPr>
              <w:spacing w:line="120" w:lineRule="exact"/>
              <w:ind w:firstLineChars="200" w:firstLine="220"/>
              <w:rPr>
                <w:rFonts w:ascii="仿宋_GB2312" w:eastAsia="仿宋_GB2312" w:hAnsi="仿宋_GB2312" w:cs="仿宋_GB2312"/>
                <w:bCs/>
                <w:color w:val="000000" w:themeColor="text1"/>
                <w:sz w:val="11"/>
                <w:szCs w:val="11"/>
              </w:rPr>
            </w:pPr>
            <w:r>
              <w:rPr>
                <w:rFonts w:ascii="仿宋_GB2312" w:eastAsia="仿宋_GB2312" w:hAnsi="仿宋_GB2312" w:cs="仿宋_GB2312" w:hint="eastAsia"/>
                <w:bCs/>
                <w:color w:val="000000" w:themeColor="text1"/>
                <w:sz w:val="11"/>
                <w:szCs w:val="11"/>
              </w:rPr>
              <w:t>调查认为，《白西沟村村集体耕地补偿分配方案》是合法的，苏志强以平鲁区人民政府应当出搬迁补偿方案的理由以及安家岭露天矿正常生产爆破点移动导致举报前后不一致，认为调查处理与现实不相符是不合理的。</w:t>
            </w:r>
          </w:p>
          <w:p w:rsidR="00F70596" w:rsidRDefault="00F70596" w:rsidP="00E745E1">
            <w:pPr>
              <w:spacing w:line="120" w:lineRule="exact"/>
              <w:ind w:firstLineChars="200" w:firstLine="220"/>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 w:val="11"/>
                <w:szCs w:val="11"/>
              </w:rPr>
              <w:t>经现场调查，该问题区域分布属中煤平朔安家岭矿区，利益关系属利益纠纷举报，举报内容不属实。</w:t>
            </w:r>
          </w:p>
        </w:tc>
        <w:tc>
          <w:tcPr>
            <w:tcW w:w="750" w:type="dxa"/>
            <w:tcBorders>
              <w:tl2br w:val="nil"/>
              <w:tr2bl w:val="nil"/>
            </w:tcBorders>
            <w:vAlign w:val="center"/>
          </w:tcPr>
          <w:p w:rsidR="00F70596" w:rsidRDefault="00F70596" w:rsidP="00E745E1">
            <w:pPr>
              <w:jc w:val="center"/>
              <w:rPr>
                <w:rFonts w:ascii="仿宋_GB2312" w:eastAsia="仿宋_GB2312" w:hAnsi="仿宋_GB2312" w:cs="仿宋_GB2312"/>
                <w:bCs/>
                <w:color w:val="000000" w:themeColor="text1"/>
                <w:szCs w:val="21"/>
              </w:rPr>
            </w:pPr>
            <w:r>
              <w:rPr>
                <w:rFonts w:ascii="仿宋_GB2312" w:eastAsia="仿宋_GB2312" w:hAnsi="仿宋_GB2312" w:cs="仿宋_GB2312" w:hint="eastAsia"/>
                <w:bCs/>
                <w:color w:val="000000" w:themeColor="text1"/>
                <w:sz w:val="21"/>
                <w:szCs w:val="21"/>
              </w:rPr>
              <w:t>否</w:t>
            </w:r>
          </w:p>
        </w:tc>
        <w:tc>
          <w:tcPr>
            <w:tcW w:w="2434" w:type="dxa"/>
            <w:tcBorders>
              <w:tl2br w:val="nil"/>
              <w:tr2bl w:val="nil"/>
            </w:tcBorders>
            <w:vAlign w:val="center"/>
          </w:tcPr>
          <w:p w:rsidR="00F70596" w:rsidRDefault="00F70596" w:rsidP="00E745E1">
            <w:pPr>
              <w:wordWrap w:val="0"/>
              <w:spacing w:line="600" w:lineRule="exact"/>
              <w:ind w:firstLine="645"/>
              <w:rPr>
                <w:rFonts w:ascii="楷体" w:eastAsia="仿宋_GB2312" w:hAnsi="楷体" w:cs="楷体"/>
                <w:b/>
                <w:bCs/>
                <w:szCs w:val="21"/>
              </w:rPr>
            </w:pPr>
            <w:r>
              <w:rPr>
                <w:rFonts w:ascii="仿宋_GB2312" w:eastAsia="仿宋_GB2312" w:hAnsi="仿宋_GB2312" w:cs="仿宋_GB2312" w:hint="eastAsia"/>
                <w:sz w:val="21"/>
                <w:szCs w:val="21"/>
              </w:rPr>
              <w:t>平鲁区委、区政府责成陶村乡党委、政府，白西沟村委会继续做好1户未搬迁村民的思想工作，依法依规推进搬迁</w:t>
            </w:r>
            <w:r>
              <w:rPr>
                <w:rFonts w:ascii="仿宋_GB2312" w:eastAsia="仿宋_GB2312" w:hAnsi="仿宋_GB2312" w:cs="仿宋_GB2312" w:hint="eastAsia"/>
                <w:spacing w:val="-3"/>
                <w:sz w:val="21"/>
                <w:szCs w:val="21"/>
              </w:rPr>
              <w:t>。</w:t>
            </w:r>
          </w:p>
          <w:p w:rsidR="00F70596" w:rsidRDefault="00F70596" w:rsidP="00F70596">
            <w:pPr>
              <w:spacing w:line="200" w:lineRule="exact"/>
              <w:ind w:firstLineChars="200" w:firstLine="400"/>
              <w:rPr>
                <w:rFonts w:ascii="仿宋_GB2312" w:eastAsia="仿宋_GB2312" w:hAnsi="仿宋_GB2312" w:cs="仿宋_GB2312"/>
                <w:bCs/>
                <w:color w:val="000000" w:themeColor="text1"/>
                <w:szCs w:val="21"/>
              </w:rPr>
            </w:pPr>
          </w:p>
        </w:tc>
        <w:tc>
          <w:tcPr>
            <w:tcW w:w="679" w:type="dxa"/>
            <w:tcBorders>
              <w:tl2br w:val="nil"/>
              <w:tr2bl w:val="nil"/>
            </w:tcBorders>
            <w:vAlign w:val="center"/>
          </w:tcPr>
          <w:p w:rsidR="00F70596" w:rsidRDefault="00F70596" w:rsidP="00E745E1">
            <w:pPr>
              <w:spacing w:line="320" w:lineRule="exact"/>
              <w:jc w:val="center"/>
              <w:rPr>
                <w:rFonts w:ascii="仿宋_GB2312" w:eastAsia="仿宋_GB2312" w:hAnsi="仿宋_GB2312" w:cs="仿宋_GB2312"/>
                <w:bCs/>
                <w:color w:val="000000" w:themeColor="text1"/>
                <w:sz w:val="15"/>
                <w:szCs w:val="15"/>
              </w:rPr>
            </w:pPr>
            <w:r>
              <w:rPr>
                <w:rFonts w:ascii="仿宋_GB2312" w:eastAsia="仿宋_GB2312" w:hAnsi="仿宋_GB2312" w:cs="仿宋_GB2312" w:hint="eastAsia"/>
                <w:bCs/>
                <w:color w:val="000000" w:themeColor="text1"/>
                <w:sz w:val="21"/>
                <w:szCs w:val="21"/>
              </w:rPr>
              <w:t>无</w:t>
            </w:r>
          </w:p>
        </w:tc>
      </w:tr>
    </w:tbl>
    <w:p w:rsidR="00F70596" w:rsidRDefault="00F70596" w:rsidP="00F70596">
      <w:pPr>
        <w:rPr>
          <w:rFonts w:asciiTheme="minorEastAsia" w:eastAsiaTheme="minorEastAsia" w:hAnsiTheme="minorEastAsia"/>
          <w:szCs w:val="21"/>
        </w:rPr>
      </w:pPr>
    </w:p>
    <w:p w:rsidR="000526CE" w:rsidRDefault="000526CE"/>
    <w:sectPr w:rsidR="000526CE" w:rsidSect="00F7059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26CE" w:rsidRDefault="000526CE" w:rsidP="00F70596">
      <w:r>
        <w:separator/>
      </w:r>
    </w:p>
  </w:endnote>
  <w:endnote w:type="continuationSeparator" w:id="1">
    <w:p w:rsidR="000526CE" w:rsidRDefault="000526CE" w:rsidP="00F7059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charset w:val="86"/>
    <w:family w:val="script"/>
    <w:pitch w:val="default"/>
    <w:sig w:usb0="00000000" w:usb1="00000000" w:usb2="00000000" w:usb3="00000000" w:csb0="00040000" w:csb1="00000000"/>
  </w:font>
  <w:font w:name="仿宋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26CE" w:rsidRDefault="000526CE" w:rsidP="00F70596">
      <w:r>
        <w:separator/>
      </w:r>
    </w:p>
  </w:footnote>
  <w:footnote w:type="continuationSeparator" w:id="1">
    <w:p w:rsidR="000526CE" w:rsidRDefault="000526CE" w:rsidP="00F705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0596"/>
    <w:rsid w:val="000526CE"/>
    <w:rsid w:val="00F705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59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7059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70596"/>
    <w:rPr>
      <w:sz w:val="18"/>
      <w:szCs w:val="18"/>
    </w:rPr>
  </w:style>
  <w:style w:type="paragraph" w:styleId="a4">
    <w:name w:val="footer"/>
    <w:basedOn w:val="a"/>
    <w:link w:val="Char0"/>
    <w:uiPriority w:val="99"/>
    <w:semiHidden/>
    <w:unhideWhenUsed/>
    <w:rsid w:val="00F7059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70596"/>
    <w:rPr>
      <w:sz w:val="18"/>
      <w:szCs w:val="18"/>
    </w:rPr>
  </w:style>
  <w:style w:type="table" w:styleId="a5">
    <w:name w:val="Table Grid"/>
    <w:basedOn w:val="a1"/>
    <w:qFormat/>
    <w:rsid w:val="00F70596"/>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2092</Characters>
  <Application>Microsoft Office Word</Application>
  <DocSecurity>0</DocSecurity>
  <Lines>17</Lines>
  <Paragraphs>4</Paragraphs>
  <ScaleCrop>false</ScaleCrop>
  <Company>Microsoft</Company>
  <LinksUpToDate>false</LinksUpToDate>
  <CharactersWithSpaces>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2018-11-29T09:14:00Z</dcterms:created>
  <dcterms:modified xsi:type="dcterms:W3CDTF">2018-11-29T09:14:00Z</dcterms:modified>
</cp:coreProperties>
</file>