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265" w:rsidRDefault="00F75265" w:rsidP="00F75265">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群众信访举报边督边改公开情况一览表</w:t>
      </w:r>
    </w:p>
    <w:p w:rsidR="00F75265" w:rsidRDefault="00F75265" w:rsidP="00F75265">
      <w:pPr>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（第一批  2018年11月11日）</w:t>
      </w:r>
    </w:p>
    <w:tbl>
      <w:tblPr>
        <w:tblStyle w:val="a5"/>
        <w:tblW w:w="13714" w:type="dxa"/>
        <w:jc w:val="center"/>
        <w:tblBorders>
          <w:top w:val="single" w:sz="8" w:space="0" w:color="auto"/>
          <w:left w:val="single" w:sz="8" w:space="0" w:color="auto"/>
          <w:bottom w:val="single" w:sz="8" w:space="0" w:color="auto"/>
          <w:right w:val="single" w:sz="8" w:space="0" w:color="auto"/>
        </w:tblBorders>
        <w:tblLayout w:type="fixed"/>
        <w:tblCellMar>
          <w:left w:w="57" w:type="dxa"/>
          <w:right w:w="57" w:type="dxa"/>
        </w:tblCellMar>
        <w:tblLook w:val="04A0"/>
      </w:tblPr>
      <w:tblGrid>
        <w:gridCol w:w="497"/>
        <w:gridCol w:w="1190"/>
        <w:gridCol w:w="1400"/>
        <w:gridCol w:w="727"/>
        <w:gridCol w:w="761"/>
        <w:gridCol w:w="5740"/>
        <w:gridCol w:w="709"/>
        <w:gridCol w:w="2005"/>
        <w:gridCol w:w="685"/>
      </w:tblGrid>
      <w:tr w:rsidR="00F75265" w:rsidTr="00AE5289">
        <w:trPr>
          <w:trHeight w:val="448"/>
          <w:jc w:val="center"/>
        </w:trPr>
        <w:tc>
          <w:tcPr>
            <w:tcW w:w="497" w:type="dxa"/>
            <w:tcBorders>
              <w:tl2br w:val="nil"/>
              <w:tr2bl w:val="nil"/>
            </w:tcBorders>
            <w:vAlign w:val="center"/>
          </w:tcPr>
          <w:p w:rsidR="00F75265" w:rsidRDefault="00F75265" w:rsidP="00AE5289">
            <w:pPr>
              <w:widowControl/>
              <w:jc w:val="center"/>
              <w:textAlignment w:val="center"/>
              <w:rPr>
                <w:rFonts w:ascii="黑体" w:eastAsia="黑体" w:hAnsi="黑体" w:cs="黑体"/>
                <w:bCs/>
                <w:color w:val="000000"/>
                <w:sz w:val="22"/>
                <w:szCs w:val="22"/>
                <w:lang/>
              </w:rPr>
            </w:pPr>
            <w:r>
              <w:rPr>
                <w:rFonts w:ascii="黑体" w:eastAsia="黑体" w:hAnsi="黑体" w:cs="黑体" w:hint="eastAsia"/>
                <w:bCs/>
                <w:color w:val="000000"/>
                <w:sz w:val="22"/>
                <w:szCs w:val="22"/>
                <w:lang/>
              </w:rPr>
              <w:t>序号</w:t>
            </w:r>
          </w:p>
        </w:tc>
        <w:tc>
          <w:tcPr>
            <w:tcW w:w="1190" w:type="dxa"/>
            <w:tcBorders>
              <w:tl2br w:val="nil"/>
              <w:tr2bl w:val="nil"/>
            </w:tcBorders>
            <w:vAlign w:val="center"/>
          </w:tcPr>
          <w:p w:rsidR="00F75265" w:rsidRDefault="00F75265" w:rsidP="00AE5289">
            <w:pPr>
              <w:widowControl/>
              <w:jc w:val="center"/>
              <w:textAlignment w:val="center"/>
              <w:rPr>
                <w:rFonts w:ascii="黑体" w:eastAsia="黑体" w:hAnsi="黑体" w:cs="黑体"/>
                <w:bCs/>
                <w:color w:val="000000"/>
                <w:sz w:val="22"/>
                <w:szCs w:val="22"/>
                <w:lang/>
              </w:rPr>
            </w:pPr>
            <w:r>
              <w:rPr>
                <w:rFonts w:ascii="黑体" w:eastAsia="黑体" w:hAnsi="黑体" w:cs="黑体" w:hint="eastAsia"/>
                <w:bCs/>
                <w:color w:val="000000"/>
                <w:sz w:val="22"/>
                <w:szCs w:val="22"/>
                <w:lang/>
              </w:rPr>
              <w:t>受理编号</w:t>
            </w:r>
          </w:p>
        </w:tc>
        <w:tc>
          <w:tcPr>
            <w:tcW w:w="1400" w:type="dxa"/>
            <w:tcBorders>
              <w:tl2br w:val="nil"/>
              <w:tr2bl w:val="nil"/>
            </w:tcBorders>
            <w:vAlign w:val="center"/>
          </w:tcPr>
          <w:p w:rsidR="00F75265" w:rsidRDefault="00F75265" w:rsidP="00AE5289">
            <w:pPr>
              <w:widowControl/>
              <w:jc w:val="center"/>
              <w:textAlignment w:val="center"/>
              <w:rPr>
                <w:rFonts w:ascii="黑体" w:eastAsia="黑体" w:hAnsi="黑体" w:cs="黑体"/>
                <w:bCs/>
                <w:color w:val="000000"/>
                <w:sz w:val="22"/>
                <w:szCs w:val="22"/>
                <w:lang/>
              </w:rPr>
            </w:pPr>
            <w:r>
              <w:rPr>
                <w:rFonts w:ascii="黑体" w:eastAsia="黑体" w:hAnsi="黑体" w:cs="黑体" w:hint="eastAsia"/>
                <w:bCs/>
                <w:color w:val="000000"/>
                <w:sz w:val="22"/>
                <w:szCs w:val="22"/>
                <w:lang/>
              </w:rPr>
              <w:t>交办问题</w:t>
            </w:r>
          </w:p>
          <w:p w:rsidR="00F75265" w:rsidRDefault="00F75265" w:rsidP="00AE5289">
            <w:pPr>
              <w:widowControl/>
              <w:jc w:val="center"/>
              <w:textAlignment w:val="center"/>
              <w:rPr>
                <w:rFonts w:ascii="黑体" w:eastAsia="黑体" w:hAnsi="黑体" w:cs="黑体"/>
                <w:bCs/>
                <w:color w:val="000000"/>
                <w:sz w:val="22"/>
                <w:szCs w:val="22"/>
                <w:lang/>
              </w:rPr>
            </w:pPr>
            <w:r>
              <w:rPr>
                <w:rFonts w:ascii="黑体" w:eastAsia="黑体" w:hAnsi="黑体" w:cs="黑体" w:hint="eastAsia"/>
                <w:bCs/>
                <w:color w:val="000000"/>
                <w:sz w:val="22"/>
                <w:szCs w:val="22"/>
                <w:lang/>
              </w:rPr>
              <w:t>基本情况</w:t>
            </w:r>
          </w:p>
        </w:tc>
        <w:tc>
          <w:tcPr>
            <w:tcW w:w="727" w:type="dxa"/>
            <w:tcBorders>
              <w:tl2br w:val="nil"/>
              <w:tr2bl w:val="nil"/>
            </w:tcBorders>
            <w:vAlign w:val="center"/>
          </w:tcPr>
          <w:p w:rsidR="00F75265" w:rsidRDefault="00F75265" w:rsidP="00AE5289">
            <w:pPr>
              <w:widowControl/>
              <w:jc w:val="center"/>
              <w:textAlignment w:val="center"/>
              <w:rPr>
                <w:rFonts w:ascii="黑体" w:eastAsia="黑体" w:hAnsi="黑体" w:cs="黑体"/>
                <w:bCs/>
                <w:sz w:val="44"/>
                <w:szCs w:val="44"/>
              </w:rPr>
            </w:pPr>
            <w:r>
              <w:rPr>
                <w:rFonts w:ascii="黑体" w:eastAsia="黑体" w:hAnsi="黑体" w:cs="黑体" w:hint="eastAsia"/>
                <w:bCs/>
                <w:color w:val="000000"/>
                <w:sz w:val="22"/>
                <w:szCs w:val="22"/>
                <w:lang/>
              </w:rPr>
              <w:t>行政区域</w:t>
            </w:r>
          </w:p>
        </w:tc>
        <w:tc>
          <w:tcPr>
            <w:tcW w:w="761" w:type="dxa"/>
            <w:tcBorders>
              <w:tl2br w:val="nil"/>
              <w:tr2bl w:val="nil"/>
            </w:tcBorders>
            <w:vAlign w:val="center"/>
          </w:tcPr>
          <w:p w:rsidR="00F75265" w:rsidRDefault="00F75265" w:rsidP="00AE5289">
            <w:pPr>
              <w:widowControl/>
              <w:jc w:val="center"/>
              <w:textAlignment w:val="center"/>
              <w:rPr>
                <w:rFonts w:ascii="黑体" w:eastAsia="黑体" w:hAnsi="黑体" w:cs="黑体"/>
                <w:bCs/>
                <w:color w:val="000000"/>
                <w:sz w:val="22"/>
                <w:szCs w:val="22"/>
                <w:lang/>
              </w:rPr>
            </w:pPr>
            <w:r>
              <w:rPr>
                <w:rFonts w:ascii="黑体" w:eastAsia="黑体" w:hAnsi="黑体" w:cs="黑体" w:hint="eastAsia"/>
                <w:bCs/>
                <w:color w:val="000000"/>
                <w:sz w:val="22"/>
                <w:szCs w:val="22"/>
                <w:lang/>
              </w:rPr>
              <w:t>污染</w:t>
            </w:r>
          </w:p>
          <w:p w:rsidR="00F75265" w:rsidRDefault="00F75265" w:rsidP="00AE5289">
            <w:pPr>
              <w:widowControl/>
              <w:jc w:val="center"/>
              <w:textAlignment w:val="center"/>
              <w:rPr>
                <w:rFonts w:ascii="黑体" w:eastAsia="黑体" w:hAnsi="黑体" w:cs="黑体"/>
                <w:bCs/>
                <w:sz w:val="44"/>
                <w:szCs w:val="44"/>
              </w:rPr>
            </w:pPr>
            <w:r>
              <w:rPr>
                <w:rFonts w:ascii="黑体" w:eastAsia="黑体" w:hAnsi="黑体" w:cs="黑体" w:hint="eastAsia"/>
                <w:bCs/>
                <w:color w:val="000000"/>
                <w:sz w:val="22"/>
                <w:szCs w:val="22"/>
                <w:lang/>
              </w:rPr>
              <w:t>类型</w:t>
            </w:r>
          </w:p>
        </w:tc>
        <w:tc>
          <w:tcPr>
            <w:tcW w:w="5740" w:type="dxa"/>
            <w:tcBorders>
              <w:tl2br w:val="nil"/>
              <w:tr2bl w:val="nil"/>
            </w:tcBorders>
            <w:vAlign w:val="center"/>
          </w:tcPr>
          <w:p w:rsidR="00F75265" w:rsidRDefault="00F75265" w:rsidP="00AE5289">
            <w:pPr>
              <w:widowControl/>
              <w:jc w:val="center"/>
              <w:textAlignment w:val="center"/>
              <w:rPr>
                <w:rFonts w:ascii="黑体" w:eastAsia="黑体" w:hAnsi="黑体" w:cs="黑体"/>
                <w:bCs/>
                <w:sz w:val="44"/>
                <w:szCs w:val="44"/>
              </w:rPr>
            </w:pPr>
            <w:r>
              <w:rPr>
                <w:rFonts w:ascii="黑体" w:eastAsia="黑体" w:hAnsi="黑体" w:cs="黑体" w:hint="eastAsia"/>
                <w:bCs/>
                <w:color w:val="000000"/>
                <w:sz w:val="22"/>
                <w:szCs w:val="22"/>
                <w:lang/>
              </w:rPr>
              <w:t>调查核实情况</w:t>
            </w:r>
          </w:p>
        </w:tc>
        <w:tc>
          <w:tcPr>
            <w:tcW w:w="709" w:type="dxa"/>
            <w:tcBorders>
              <w:tl2br w:val="nil"/>
              <w:tr2bl w:val="nil"/>
            </w:tcBorders>
            <w:vAlign w:val="center"/>
          </w:tcPr>
          <w:p w:rsidR="00F75265" w:rsidRDefault="00F75265" w:rsidP="00AE5289">
            <w:pPr>
              <w:widowControl/>
              <w:jc w:val="center"/>
              <w:textAlignment w:val="center"/>
              <w:rPr>
                <w:rFonts w:ascii="黑体" w:eastAsia="黑体" w:hAnsi="黑体" w:cs="黑体"/>
                <w:bCs/>
                <w:sz w:val="44"/>
                <w:szCs w:val="44"/>
              </w:rPr>
            </w:pPr>
            <w:r>
              <w:rPr>
                <w:rFonts w:ascii="黑体" w:eastAsia="黑体" w:hAnsi="黑体" w:cs="黑体" w:hint="eastAsia"/>
                <w:bCs/>
                <w:color w:val="000000"/>
                <w:sz w:val="22"/>
                <w:szCs w:val="22"/>
                <w:lang/>
              </w:rPr>
              <w:t>是否属实</w:t>
            </w:r>
          </w:p>
        </w:tc>
        <w:tc>
          <w:tcPr>
            <w:tcW w:w="2005" w:type="dxa"/>
            <w:tcBorders>
              <w:tl2br w:val="nil"/>
              <w:tr2bl w:val="nil"/>
            </w:tcBorders>
            <w:vAlign w:val="center"/>
          </w:tcPr>
          <w:p w:rsidR="00F75265" w:rsidRDefault="00F75265" w:rsidP="00AE5289">
            <w:pPr>
              <w:widowControl/>
              <w:jc w:val="center"/>
              <w:textAlignment w:val="center"/>
              <w:rPr>
                <w:rFonts w:ascii="黑体" w:eastAsia="黑体" w:hAnsi="黑体" w:cs="黑体"/>
                <w:bCs/>
                <w:sz w:val="44"/>
                <w:szCs w:val="44"/>
              </w:rPr>
            </w:pPr>
            <w:r>
              <w:rPr>
                <w:rFonts w:ascii="黑体" w:eastAsia="黑体" w:hAnsi="黑体" w:cs="黑体" w:hint="eastAsia"/>
                <w:bCs/>
                <w:color w:val="000000"/>
                <w:sz w:val="22"/>
                <w:szCs w:val="22"/>
                <w:lang/>
              </w:rPr>
              <w:t>处理和整改情况</w:t>
            </w:r>
          </w:p>
        </w:tc>
        <w:tc>
          <w:tcPr>
            <w:tcW w:w="685" w:type="dxa"/>
            <w:tcBorders>
              <w:tl2br w:val="nil"/>
              <w:tr2bl w:val="nil"/>
            </w:tcBorders>
            <w:vAlign w:val="center"/>
          </w:tcPr>
          <w:p w:rsidR="00F75265" w:rsidRDefault="00F75265" w:rsidP="00AE5289">
            <w:pPr>
              <w:widowControl/>
              <w:jc w:val="center"/>
              <w:textAlignment w:val="center"/>
              <w:rPr>
                <w:rFonts w:ascii="黑体" w:eastAsia="黑体" w:hAnsi="黑体" w:cs="黑体"/>
                <w:bCs/>
                <w:color w:val="000000"/>
                <w:sz w:val="22"/>
                <w:szCs w:val="22"/>
                <w:lang/>
              </w:rPr>
            </w:pPr>
            <w:r>
              <w:rPr>
                <w:rFonts w:ascii="黑体" w:eastAsia="黑体" w:hAnsi="黑体" w:cs="黑体" w:hint="eastAsia"/>
                <w:bCs/>
                <w:color w:val="000000"/>
                <w:sz w:val="22"/>
                <w:szCs w:val="22"/>
                <w:lang/>
              </w:rPr>
              <w:t>问责</w:t>
            </w:r>
          </w:p>
          <w:p w:rsidR="00F75265" w:rsidRDefault="00F75265" w:rsidP="00AE5289">
            <w:pPr>
              <w:widowControl/>
              <w:jc w:val="center"/>
              <w:textAlignment w:val="center"/>
              <w:rPr>
                <w:rFonts w:ascii="黑体" w:eastAsia="黑体" w:hAnsi="黑体" w:cs="黑体"/>
                <w:bCs/>
                <w:sz w:val="44"/>
                <w:szCs w:val="44"/>
              </w:rPr>
            </w:pPr>
            <w:r>
              <w:rPr>
                <w:rFonts w:ascii="黑体" w:eastAsia="黑体" w:hAnsi="黑体" w:cs="黑体" w:hint="eastAsia"/>
                <w:bCs/>
                <w:color w:val="000000"/>
                <w:sz w:val="22"/>
                <w:szCs w:val="22"/>
                <w:lang/>
              </w:rPr>
              <w:t>情况</w:t>
            </w:r>
          </w:p>
        </w:tc>
      </w:tr>
      <w:tr w:rsidR="00F75265" w:rsidTr="00AE5289">
        <w:trPr>
          <w:trHeight w:val="6454"/>
          <w:jc w:val="center"/>
        </w:trPr>
        <w:tc>
          <w:tcPr>
            <w:tcW w:w="497" w:type="dxa"/>
            <w:tcBorders>
              <w:tl2br w:val="nil"/>
              <w:tr2bl w:val="nil"/>
            </w:tcBorders>
            <w:vAlign w:val="center"/>
          </w:tcPr>
          <w:p w:rsidR="00F75265" w:rsidRDefault="00F75265" w:rsidP="00AE5289">
            <w:pPr>
              <w:jc w:val="center"/>
              <w:rPr>
                <w:rFonts w:ascii="仿宋_GB2312" w:eastAsia="仿宋_GB2312" w:hAnsi="仿宋_GB2312" w:cs="仿宋_GB2312"/>
                <w:szCs w:val="21"/>
              </w:rPr>
            </w:pPr>
            <w:r>
              <w:rPr>
                <w:rFonts w:ascii="仿宋_GB2312" w:eastAsia="仿宋_GB2312" w:hAnsi="仿宋_GB2312" w:cs="仿宋_GB2312" w:hint="eastAsia"/>
                <w:sz w:val="21"/>
                <w:szCs w:val="21"/>
              </w:rPr>
              <w:lastRenderedPageBreak/>
              <w:t>1</w:t>
            </w:r>
          </w:p>
        </w:tc>
        <w:tc>
          <w:tcPr>
            <w:tcW w:w="1190" w:type="dxa"/>
            <w:tcBorders>
              <w:tl2br w:val="nil"/>
              <w:tr2bl w:val="nil"/>
            </w:tcBorders>
            <w:vAlign w:val="center"/>
          </w:tcPr>
          <w:p w:rsidR="00F75265" w:rsidRDefault="00F75265" w:rsidP="00AE5289">
            <w:pPr>
              <w:jc w:val="center"/>
              <w:rPr>
                <w:rFonts w:ascii="仿宋_GB2312" w:eastAsia="仿宋_GB2312" w:hAnsi="仿宋_GB2312" w:cs="仿宋_GB2312"/>
                <w:szCs w:val="21"/>
              </w:rPr>
            </w:pPr>
            <w:r>
              <w:rPr>
                <w:rFonts w:ascii="仿宋_GB2312" w:eastAsia="仿宋_GB2312" w:hAnsi="仿宋_GB2312" w:cs="仿宋_GB2312" w:hint="eastAsia"/>
                <w:sz w:val="21"/>
                <w:szCs w:val="21"/>
              </w:rPr>
              <w:t>D140000201811070012</w:t>
            </w:r>
          </w:p>
        </w:tc>
        <w:tc>
          <w:tcPr>
            <w:tcW w:w="1400" w:type="dxa"/>
            <w:tcBorders>
              <w:tl2br w:val="nil"/>
              <w:tr2bl w:val="nil"/>
            </w:tcBorders>
            <w:vAlign w:val="center"/>
          </w:tcPr>
          <w:p w:rsidR="00F75265" w:rsidRDefault="00F75265" w:rsidP="00AE5289">
            <w:pPr>
              <w:rPr>
                <w:rFonts w:ascii="仿宋_GB2312" w:eastAsia="仿宋_GB2312" w:hAnsi="仿宋_GB2312" w:cs="仿宋_GB2312"/>
                <w:szCs w:val="21"/>
              </w:rPr>
            </w:pPr>
            <w:r>
              <w:rPr>
                <w:rFonts w:ascii="仿宋_GB2312" w:eastAsia="仿宋_GB2312" w:hAnsi="仿宋_GB2312" w:cs="仿宋_GB2312" w:hint="eastAsia"/>
                <w:sz w:val="21"/>
                <w:szCs w:val="21"/>
              </w:rPr>
              <w:t>山西省朔州市平鲁区陶村乡白西沟村的中煤安家岭露天煤矿，距村民家不到300米，爆破振动导致房屋开裂，玻璃震碎，烟尘污染，中午12点半以及下午不定时冒黄烟。</w:t>
            </w:r>
          </w:p>
        </w:tc>
        <w:tc>
          <w:tcPr>
            <w:tcW w:w="727" w:type="dxa"/>
            <w:tcBorders>
              <w:tl2br w:val="nil"/>
              <w:tr2bl w:val="nil"/>
            </w:tcBorders>
            <w:vAlign w:val="center"/>
          </w:tcPr>
          <w:p w:rsidR="00F75265" w:rsidRDefault="00F75265" w:rsidP="00AE5289">
            <w:pPr>
              <w:jc w:val="center"/>
              <w:rPr>
                <w:rFonts w:ascii="仿宋_GB2312" w:eastAsia="仿宋_GB2312" w:hAnsi="仿宋_GB2312" w:cs="仿宋_GB2312"/>
                <w:szCs w:val="21"/>
              </w:rPr>
            </w:pPr>
            <w:r>
              <w:rPr>
                <w:rFonts w:ascii="仿宋_GB2312" w:eastAsia="仿宋_GB2312" w:hAnsi="仿宋_GB2312" w:cs="仿宋_GB2312" w:hint="eastAsia"/>
                <w:sz w:val="21"/>
                <w:szCs w:val="21"/>
              </w:rPr>
              <w:t>朔州市平鲁区</w:t>
            </w:r>
          </w:p>
        </w:tc>
        <w:tc>
          <w:tcPr>
            <w:tcW w:w="761" w:type="dxa"/>
            <w:tcBorders>
              <w:tl2br w:val="nil"/>
              <w:tr2bl w:val="nil"/>
            </w:tcBorders>
            <w:vAlign w:val="center"/>
          </w:tcPr>
          <w:p w:rsidR="00F75265" w:rsidRDefault="00F75265" w:rsidP="00AE5289">
            <w:pPr>
              <w:jc w:val="center"/>
              <w:rPr>
                <w:rFonts w:ascii="仿宋_GB2312" w:eastAsia="仿宋_GB2312" w:hAnsi="仿宋_GB2312" w:cs="仿宋_GB2312"/>
                <w:szCs w:val="21"/>
              </w:rPr>
            </w:pPr>
            <w:r>
              <w:rPr>
                <w:rFonts w:ascii="仿宋_GB2312" w:eastAsia="仿宋_GB2312" w:hAnsi="仿宋_GB2312" w:cs="仿宋_GB2312" w:hint="eastAsia"/>
                <w:sz w:val="21"/>
                <w:szCs w:val="21"/>
              </w:rPr>
              <w:t>噪声、</w:t>
            </w:r>
          </w:p>
          <w:p w:rsidR="00F75265" w:rsidRDefault="00F75265" w:rsidP="00AE5289">
            <w:pPr>
              <w:jc w:val="center"/>
              <w:rPr>
                <w:rFonts w:ascii="仿宋_GB2312" w:eastAsia="仿宋_GB2312" w:hAnsi="仿宋_GB2312" w:cs="仿宋_GB2312"/>
                <w:szCs w:val="21"/>
              </w:rPr>
            </w:pPr>
            <w:r>
              <w:rPr>
                <w:rFonts w:ascii="仿宋_GB2312" w:eastAsia="仿宋_GB2312" w:hAnsi="仿宋_GB2312" w:cs="仿宋_GB2312" w:hint="eastAsia"/>
                <w:sz w:val="21"/>
                <w:szCs w:val="21"/>
              </w:rPr>
              <w:t>大气</w:t>
            </w:r>
          </w:p>
        </w:tc>
        <w:tc>
          <w:tcPr>
            <w:tcW w:w="5740" w:type="dxa"/>
            <w:tcBorders>
              <w:tl2br w:val="nil"/>
              <w:tr2bl w:val="nil"/>
            </w:tcBorders>
            <w:vAlign w:val="center"/>
          </w:tcPr>
          <w:p w:rsidR="00F75265" w:rsidRDefault="00F75265" w:rsidP="00AE5289">
            <w:pPr>
              <w:spacing w:line="240" w:lineRule="exact"/>
              <w:rPr>
                <w:rFonts w:ascii="仿宋_GB2312" w:eastAsia="仿宋_GB2312" w:hAnsi="仿宋_GB2312" w:cs="仿宋_GB2312"/>
                <w:szCs w:val="21"/>
              </w:rPr>
            </w:pPr>
            <w:r>
              <w:rPr>
                <w:rFonts w:ascii="仿宋_GB2312" w:eastAsia="仿宋_GB2312" w:hAnsi="仿宋_GB2312" w:cs="仿宋_GB2312" w:hint="eastAsia"/>
                <w:sz w:val="21"/>
                <w:szCs w:val="21"/>
              </w:rPr>
              <w:t>经朔州市环保局、平鲁区环保局调查，中煤平朔安家岭露天矿隶属中煤平朔集团有限公司，年产原煤1500万吨，1996年6月25日取得原国家环保总局环评批复（环监[1996]547号），2002年7月1日取得了原国家环保总局环境保护竣工验收批复（环验[2002]030号）。现正在按照新的要求申领排污许可证。经市、区环保局环境监察人员现场检查，该公司采用露天开采工艺，需要爆破作业，爆破时必然产生粉尘。按照环评要求对爆破区除采取合理的炮孔网度、微差爆破与空气柱间隔装药以外，还需采用炮空封堵，对预爆区洒水预湿。现场检查时该矿爆破区进行了爆破前洒水预湿，爆破方式与环评一致。爆破时会起一定量的粉尘。爆破点距原白西沟小学直线距离约700米。</w:t>
            </w:r>
          </w:p>
          <w:p w:rsidR="00F75265" w:rsidRDefault="00F75265" w:rsidP="00AE5289">
            <w:pPr>
              <w:spacing w:line="240" w:lineRule="exact"/>
              <w:rPr>
                <w:rFonts w:ascii="仿宋_GB2312" w:eastAsia="仿宋_GB2312" w:hAnsi="仿宋_GB2312" w:cs="仿宋_GB2312"/>
                <w:szCs w:val="21"/>
              </w:rPr>
            </w:pPr>
            <w:r>
              <w:rPr>
                <w:rFonts w:ascii="仿宋_GB2312" w:eastAsia="仿宋_GB2312" w:hAnsi="仿宋_GB2312" w:cs="仿宋_GB2312" w:hint="eastAsia"/>
                <w:sz w:val="21"/>
                <w:szCs w:val="21"/>
              </w:rPr>
              <w:t>据中煤平朔集团有限公司提供的2017年12月29日由山西蓝标检测技术有限公司出据的监测报告以及该公司环保部提供的自行监测数据（2018年9月7日）表明，安家岭厂界无组织排放未超标。</w:t>
            </w:r>
          </w:p>
          <w:p w:rsidR="00F75265" w:rsidRDefault="00F75265" w:rsidP="00AE5289">
            <w:pPr>
              <w:spacing w:line="240" w:lineRule="exact"/>
              <w:rPr>
                <w:rFonts w:ascii="仿宋_GB2312" w:eastAsia="仿宋_GB2312" w:hAnsi="仿宋_GB2312" w:cs="仿宋_GB2312"/>
                <w:szCs w:val="21"/>
              </w:rPr>
            </w:pPr>
            <w:r>
              <w:rPr>
                <w:rFonts w:ascii="仿宋_GB2312" w:eastAsia="仿宋_GB2312" w:hAnsi="仿宋_GB2312" w:cs="仿宋_GB2312" w:hint="eastAsia"/>
                <w:sz w:val="21"/>
                <w:szCs w:val="21"/>
              </w:rPr>
              <w:t>经中共朔州市平鲁区陶村乡党委、朔州市平鲁区陶村乡人民政府调查，举报内容与该乡白西沟村搬迁有关。该村因中煤平朔集团有限公司采煤占地需要，2015年5月29日中煤平朔集团有限公司与平鲁区人民政府签订了《白西沟村搬（拆）迁补偿总协议》，2015年6月28日组织实施了整村搬迁。至2017年底，全村609户2003人，除张翠英1户因补偿问题拒绝搬迁、滞留该村原小学居住外，其余村民均依照该村搬迁方案完成了搬迁。</w:t>
            </w:r>
          </w:p>
          <w:p w:rsidR="00F75265" w:rsidRDefault="00F75265" w:rsidP="00AE5289">
            <w:pPr>
              <w:spacing w:line="240" w:lineRule="exact"/>
              <w:rPr>
                <w:rFonts w:ascii="仿宋_GB2312" w:eastAsia="仿宋_GB2312" w:hAnsi="仿宋_GB2312" w:cs="仿宋_GB2312"/>
                <w:szCs w:val="21"/>
              </w:rPr>
            </w:pPr>
            <w:r>
              <w:rPr>
                <w:rFonts w:ascii="仿宋_GB2312" w:eastAsia="仿宋_GB2312" w:hAnsi="仿宋_GB2312" w:cs="仿宋_GB2312" w:hint="eastAsia"/>
                <w:sz w:val="21"/>
                <w:szCs w:val="21"/>
              </w:rPr>
              <w:t>经现场调查，该问题区域分布属农村；利益关系属于利益纠纷关系举报。</w:t>
            </w:r>
          </w:p>
          <w:p w:rsidR="00F75265" w:rsidRDefault="00F75265" w:rsidP="00AE5289">
            <w:pPr>
              <w:spacing w:line="240" w:lineRule="exact"/>
              <w:rPr>
                <w:rFonts w:ascii="仿宋_GB2312" w:eastAsia="仿宋_GB2312" w:hAnsi="仿宋_GB2312" w:cs="仿宋_GB2312"/>
                <w:szCs w:val="21"/>
              </w:rPr>
            </w:pPr>
            <w:r>
              <w:rPr>
                <w:rFonts w:ascii="仿宋_GB2312" w:eastAsia="仿宋_GB2312" w:hAnsi="仿宋_GB2312" w:cs="仿宋_GB2312" w:hint="eastAsia"/>
                <w:sz w:val="21"/>
                <w:szCs w:val="21"/>
              </w:rPr>
              <w:t>举报内容不属实。</w:t>
            </w:r>
          </w:p>
        </w:tc>
        <w:tc>
          <w:tcPr>
            <w:tcW w:w="709" w:type="dxa"/>
            <w:tcBorders>
              <w:tl2br w:val="nil"/>
              <w:tr2bl w:val="nil"/>
            </w:tcBorders>
            <w:vAlign w:val="center"/>
          </w:tcPr>
          <w:p w:rsidR="00F75265" w:rsidRDefault="00F75265" w:rsidP="00AE5289">
            <w:pPr>
              <w:jc w:val="center"/>
              <w:rPr>
                <w:rFonts w:ascii="仿宋_GB2312" w:eastAsia="仿宋_GB2312" w:hAnsi="仿宋_GB2312" w:cs="仿宋_GB2312"/>
                <w:szCs w:val="21"/>
              </w:rPr>
            </w:pPr>
            <w:r>
              <w:rPr>
                <w:rFonts w:ascii="仿宋_GB2312" w:eastAsia="仿宋_GB2312" w:hAnsi="仿宋_GB2312" w:cs="仿宋_GB2312" w:hint="eastAsia"/>
                <w:sz w:val="21"/>
                <w:szCs w:val="21"/>
              </w:rPr>
              <w:t>不</w:t>
            </w:r>
          </w:p>
          <w:p w:rsidR="00F75265" w:rsidRDefault="00F75265" w:rsidP="00AE5289">
            <w:pPr>
              <w:jc w:val="center"/>
              <w:rPr>
                <w:rFonts w:ascii="仿宋_GB2312" w:eastAsia="仿宋_GB2312" w:hAnsi="仿宋_GB2312" w:cs="仿宋_GB2312"/>
                <w:szCs w:val="21"/>
              </w:rPr>
            </w:pPr>
            <w:r>
              <w:rPr>
                <w:rFonts w:ascii="仿宋_GB2312" w:eastAsia="仿宋_GB2312" w:hAnsi="仿宋_GB2312" w:cs="仿宋_GB2312" w:hint="eastAsia"/>
                <w:sz w:val="21"/>
                <w:szCs w:val="21"/>
              </w:rPr>
              <w:t>属</w:t>
            </w:r>
          </w:p>
          <w:p w:rsidR="00F75265" w:rsidRDefault="00F75265" w:rsidP="00AE5289">
            <w:pPr>
              <w:jc w:val="center"/>
              <w:rPr>
                <w:rFonts w:ascii="仿宋_GB2312" w:eastAsia="仿宋_GB2312" w:hAnsi="仿宋_GB2312" w:cs="仿宋_GB2312"/>
                <w:szCs w:val="21"/>
              </w:rPr>
            </w:pPr>
            <w:r>
              <w:rPr>
                <w:rFonts w:ascii="仿宋_GB2312" w:eastAsia="仿宋_GB2312" w:hAnsi="仿宋_GB2312" w:cs="仿宋_GB2312" w:hint="eastAsia"/>
                <w:sz w:val="21"/>
                <w:szCs w:val="21"/>
              </w:rPr>
              <w:t>实</w:t>
            </w:r>
          </w:p>
        </w:tc>
        <w:tc>
          <w:tcPr>
            <w:tcW w:w="2005" w:type="dxa"/>
            <w:tcBorders>
              <w:tl2br w:val="nil"/>
              <w:tr2bl w:val="nil"/>
            </w:tcBorders>
            <w:vAlign w:val="center"/>
          </w:tcPr>
          <w:p w:rsidR="00F75265" w:rsidRDefault="00F75265" w:rsidP="00AE5289">
            <w:pPr>
              <w:spacing w:line="240" w:lineRule="exact"/>
              <w:rPr>
                <w:rFonts w:ascii="仿宋_GB2312" w:eastAsia="仿宋_GB2312" w:hAnsi="仿宋_GB2312" w:cs="仿宋_GB2312"/>
                <w:szCs w:val="21"/>
              </w:rPr>
            </w:pPr>
            <w:r>
              <w:rPr>
                <w:rFonts w:ascii="仿宋_GB2312" w:eastAsia="仿宋_GB2312" w:hAnsi="仿宋_GB2312" w:cs="仿宋_GB2312" w:hint="eastAsia"/>
                <w:sz w:val="21"/>
                <w:szCs w:val="21"/>
              </w:rPr>
              <w:t>1、进一步做好中煤平朔安家岭露天矿采矿范围内1户未搬迁村民的思想工作，动员其尽快搬迁。同时启动法律程序，对其拒不搬迁行为依法依规予以处理。</w:t>
            </w:r>
          </w:p>
          <w:p w:rsidR="00F75265" w:rsidRDefault="00F75265" w:rsidP="00AE5289">
            <w:pPr>
              <w:spacing w:line="240" w:lineRule="exact"/>
              <w:rPr>
                <w:rFonts w:ascii="仿宋_GB2312" w:eastAsia="仿宋_GB2312" w:hAnsi="仿宋_GB2312" w:cs="仿宋_GB2312"/>
                <w:szCs w:val="21"/>
              </w:rPr>
            </w:pPr>
            <w:r>
              <w:rPr>
                <w:rFonts w:ascii="仿宋_GB2312" w:eastAsia="仿宋_GB2312" w:hAnsi="仿宋_GB2312" w:cs="仿宋_GB2312" w:hint="eastAsia"/>
                <w:sz w:val="21"/>
                <w:szCs w:val="21"/>
              </w:rPr>
              <w:t>2、中煤平朔集团有限公司安家岭露天矿加大污染防治力度，严格落实各项环保措施，确保各项污染物达标排放。</w:t>
            </w:r>
          </w:p>
          <w:p w:rsidR="00F75265" w:rsidRDefault="00F75265" w:rsidP="00AE5289">
            <w:pPr>
              <w:rPr>
                <w:rFonts w:ascii="仿宋_GB2312" w:eastAsia="仿宋_GB2312" w:hAnsi="仿宋_GB2312" w:cs="仿宋_GB2312"/>
                <w:szCs w:val="21"/>
              </w:rPr>
            </w:pPr>
          </w:p>
        </w:tc>
        <w:tc>
          <w:tcPr>
            <w:tcW w:w="685" w:type="dxa"/>
            <w:tcBorders>
              <w:tl2br w:val="nil"/>
              <w:tr2bl w:val="nil"/>
            </w:tcBorders>
            <w:vAlign w:val="center"/>
          </w:tcPr>
          <w:p w:rsidR="00F75265" w:rsidRDefault="00F75265" w:rsidP="00AE5289">
            <w:pPr>
              <w:jc w:val="center"/>
              <w:rPr>
                <w:rFonts w:ascii="仿宋_GB2312" w:eastAsia="仿宋_GB2312" w:hAnsi="仿宋_GB2312" w:cs="仿宋_GB2312"/>
                <w:szCs w:val="21"/>
              </w:rPr>
            </w:pPr>
            <w:r>
              <w:rPr>
                <w:rFonts w:ascii="仿宋_GB2312" w:eastAsia="仿宋_GB2312" w:hAnsi="仿宋_GB2312" w:cs="仿宋_GB2312" w:hint="eastAsia"/>
                <w:sz w:val="21"/>
                <w:szCs w:val="21"/>
              </w:rPr>
              <w:t>无</w:t>
            </w:r>
          </w:p>
        </w:tc>
      </w:tr>
    </w:tbl>
    <w:p w:rsidR="00F75265" w:rsidRDefault="00F75265" w:rsidP="00F75265">
      <w:pPr>
        <w:spacing w:line="20" w:lineRule="exact"/>
        <w:rPr>
          <w:rFonts w:asciiTheme="minorEastAsia" w:eastAsiaTheme="minorEastAsia" w:hAnsiTheme="minorEastAsia"/>
        </w:rPr>
      </w:pPr>
    </w:p>
    <w:p w:rsidR="00F5488F" w:rsidRDefault="00F5488F"/>
    <w:sectPr w:rsidR="00F5488F" w:rsidSect="00B034EB">
      <w:pgSz w:w="16838" w:h="11906" w:orient="landscape"/>
      <w:pgMar w:top="1701" w:right="1701" w:bottom="1701" w:left="1440" w:header="851" w:footer="992" w:gutter="0"/>
      <w:pgNumType w:fmt="numberInDash"/>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88F" w:rsidRDefault="00F5488F" w:rsidP="00F75265">
      <w:r>
        <w:separator/>
      </w:r>
    </w:p>
  </w:endnote>
  <w:endnote w:type="continuationSeparator" w:id="1">
    <w:p w:rsidR="00F5488F" w:rsidRDefault="00F5488F" w:rsidP="00F752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88F" w:rsidRDefault="00F5488F" w:rsidP="00F75265">
      <w:r>
        <w:separator/>
      </w:r>
    </w:p>
  </w:footnote>
  <w:footnote w:type="continuationSeparator" w:id="1">
    <w:p w:rsidR="00F5488F" w:rsidRDefault="00F5488F" w:rsidP="00F752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5265"/>
    <w:rsid w:val="00F5488F"/>
    <w:rsid w:val="00F752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2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52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75265"/>
    <w:rPr>
      <w:sz w:val="18"/>
      <w:szCs w:val="18"/>
    </w:rPr>
  </w:style>
  <w:style w:type="paragraph" w:styleId="a4">
    <w:name w:val="footer"/>
    <w:basedOn w:val="a"/>
    <w:link w:val="Char0"/>
    <w:uiPriority w:val="99"/>
    <w:semiHidden/>
    <w:unhideWhenUsed/>
    <w:rsid w:val="00F752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75265"/>
    <w:rPr>
      <w:sz w:val="18"/>
      <w:szCs w:val="18"/>
    </w:rPr>
  </w:style>
  <w:style w:type="table" w:styleId="a5">
    <w:name w:val="Table Grid"/>
    <w:basedOn w:val="a1"/>
    <w:qFormat/>
    <w:rsid w:val="00F7526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Words>
  <Characters>842</Characters>
  <Application>Microsoft Office Word</Application>
  <DocSecurity>0</DocSecurity>
  <Lines>7</Lines>
  <Paragraphs>1</Paragraphs>
  <ScaleCrop>false</ScaleCrop>
  <Company>Microsoft</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2018-11-12T06:38:00Z</dcterms:created>
  <dcterms:modified xsi:type="dcterms:W3CDTF">2018-11-12T06:38:00Z</dcterms:modified>
</cp:coreProperties>
</file>